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8.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9.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0.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1.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2.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3.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4.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5.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6.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7.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8.xml" ContentType="application/vnd.openxmlformats-officedocument.themeOverride+xml"/>
  <Override PartName="/word/drawings/drawing1.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9.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0.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1.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2.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3.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4.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5.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26.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27.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28.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29.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30.xml" ContentType="application/vnd.openxmlformats-officedocument.themeOverrid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31.xml" ContentType="application/vnd.openxmlformats-officedocument.themeOverrid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32.xml" ContentType="application/vnd.openxmlformats-officedocument.themeOverrid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33.xml" ContentType="application/vnd.openxmlformats-officedocument.themeOverrid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34.xml" ContentType="application/vnd.openxmlformats-officedocument.themeOverrid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35.xml" ContentType="application/vnd.openxmlformats-officedocument.themeOverrid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36.xml" ContentType="application/vnd.openxmlformats-officedocument.themeOverrid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37.xml" ContentType="application/vnd.openxmlformats-officedocument.themeOverrid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38.xml" ContentType="application/vnd.openxmlformats-officedocument.themeOverrid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39.xml" ContentType="application/vnd.openxmlformats-officedocument.themeOverrid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40.xml" ContentType="application/vnd.openxmlformats-officedocument.themeOverrid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41.xml" ContentType="application/vnd.openxmlformats-officedocument.themeOverrid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42.xml" ContentType="application/vnd.openxmlformats-officedocument.themeOverrid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43.xml" ContentType="application/vnd.openxmlformats-officedocument.themeOverrid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44.xml" ContentType="application/vnd.openxmlformats-officedocument.themeOverrid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45.xml" ContentType="application/vnd.openxmlformats-officedocument.themeOverrid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46.xml" ContentType="application/vnd.openxmlformats-officedocument.themeOverrid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47.xml" ContentType="application/vnd.openxmlformats-officedocument.themeOverrid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48.xml" ContentType="application/vnd.openxmlformats-officedocument.themeOverrid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49.xml" ContentType="application/vnd.openxmlformats-officedocument.themeOverrid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50.xml" ContentType="application/vnd.openxmlformats-officedocument.themeOverrid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51.xml" ContentType="application/vnd.openxmlformats-officedocument.themeOverrid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52.xml" ContentType="application/vnd.openxmlformats-officedocument.themeOverrid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53.xml" ContentType="application/vnd.openxmlformats-officedocument.themeOverrid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54.xml" ContentType="application/vnd.openxmlformats-officedocument.themeOverrid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55.xml" ContentType="application/vnd.openxmlformats-officedocument.themeOverride+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56.xml" ContentType="application/vnd.openxmlformats-officedocument.themeOverride+xml"/>
  <Override PartName="/word/charts/chart66.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57.xml" ContentType="application/vnd.openxmlformats-officedocument.themeOverride+xml"/>
  <Override PartName="/word/charts/chart67.xml" ContentType="application/vnd.openxmlformats-officedocument.drawingml.chart+xml"/>
  <Override PartName="/word/charts/style67.xml" ContentType="application/vnd.ms-office.chartstyle+xml"/>
  <Override PartName="/word/charts/colors67.xml" ContentType="application/vnd.ms-office.chartcolorstyle+xml"/>
  <Override PartName="/word/theme/themeOverride58.xml" ContentType="application/vnd.openxmlformats-officedocument.themeOverride+xml"/>
  <Override PartName="/word/charts/chart68.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59.xml" ContentType="application/vnd.openxmlformats-officedocument.themeOverride+xml"/>
  <Override PartName="/word/charts/chart69.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60.xml" ContentType="application/vnd.openxmlformats-officedocument.themeOverride+xml"/>
  <Override PartName="/word/charts/chart70.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61.xml" ContentType="application/vnd.openxmlformats-officedocument.themeOverride+xml"/>
  <Override PartName="/word/charts/chart71.xml" ContentType="application/vnd.openxmlformats-officedocument.drawingml.chart+xml"/>
  <Override PartName="/word/charts/style71.xml" ContentType="application/vnd.ms-office.chartstyle+xml"/>
  <Override PartName="/word/charts/colors71.xml" ContentType="application/vnd.ms-office.chartcolorstyle+xml"/>
  <Override PartName="/word/theme/themeOverride62.xml" ContentType="application/vnd.openxmlformats-officedocument.themeOverride+xml"/>
  <Override PartName="/word/charts/chart72.xml" ContentType="application/vnd.openxmlformats-officedocument.drawingml.chart+xml"/>
  <Override PartName="/word/charts/style72.xml" ContentType="application/vnd.ms-office.chartstyle+xml"/>
  <Override PartName="/word/charts/colors72.xml" ContentType="application/vnd.ms-office.chartcolorstyle+xml"/>
  <Override PartName="/word/theme/themeOverride63.xml" ContentType="application/vnd.openxmlformats-officedocument.themeOverride+xml"/>
  <Override PartName="/word/charts/chart73.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64.xml" ContentType="application/vnd.openxmlformats-officedocument.themeOverride+xml"/>
  <Override PartName="/word/charts/chart74.xml" ContentType="application/vnd.openxmlformats-officedocument.drawingml.chart+xml"/>
  <Override PartName="/word/charts/style74.xml" ContentType="application/vnd.ms-office.chartstyle+xml"/>
  <Override PartName="/word/charts/colors74.xml" ContentType="application/vnd.ms-office.chartcolorstyle+xml"/>
  <Override PartName="/word/theme/themeOverride65.xml" ContentType="application/vnd.openxmlformats-officedocument.themeOverride+xml"/>
  <Override PartName="/word/charts/chart75.xml" ContentType="application/vnd.openxmlformats-officedocument.drawingml.chart+xml"/>
  <Override PartName="/word/charts/style75.xml" ContentType="application/vnd.ms-office.chartstyle+xml"/>
  <Override PartName="/word/charts/colors75.xml" ContentType="application/vnd.ms-office.chartcolorstyle+xml"/>
  <Override PartName="/word/theme/themeOverride66.xml" ContentType="application/vnd.openxmlformats-officedocument.themeOverride+xml"/>
  <Override PartName="/word/charts/chart76.xml" ContentType="application/vnd.openxmlformats-officedocument.drawingml.chart+xml"/>
  <Override PartName="/word/charts/style76.xml" ContentType="application/vnd.ms-office.chartstyle+xml"/>
  <Override PartName="/word/charts/colors76.xml" ContentType="application/vnd.ms-office.chartcolorstyle+xml"/>
  <Override PartName="/word/theme/themeOverride67.xml" ContentType="application/vnd.openxmlformats-officedocument.themeOverride+xml"/>
  <Override PartName="/word/charts/chart77.xml" ContentType="application/vnd.openxmlformats-officedocument.drawingml.chart+xml"/>
  <Override PartName="/word/charts/style77.xml" ContentType="application/vnd.ms-office.chartstyle+xml"/>
  <Override PartName="/word/charts/colors77.xml" ContentType="application/vnd.ms-office.chartcolorstyle+xml"/>
  <Override PartName="/word/theme/themeOverride68.xml" ContentType="application/vnd.openxmlformats-officedocument.themeOverride+xml"/>
  <Override PartName="/word/charts/chart78.xml" ContentType="application/vnd.openxmlformats-officedocument.drawingml.chart+xml"/>
  <Override PartName="/word/charts/style78.xml" ContentType="application/vnd.ms-office.chartstyle+xml"/>
  <Override PartName="/word/charts/colors78.xml" ContentType="application/vnd.ms-office.chartcolorstyle+xml"/>
  <Override PartName="/word/theme/themeOverride69.xml" ContentType="application/vnd.openxmlformats-officedocument.themeOverride+xml"/>
  <Override PartName="/word/charts/chart79.xml" ContentType="application/vnd.openxmlformats-officedocument.drawingml.chart+xml"/>
  <Override PartName="/word/charts/style79.xml" ContentType="application/vnd.ms-office.chartstyle+xml"/>
  <Override PartName="/word/charts/colors79.xml" ContentType="application/vnd.ms-office.chartcolorstyle+xml"/>
  <Override PartName="/word/theme/themeOverride70.xml" ContentType="application/vnd.openxmlformats-officedocument.themeOverride+xml"/>
  <Override PartName="/word/charts/chart80.xml" ContentType="application/vnd.openxmlformats-officedocument.drawingml.chart+xml"/>
  <Override PartName="/word/charts/style80.xml" ContentType="application/vnd.ms-office.chartstyle+xml"/>
  <Override PartName="/word/charts/colors80.xml" ContentType="application/vnd.ms-office.chartcolorstyle+xml"/>
  <Override PartName="/word/theme/themeOverride71.xml" ContentType="application/vnd.openxmlformats-officedocument.themeOverride+xml"/>
  <Override PartName="/word/charts/chart81.xml" ContentType="application/vnd.openxmlformats-officedocument.drawingml.chart+xml"/>
  <Override PartName="/word/charts/style81.xml" ContentType="application/vnd.ms-office.chartstyle+xml"/>
  <Override PartName="/word/charts/colors81.xml" ContentType="application/vnd.ms-office.chartcolorstyle+xml"/>
  <Override PartName="/word/theme/themeOverride72.xml" ContentType="application/vnd.openxmlformats-officedocument.themeOverride+xml"/>
  <Override PartName="/word/charts/chart82.xml" ContentType="application/vnd.openxmlformats-officedocument.drawingml.chart+xml"/>
  <Override PartName="/word/charts/style82.xml" ContentType="application/vnd.ms-office.chartstyle+xml"/>
  <Override PartName="/word/charts/colors82.xml" ContentType="application/vnd.ms-office.chartcolorstyle+xml"/>
  <Override PartName="/word/theme/themeOverride73.xml" ContentType="application/vnd.openxmlformats-officedocument.themeOverride+xml"/>
  <Override PartName="/word/charts/chart83.xml" ContentType="application/vnd.openxmlformats-officedocument.drawingml.chart+xml"/>
  <Override PartName="/word/charts/style83.xml" ContentType="application/vnd.ms-office.chartstyle+xml"/>
  <Override PartName="/word/charts/colors83.xml" ContentType="application/vnd.ms-office.chartcolorstyle+xml"/>
  <Override PartName="/word/theme/themeOverride74.xml" ContentType="application/vnd.openxmlformats-officedocument.themeOverride+xml"/>
  <Override PartName="/word/charts/chart84.xml" ContentType="application/vnd.openxmlformats-officedocument.drawingml.chart+xml"/>
  <Override PartName="/word/charts/style84.xml" ContentType="application/vnd.ms-office.chartstyle+xml"/>
  <Override PartName="/word/charts/colors84.xml" ContentType="application/vnd.ms-office.chartcolorstyle+xml"/>
  <Override PartName="/word/theme/themeOverride75.xml" ContentType="application/vnd.openxmlformats-officedocument.themeOverride+xml"/>
  <Override PartName="/word/charts/chart85.xml" ContentType="application/vnd.openxmlformats-officedocument.drawingml.chart+xml"/>
  <Override PartName="/word/charts/style85.xml" ContentType="application/vnd.ms-office.chartstyle+xml"/>
  <Override PartName="/word/charts/colors85.xml" ContentType="application/vnd.ms-office.chartcolorstyle+xml"/>
  <Override PartName="/word/theme/themeOverride76.xml" ContentType="application/vnd.openxmlformats-officedocument.themeOverride+xml"/>
  <Override PartName="/word/charts/chart86.xml" ContentType="application/vnd.openxmlformats-officedocument.drawingml.chart+xml"/>
  <Override PartName="/word/charts/style86.xml" ContentType="application/vnd.ms-office.chartstyle+xml"/>
  <Override PartName="/word/charts/colors86.xml" ContentType="application/vnd.ms-office.chartcolorstyle+xml"/>
  <Override PartName="/word/theme/themeOverride77.xml" ContentType="application/vnd.openxmlformats-officedocument.themeOverride+xml"/>
  <Override PartName="/word/charts/chart87.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88.xml" ContentType="application/vnd.openxmlformats-officedocument.drawingml.chart+xml"/>
  <Override PartName="/word/charts/style88.xml" ContentType="application/vnd.ms-office.chartstyle+xml"/>
  <Override PartName="/word/charts/colors88.xml" ContentType="application/vnd.ms-office.chartcolorstyle+xml"/>
  <Override PartName="/word/theme/themeOverride78.xml" ContentType="application/vnd.openxmlformats-officedocument.themeOverride+xml"/>
  <Override PartName="/word/charts/chart89.xml" ContentType="application/vnd.openxmlformats-officedocument.drawingml.chart+xml"/>
  <Override PartName="/word/charts/style89.xml" ContentType="application/vnd.ms-office.chartstyle+xml"/>
  <Override PartName="/word/charts/colors89.xml" ContentType="application/vnd.ms-office.chartcolorstyle+xml"/>
  <Override PartName="/word/theme/themeOverride79.xml" ContentType="application/vnd.openxmlformats-officedocument.themeOverride+xml"/>
  <Override PartName="/word/charts/chart90.xml" ContentType="application/vnd.openxmlformats-officedocument.drawingml.chart+xml"/>
  <Override PartName="/word/charts/chart91.xml" ContentType="application/vnd.openxmlformats-officedocument.drawingml.chart+xml"/>
  <Override PartName="/word/charts/style90.xml" ContentType="application/vnd.ms-office.chartstyle+xml"/>
  <Override PartName="/word/charts/colors90.xml" ContentType="application/vnd.ms-office.chartcolorstyle+xml"/>
  <Override PartName="/word/theme/themeOverride80.xml" ContentType="application/vnd.openxmlformats-officedocument.themeOverride+xml"/>
  <Override PartName="/word/charts/chart92.xml" ContentType="application/vnd.openxmlformats-officedocument.drawingml.chart+xml"/>
  <Override PartName="/word/charts/style91.xml" ContentType="application/vnd.ms-office.chartstyle+xml"/>
  <Override PartName="/word/charts/colors91.xml" ContentType="application/vnd.ms-office.chartcolorstyle+xml"/>
  <Override PartName="/word/charts/chart93.xml" ContentType="application/vnd.openxmlformats-officedocument.drawingml.chart+xml"/>
  <Override PartName="/word/charts/style92.xml" ContentType="application/vnd.ms-office.chartstyle+xml"/>
  <Override PartName="/word/charts/colors92.xml" ContentType="application/vnd.ms-office.chartcolorstyle+xml"/>
  <Override PartName="/word/theme/themeOverride81.xml" ContentType="application/vnd.openxmlformats-officedocument.themeOverride+xml"/>
  <Override PartName="/word/charts/chart94.xml" ContentType="application/vnd.openxmlformats-officedocument.drawingml.chart+xml"/>
  <Override PartName="/word/charts/style93.xml" ContentType="application/vnd.ms-office.chartstyle+xml"/>
  <Override PartName="/word/charts/colors93.xml" ContentType="application/vnd.ms-office.chartcolorstyle+xml"/>
  <Override PartName="/word/theme/themeOverride82.xml" ContentType="application/vnd.openxmlformats-officedocument.themeOverride+xml"/>
  <Override PartName="/word/drawings/drawing2.xml" ContentType="application/vnd.openxmlformats-officedocument.drawingml.chartshapes+xml"/>
  <Override PartName="/word/charts/chart95.xml" ContentType="application/vnd.openxmlformats-officedocument.drawingml.chart+xml"/>
  <Override PartName="/word/charts/style94.xml" ContentType="application/vnd.ms-office.chartstyle+xml"/>
  <Override PartName="/word/charts/colors94.xml" ContentType="application/vnd.ms-office.chartcolorstyle+xml"/>
  <Override PartName="/word/theme/themeOverride83.xml" ContentType="application/vnd.openxmlformats-officedocument.themeOverride+xml"/>
  <Override PartName="/word/charts/chart96.xml" ContentType="application/vnd.openxmlformats-officedocument.drawingml.chart+xml"/>
  <Override PartName="/word/charts/style95.xml" ContentType="application/vnd.ms-office.chartstyle+xml"/>
  <Override PartName="/word/charts/colors95.xml" ContentType="application/vnd.ms-office.chartcolorstyle+xml"/>
  <Override PartName="/word/theme/themeOverride84.xml" ContentType="application/vnd.openxmlformats-officedocument.themeOverride+xml"/>
  <Override PartName="/word/charts/chart97.xml" ContentType="application/vnd.openxmlformats-officedocument.drawingml.chart+xml"/>
  <Override PartName="/word/charts/style96.xml" ContentType="application/vnd.ms-office.chartstyle+xml"/>
  <Override PartName="/word/charts/colors96.xml" ContentType="application/vnd.ms-office.chartcolorstyle+xml"/>
  <Override PartName="/word/theme/themeOverride85.xml" ContentType="application/vnd.openxmlformats-officedocument.themeOverride+xml"/>
  <Override PartName="/word/charts/chart98.xml" ContentType="application/vnd.openxmlformats-officedocument.drawingml.chart+xml"/>
  <Override PartName="/word/charts/style97.xml" ContentType="application/vnd.ms-office.chartstyle+xml"/>
  <Override PartName="/word/charts/colors97.xml" ContentType="application/vnd.ms-office.chartcolorstyle+xml"/>
  <Override PartName="/word/theme/themeOverride86.xml" ContentType="application/vnd.openxmlformats-officedocument.themeOverride+xml"/>
  <Override PartName="/word/charts/chart99.xml" ContentType="application/vnd.openxmlformats-officedocument.drawingml.chart+xml"/>
  <Override PartName="/word/charts/style98.xml" ContentType="application/vnd.ms-office.chartstyle+xml"/>
  <Override PartName="/word/charts/colors98.xml" ContentType="application/vnd.ms-office.chartcolorstyle+xml"/>
  <Override PartName="/word/theme/themeOverride87.xml" ContentType="application/vnd.openxmlformats-officedocument.themeOverride+xml"/>
  <Override PartName="/word/charts/chart100.xml" ContentType="application/vnd.openxmlformats-officedocument.drawingml.chart+xml"/>
  <Override PartName="/word/charts/style99.xml" ContentType="application/vnd.ms-office.chartstyle+xml"/>
  <Override PartName="/word/charts/colors99.xml" ContentType="application/vnd.ms-office.chartcolorstyle+xml"/>
  <Override PartName="/word/theme/themeOverride88.xml" ContentType="application/vnd.openxmlformats-officedocument.themeOverride+xml"/>
  <Override PartName="/word/charts/chart101.xml" ContentType="application/vnd.openxmlformats-officedocument.drawingml.chart+xml"/>
  <Override PartName="/word/charts/style100.xml" ContentType="application/vnd.ms-office.chartstyle+xml"/>
  <Override PartName="/word/charts/colors100.xml" ContentType="application/vnd.ms-office.chartcolorstyle+xml"/>
  <Override PartName="/word/theme/themeOverride89.xml" ContentType="application/vnd.openxmlformats-officedocument.themeOverride+xml"/>
  <Override PartName="/word/charts/chart102.xml" ContentType="application/vnd.openxmlformats-officedocument.drawingml.chart+xml"/>
  <Override PartName="/word/charts/style101.xml" ContentType="application/vnd.ms-office.chartstyle+xml"/>
  <Override PartName="/word/charts/colors101.xml" ContentType="application/vnd.ms-office.chartcolorstyle+xml"/>
  <Override PartName="/word/theme/themeOverride90.xml" ContentType="application/vnd.openxmlformats-officedocument.themeOverride+xml"/>
  <Override PartName="/word/charts/chart103.xml" ContentType="application/vnd.openxmlformats-officedocument.drawingml.chart+xml"/>
  <Override PartName="/word/charts/style102.xml" ContentType="application/vnd.ms-office.chartstyle+xml"/>
  <Override PartName="/word/charts/colors102.xml" ContentType="application/vnd.ms-office.chartcolorstyle+xml"/>
  <Override PartName="/word/theme/themeOverride91.xml" ContentType="application/vnd.openxmlformats-officedocument.themeOverride+xml"/>
  <Override PartName="/word/charts/chart104.xml" ContentType="application/vnd.openxmlformats-officedocument.drawingml.chart+xml"/>
  <Override PartName="/word/charts/style103.xml" ContentType="application/vnd.ms-office.chartstyle+xml"/>
  <Override PartName="/word/charts/colors103.xml" ContentType="application/vnd.ms-office.chartcolorstyle+xml"/>
  <Override PartName="/word/theme/themeOverride92.xml" ContentType="application/vnd.openxmlformats-officedocument.themeOverride+xml"/>
  <Override PartName="/word/charts/chart105.xml" ContentType="application/vnd.openxmlformats-officedocument.drawingml.chart+xml"/>
  <Override PartName="/word/charts/style104.xml" ContentType="application/vnd.ms-office.chartstyle+xml"/>
  <Override PartName="/word/charts/colors104.xml" ContentType="application/vnd.ms-office.chartcolorstyle+xml"/>
  <Override PartName="/word/theme/themeOverride93.xml" ContentType="application/vnd.openxmlformats-officedocument.themeOverride+xml"/>
  <Override PartName="/word/charts/chart106.xml" ContentType="application/vnd.openxmlformats-officedocument.drawingml.chart+xml"/>
  <Override PartName="/word/charts/style105.xml" ContentType="application/vnd.ms-office.chartstyle+xml"/>
  <Override PartName="/word/charts/colors105.xml" ContentType="application/vnd.ms-office.chartcolorstyle+xml"/>
  <Override PartName="/word/theme/themeOverride94.xml" ContentType="application/vnd.openxmlformats-officedocument.themeOverride+xml"/>
  <Override PartName="/word/charts/chart107.xml" ContentType="application/vnd.openxmlformats-officedocument.drawingml.chart+xml"/>
  <Override PartName="/word/charts/style106.xml" ContentType="application/vnd.ms-office.chartstyle+xml"/>
  <Override PartName="/word/charts/colors106.xml" ContentType="application/vnd.ms-office.chartcolorstyle+xml"/>
  <Override PartName="/word/theme/themeOverride95.xml" ContentType="application/vnd.openxmlformats-officedocument.themeOverride+xml"/>
  <Override PartName="/word/charts/chart108.xml" ContentType="application/vnd.openxmlformats-officedocument.drawingml.chart+xml"/>
  <Override PartName="/word/charts/style107.xml" ContentType="application/vnd.ms-office.chartstyle+xml"/>
  <Override PartName="/word/charts/colors107.xml" ContentType="application/vnd.ms-office.chartcolorstyle+xml"/>
  <Override PartName="/word/theme/themeOverride96.xml" ContentType="application/vnd.openxmlformats-officedocument.themeOverride+xml"/>
  <Override PartName="/word/charts/chart109.xml" ContentType="application/vnd.openxmlformats-officedocument.drawingml.chart+xml"/>
  <Override PartName="/word/charts/style108.xml" ContentType="application/vnd.ms-office.chartstyle+xml"/>
  <Override PartName="/word/charts/colors108.xml" ContentType="application/vnd.ms-office.chartcolorstyle+xml"/>
  <Override PartName="/word/theme/themeOverride97.xml" ContentType="application/vnd.openxmlformats-officedocument.themeOverride+xml"/>
  <Override PartName="/word/charts/chart110.xml" ContentType="application/vnd.openxmlformats-officedocument.drawingml.chart+xml"/>
  <Override PartName="/word/charts/style109.xml" ContentType="application/vnd.ms-office.chartstyle+xml"/>
  <Override PartName="/word/charts/colors109.xml" ContentType="application/vnd.ms-office.chartcolorstyle+xml"/>
  <Override PartName="/word/theme/themeOverride98.xml" ContentType="application/vnd.openxmlformats-officedocument.themeOverride+xml"/>
  <Override PartName="/word/charts/chart111.xml" ContentType="application/vnd.openxmlformats-officedocument.drawingml.chart+xml"/>
  <Override PartName="/word/charts/style110.xml" ContentType="application/vnd.ms-office.chartstyle+xml"/>
  <Override PartName="/word/charts/colors110.xml" ContentType="application/vnd.ms-office.chartcolorstyle+xml"/>
  <Override PartName="/word/theme/themeOverride99.xml" ContentType="application/vnd.openxmlformats-officedocument.themeOverride+xml"/>
  <Override PartName="/word/charts/chart112.xml" ContentType="application/vnd.openxmlformats-officedocument.drawingml.chart+xml"/>
  <Override PartName="/word/charts/style111.xml" ContentType="application/vnd.ms-office.chartstyle+xml"/>
  <Override PartName="/word/charts/colors111.xml" ContentType="application/vnd.ms-office.chartcolorstyle+xml"/>
  <Override PartName="/word/theme/themeOverride100.xml" ContentType="application/vnd.openxmlformats-officedocument.themeOverride+xml"/>
  <Override PartName="/word/charts/chart113.xml" ContentType="application/vnd.openxmlformats-officedocument.drawingml.chart+xml"/>
  <Override PartName="/word/charts/style112.xml" ContentType="application/vnd.ms-office.chartstyle+xml"/>
  <Override PartName="/word/charts/colors112.xml" ContentType="application/vnd.ms-office.chartcolorstyle+xml"/>
  <Override PartName="/word/theme/themeOverride101.xml" ContentType="application/vnd.openxmlformats-officedocument.themeOverride+xml"/>
  <Override PartName="/word/charts/chart114.xml" ContentType="application/vnd.openxmlformats-officedocument.drawingml.chart+xml"/>
  <Override PartName="/word/charts/style113.xml" ContentType="application/vnd.ms-office.chartstyle+xml"/>
  <Override PartName="/word/charts/colors113.xml" ContentType="application/vnd.ms-office.chartcolorstyle+xml"/>
  <Override PartName="/word/charts/chart115.xml" ContentType="application/vnd.openxmlformats-officedocument.drawingml.chart+xml"/>
  <Override PartName="/word/charts/style114.xml" ContentType="application/vnd.ms-office.chartstyle+xml"/>
  <Override PartName="/word/charts/colors114.xml" ContentType="application/vnd.ms-office.chartcolorstyle+xml"/>
  <Override PartName="/word/theme/themeOverride102.xml" ContentType="application/vnd.openxmlformats-officedocument.themeOverride+xml"/>
  <Override PartName="/word/charts/chart116.xml" ContentType="application/vnd.openxmlformats-officedocument.drawingml.chart+xml"/>
  <Override PartName="/word/charts/style115.xml" ContentType="application/vnd.ms-office.chartstyle+xml"/>
  <Override PartName="/word/charts/colors115.xml" ContentType="application/vnd.ms-office.chartcolorstyle+xml"/>
  <Override PartName="/word/theme/themeOverride103.xml" ContentType="application/vnd.openxmlformats-officedocument.themeOverride+xml"/>
  <Override PartName="/word/charts/chart117.xml" ContentType="application/vnd.openxmlformats-officedocument.drawingml.chart+xml"/>
  <Override PartName="/word/charts/style116.xml" ContentType="application/vnd.ms-office.chartstyle+xml"/>
  <Override PartName="/word/charts/colors116.xml" ContentType="application/vnd.ms-office.chartcolorstyle+xml"/>
  <Override PartName="/word/theme/themeOverride104.xml" ContentType="application/vnd.openxmlformats-officedocument.themeOverride+xml"/>
  <Override PartName="/word/charts/chart118.xml" ContentType="application/vnd.openxmlformats-officedocument.drawingml.chart+xml"/>
  <Override PartName="/word/charts/style117.xml" ContentType="application/vnd.ms-office.chartstyle+xml"/>
  <Override PartName="/word/charts/colors117.xml" ContentType="application/vnd.ms-office.chartcolorstyle+xml"/>
  <Override PartName="/word/theme/themeOverride105.xml" ContentType="application/vnd.openxmlformats-officedocument.themeOverride+xml"/>
  <Override PartName="/word/charts/chart119.xml" ContentType="application/vnd.openxmlformats-officedocument.drawingml.chart+xml"/>
  <Override PartName="/word/charts/style118.xml" ContentType="application/vnd.ms-office.chartstyle+xml"/>
  <Override PartName="/word/charts/colors118.xml" ContentType="application/vnd.ms-office.chartcolorstyle+xml"/>
  <Override PartName="/word/charts/chart120.xml" ContentType="application/vnd.openxmlformats-officedocument.drawingml.chart+xml"/>
  <Override PartName="/word/charts/style119.xml" ContentType="application/vnd.ms-office.chartstyle+xml"/>
  <Override PartName="/word/charts/colors119.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90F929" w14:textId="72D896D5" w:rsidR="00E035F5" w:rsidRDefault="00491661">
      <w:pPr>
        <w:sectPr w:rsidR="00E035F5">
          <w:headerReference w:type="default" r:id="rId8"/>
          <w:footerReference w:type="default" r:id="rId9"/>
          <w:pgSz w:w="11906" w:h="16838"/>
          <w:pgMar w:top="1440" w:right="1440" w:bottom="1440" w:left="1440" w:header="708" w:footer="708" w:gutter="0"/>
          <w:cols w:space="708"/>
          <w:docGrid w:linePitch="360"/>
        </w:sectPr>
      </w:pPr>
      <w:r>
        <w:rPr>
          <w:noProof/>
        </w:rPr>
        <w:drawing>
          <wp:anchor distT="0" distB="0" distL="114300" distR="114300" simplePos="0" relativeHeight="251678720" behindDoc="0" locked="0" layoutInCell="1" allowOverlap="1" wp14:anchorId="50FC906F" wp14:editId="3F141E0D">
            <wp:simplePos x="0" y="0"/>
            <wp:positionH relativeFrom="column">
              <wp:posOffset>-370773</wp:posOffset>
            </wp:positionH>
            <wp:positionV relativeFrom="paragraph">
              <wp:posOffset>-217805</wp:posOffset>
            </wp:positionV>
            <wp:extent cx="5731510" cy="1038225"/>
            <wp:effectExtent l="0" t="0" r="2540" b="9525"/>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CPA logo 2016 (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103822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6672" behindDoc="0" locked="0" layoutInCell="1" allowOverlap="1" wp14:anchorId="63F600DA" wp14:editId="16C25D8D">
                <wp:simplePos x="0" y="0"/>
                <wp:positionH relativeFrom="column">
                  <wp:posOffset>-509905</wp:posOffset>
                </wp:positionH>
                <wp:positionV relativeFrom="paragraph">
                  <wp:posOffset>7606431</wp:posOffset>
                </wp:positionV>
                <wp:extent cx="5465135" cy="510363"/>
                <wp:effectExtent l="0" t="0" r="2540" b="4445"/>
                <wp:wrapNone/>
                <wp:docPr id="25" name="Rectangle 25"/>
                <wp:cNvGraphicFramePr/>
                <a:graphic xmlns:a="http://schemas.openxmlformats.org/drawingml/2006/main">
                  <a:graphicData uri="http://schemas.microsoft.com/office/word/2010/wordprocessingShape">
                    <wps:wsp>
                      <wps:cNvSpPr/>
                      <wps:spPr>
                        <a:xfrm>
                          <a:off x="0" y="0"/>
                          <a:ext cx="5465135" cy="51036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BE650F" w14:textId="07C60E70" w:rsidR="00175103" w:rsidRPr="00BF3C8F" w:rsidRDefault="00175103" w:rsidP="00BF3C8F">
                            <w:pPr>
                              <w:ind w:left="0"/>
                              <w:rPr>
                                <w:b/>
                                <w:color w:val="CC0066"/>
                                <w:sz w:val="52"/>
                                <w:szCs w:val="52"/>
                              </w:rPr>
                            </w:pPr>
                            <w:r w:rsidRPr="00BF3C8F">
                              <w:rPr>
                                <w:b/>
                                <w:color w:val="CC0066"/>
                                <w:sz w:val="52"/>
                                <w:szCs w:val="52"/>
                              </w:rPr>
                              <w:t>Population Needs Assessment 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F600DA" id="Rectangle 25" o:spid="_x0000_s1026" style="position:absolute;left:0;text-align:left;margin-left:-40.15pt;margin-top:598.95pt;width:430.35pt;height:40.2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FcXmQIAAJEFAAAOAAAAZHJzL2Uyb0RvYy54bWysVN9P2zAQfp+0/8Hy+0hSWsYqUlSBmCYh&#10;QMDEs+vYTSTH59luk+6v39lOUsbQHqb1wT37vvvuR+7u4rJvFdkL6xrQJS1OckqE5lA1elvS7883&#10;n84pcZ7piinQoqQH4ejl6uOHi84sxQxqUJWwBEm0W3ampLX3ZplljteiZe4EjNColGBb5vFqt1ll&#10;WYfsrcpmeX6WdWArY4EL5/D1OinpKvJLKbi/l9IJT1RJMTYfTxvPTTiz1QVbbi0zdcOHMNg/RNGy&#10;RqPTieqaeUZ2tvmDqm24BQfSn3BoM5Cy4SLmgNkU+ZtsnmpmRMwFi+PMVCb3/2j53f7BkqYq6WxB&#10;iWYtfqNHrBrTWyUIvmGBOuOWiHsyD3a4ORRDtr20bfjHPEgfi3qYiip6Tzg+LuZni+IUyTnqFkV+&#10;enYaSLOjtbHOfxXQkiCU1KL7WEu2v3U+QUdIcOZANdVNo1S8hEYRV8qSPcNPvNkWA/lvKKUDVkOw&#10;SoThJQuJpVSi5A9KBJzSj0JiTTD4WQwkduPRCeNcaF8kVc0qkXwvcvyN3sewYqKRMDBL9D9xDwQj&#10;MpGM3CnKAR9MRWzmyTj/W2DJeLKInkH7ybhtNNj3CBRmNXhO+LFIqTShSr7f9AgJ4gaqAzaPhTRV&#10;zvCbBr/gLXP+gVkcIxw4XA3+Hg+poCspDBIlNdif770HPHY3ainpcCxL6n7smBWUqG8a+/5LMZ+H&#10;OY6X+eLzDC/2tWbzWqN37RVgWxS4hAyPYsB7NYrSQvuCG2QdvKKKaY6+S8q9HS9XPq0L3EFcrNcR&#10;hrNrmL/VT4YH8lDg0KHP/QuzZmhjjwNwB+MIs+Wbbk7YYKlhvfMgm9jqx7oOpce5jz007KiwWF7f&#10;I+q4SVe/AAAA//8DAFBLAwQUAAYACAAAACEAEyE11uMAAAANAQAADwAAAGRycy9kb3ducmV2Lnht&#10;bEyPwU7DMAyG70i8Q2QkLmhLtiDalaYTICFx4cCYEMesCU21xqmarO14eswJjvb/6ffncjv7jo12&#10;iG1ABaulAGaxDqbFRsH+/XmRA4tJo9FdQKvgbCNsq8uLUhcmTPhmx11qGJVgLLQCl1JfcB5rZ72O&#10;y9BbpOwrDF4nGoeGm0FPVO47vhbijnvdIl1wurdPztbH3ckreD1L+TLeyOO0b2XTfvPPxw8XlLq+&#10;mh/ugSU7pz8YfvVJHSpyOoQTmsg6BYtcSEIpWG2yDTBCslzcAjvQap3lEnhV8v9fVD8AAAD//wMA&#10;UEsBAi0AFAAGAAgAAAAhALaDOJL+AAAA4QEAABMAAAAAAAAAAAAAAAAAAAAAAFtDb250ZW50X1R5&#10;cGVzXS54bWxQSwECLQAUAAYACAAAACEAOP0h/9YAAACUAQAACwAAAAAAAAAAAAAAAAAvAQAAX3Jl&#10;bHMvLnJlbHNQSwECLQAUAAYACAAAACEA/QxXF5kCAACRBQAADgAAAAAAAAAAAAAAAAAuAgAAZHJz&#10;L2Uyb0RvYy54bWxQSwECLQAUAAYACAAAACEAEyE11uMAAAANAQAADwAAAAAAAAAAAAAAAADzBAAA&#10;ZHJzL2Rvd25yZXYueG1sUEsFBgAAAAAEAAQA8wAAAAMGAAAAAA==&#10;" fillcolor="white [3212]" stroked="f" strokeweight="1pt">
                <v:textbox>
                  <w:txbxContent>
                    <w:p w14:paraId="4CBE650F" w14:textId="07C60E70" w:rsidR="00175103" w:rsidRPr="00BF3C8F" w:rsidRDefault="00175103" w:rsidP="00BF3C8F">
                      <w:pPr>
                        <w:ind w:left="0"/>
                        <w:rPr>
                          <w:b/>
                          <w:color w:val="CC0066"/>
                          <w:sz w:val="52"/>
                          <w:szCs w:val="52"/>
                        </w:rPr>
                      </w:pPr>
                      <w:r w:rsidRPr="00BF3C8F">
                        <w:rPr>
                          <w:b/>
                          <w:color w:val="CC0066"/>
                          <w:sz w:val="52"/>
                          <w:szCs w:val="52"/>
                        </w:rPr>
                        <w:t>Population Needs Assessment 2018</w:t>
                      </w:r>
                    </w:p>
                  </w:txbxContent>
                </v:textbox>
              </v:rect>
            </w:pict>
          </mc:Fallback>
        </mc:AlternateContent>
      </w:r>
      <w:r>
        <w:rPr>
          <w:noProof/>
        </w:rPr>
        <w:drawing>
          <wp:anchor distT="0" distB="0" distL="114300" distR="114300" simplePos="0" relativeHeight="251675648" behindDoc="0" locked="0" layoutInCell="1" allowOverlap="1" wp14:anchorId="0FD06BE1" wp14:editId="7AD62648">
            <wp:simplePos x="0" y="0"/>
            <wp:positionH relativeFrom="page">
              <wp:align>right</wp:align>
            </wp:positionH>
            <wp:positionV relativeFrom="paragraph">
              <wp:posOffset>1288883</wp:posOffset>
            </wp:positionV>
            <wp:extent cx="7590155" cy="6930189"/>
            <wp:effectExtent l="0" t="0" r="0" b="444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t="17976" b="17310"/>
                    <a:stretch/>
                  </pic:blipFill>
                  <pic:spPr bwMode="auto">
                    <a:xfrm>
                      <a:off x="0" y="0"/>
                      <a:ext cx="7590155" cy="69301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3C8F">
        <w:rPr>
          <w:noProof/>
        </w:rPr>
        <w:t xml:space="preserve"> </w:t>
      </w:r>
      <w:r w:rsidR="00677EDD">
        <w:br w:type="page"/>
      </w:r>
    </w:p>
    <w:p w14:paraId="69D8710E" w14:textId="09A644FB" w:rsidR="00F35C0D" w:rsidRDefault="00F35C0D" w:rsidP="00AF77BB">
      <w:pPr>
        <w:keepNext/>
        <w:keepLines/>
        <w:spacing w:line="240" w:lineRule="auto"/>
        <w:ind w:left="0"/>
        <w:outlineLvl w:val="0"/>
        <w:rPr>
          <w:rFonts w:asciiTheme="majorHAnsi" w:eastAsiaTheme="majorEastAsia" w:hAnsiTheme="majorHAnsi" w:cstheme="majorBidi"/>
          <w:b/>
          <w:color w:val="323E4F" w:themeColor="text2" w:themeShade="BF"/>
          <w:sz w:val="40"/>
          <w:szCs w:val="40"/>
        </w:rPr>
      </w:pPr>
      <w:bookmarkStart w:id="0" w:name="_Toc517431686"/>
      <w:r>
        <w:rPr>
          <w:rFonts w:asciiTheme="majorHAnsi" w:eastAsiaTheme="majorEastAsia" w:hAnsiTheme="majorHAnsi" w:cstheme="majorBidi"/>
          <w:b/>
          <w:color w:val="323E4F" w:themeColor="text2" w:themeShade="BF"/>
          <w:sz w:val="40"/>
          <w:szCs w:val="40"/>
        </w:rPr>
        <w:lastRenderedPageBreak/>
        <w:t>Foreword</w:t>
      </w:r>
    </w:p>
    <w:p w14:paraId="4AB0F633" w14:textId="78A89EA9" w:rsidR="00F35C0D" w:rsidRPr="00F35C0D" w:rsidRDefault="00F35C0D" w:rsidP="00AF77BB">
      <w:pPr>
        <w:keepNext/>
        <w:keepLines/>
        <w:spacing w:line="240" w:lineRule="auto"/>
        <w:ind w:left="0"/>
        <w:outlineLvl w:val="0"/>
        <w:rPr>
          <w:rFonts w:asciiTheme="majorHAnsi" w:eastAsiaTheme="majorEastAsia" w:hAnsiTheme="majorHAnsi" w:cstheme="majorBidi"/>
          <w:color w:val="000000" w:themeColor="text1"/>
          <w:sz w:val="24"/>
          <w:szCs w:val="24"/>
        </w:rPr>
      </w:pPr>
    </w:p>
    <w:p w14:paraId="77DBB506" w14:textId="574A1DD4" w:rsidR="00F35C0D" w:rsidRPr="00F35C0D" w:rsidRDefault="00F35C0D" w:rsidP="00AF77BB">
      <w:pPr>
        <w:keepNext/>
        <w:keepLines/>
        <w:spacing w:line="240" w:lineRule="auto"/>
        <w:ind w:left="0"/>
        <w:outlineLvl w:val="0"/>
        <w:rPr>
          <w:rFonts w:asciiTheme="majorHAnsi" w:eastAsiaTheme="majorEastAsia" w:hAnsiTheme="majorHAnsi" w:cstheme="majorBidi"/>
          <w:color w:val="000000" w:themeColor="text1"/>
          <w:sz w:val="24"/>
          <w:szCs w:val="24"/>
        </w:rPr>
      </w:pPr>
    </w:p>
    <w:p w14:paraId="0C4B78A0" w14:textId="2C9422ED" w:rsidR="00AF77BB" w:rsidRDefault="00F35C0D" w:rsidP="00AF77BB">
      <w:pPr>
        <w:keepNext/>
        <w:keepLines/>
        <w:spacing w:line="240" w:lineRule="auto"/>
        <w:ind w:left="0"/>
        <w:outlineLvl w:val="0"/>
        <w:rPr>
          <w:rFonts w:asciiTheme="majorHAnsi" w:eastAsiaTheme="majorEastAsia" w:hAnsiTheme="majorHAnsi" w:cstheme="majorBidi"/>
          <w:color w:val="000000" w:themeColor="text1"/>
          <w:sz w:val="24"/>
          <w:szCs w:val="24"/>
        </w:rPr>
      </w:pPr>
      <w:r w:rsidRPr="00F35C0D">
        <w:rPr>
          <w:rFonts w:asciiTheme="majorHAnsi" w:eastAsiaTheme="majorEastAsia" w:hAnsiTheme="majorHAnsi" w:cstheme="majorBidi"/>
          <w:color w:val="000000" w:themeColor="text1"/>
          <w:sz w:val="24"/>
          <w:szCs w:val="24"/>
        </w:rPr>
        <w:t>To follow</w:t>
      </w:r>
    </w:p>
    <w:p w14:paraId="4A0CA282" w14:textId="1ED0E04D" w:rsidR="00F35C0D" w:rsidRDefault="00F35C0D" w:rsidP="00AF77BB">
      <w:pPr>
        <w:keepNext/>
        <w:keepLines/>
        <w:spacing w:line="240" w:lineRule="auto"/>
        <w:ind w:left="0"/>
        <w:outlineLvl w:val="0"/>
        <w:rPr>
          <w:rFonts w:asciiTheme="majorHAnsi" w:eastAsiaTheme="majorEastAsia" w:hAnsiTheme="majorHAnsi" w:cstheme="majorBidi"/>
          <w:b/>
          <w:color w:val="323E4F" w:themeColor="text2" w:themeShade="BF"/>
          <w:sz w:val="40"/>
          <w:szCs w:val="40"/>
        </w:rPr>
      </w:pPr>
    </w:p>
    <w:p w14:paraId="4E39B679" w14:textId="7EC787AE" w:rsidR="00F35C0D" w:rsidRDefault="00F35C0D" w:rsidP="00AF77BB">
      <w:pPr>
        <w:keepNext/>
        <w:keepLines/>
        <w:spacing w:line="240" w:lineRule="auto"/>
        <w:ind w:left="0"/>
        <w:outlineLvl w:val="0"/>
        <w:rPr>
          <w:rFonts w:asciiTheme="majorHAnsi" w:eastAsiaTheme="majorEastAsia" w:hAnsiTheme="majorHAnsi" w:cstheme="majorBidi"/>
          <w:b/>
          <w:color w:val="323E4F" w:themeColor="text2" w:themeShade="BF"/>
          <w:sz w:val="40"/>
          <w:szCs w:val="40"/>
        </w:rPr>
      </w:pPr>
    </w:p>
    <w:p w14:paraId="1BCA3463" w14:textId="77777777" w:rsidR="00AF77BB" w:rsidRPr="00AF77BB" w:rsidRDefault="00AF77BB" w:rsidP="00F35C0D">
      <w:pPr>
        <w:pStyle w:val="ListParagraph"/>
        <w:keepNext/>
        <w:keepLines/>
        <w:spacing w:line="240" w:lineRule="auto"/>
        <w:ind w:left="2564"/>
        <w:outlineLvl w:val="0"/>
        <w:rPr>
          <w:rFonts w:asciiTheme="majorHAnsi" w:eastAsiaTheme="majorEastAsia" w:hAnsiTheme="majorHAnsi" w:cstheme="majorBidi"/>
          <w:color w:val="000000" w:themeColor="text1"/>
          <w:sz w:val="24"/>
          <w:szCs w:val="24"/>
        </w:rPr>
      </w:pPr>
    </w:p>
    <w:p w14:paraId="0F5A48BE" w14:textId="77777777" w:rsidR="00AF77BB" w:rsidRDefault="00AF77BB" w:rsidP="00AF77BB">
      <w:pPr>
        <w:keepNext/>
        <w:keepLines/>
        <w:spacing w:line="240" w:lineRule="auto"/>
        <w:ind w:left="0"/>
        <w:outlineLvl w:val="0"/>
        <w:rPr>
          <w:rFonts w:asciiTheme="majorHAnsi" w:eastAsiaTheme="majorEastAsia" w:hAnsiTheme="majorHAnsi" w:cstheme="majorBidi"/>
          <w:b/>
          <w:color w:val="323E4F" w:themeColor="text2" w:themeShade="BF"/>
          <w:sz w:val="40"/>
          <w:szCs w:val="40"/>
        </w:rPr>
      </w:pPr>
    </w:p>
    <w:p w14:paraId="342CEF3B" w14:textId="359D4593" w:rsidR="00AF77BB" w:rsidRDefault="00AF77BB" w:rsidP="00AF77BB">
      <w:pPr>
        <w:keepNext/>
        <w:keepLines/>
        <w:spacing w:line="240" w:lineRule="auto"/>
        <w:ind w:left="0"/>
        <w:outlineLvl w:val="0"/>
        <w:rPr>
          <w:rFonts w:asciiTheme="majorHAnsi" w:eastAsiaTheme="majorEastAsia" w:hAnsiTheme="majorHAnsi" w:cstheme="majorBidi"/>
          <w:b/>
          <w:color w:val="323E4F" w:themeColor="text2" w:themeShade="BF"/>
          <w:sz w:val="40"/>
          <w:szCs w:val="40"/>
        </w:rPr>
      </w:pPr>
    </w:p>
    <w:p w14:paraId="77463FAC" w14:textId="196A95ED" w:rsidR="00AF77BB" w:rsidRDefault="00AF77BB" w:rsidP="00AF77BB">
      <w:pPr>
        <w:keepNext/>
        <w:keepLines/>
        <w:spacing w:line="240" w:lineRule="auto"/>
        <w:ind w:left="0"/>
        <w:outlineLvl w:val="0"/>
        <w:rPr>
          <w:rFonts w:asciiTheme="majorHAnsi" w:eastAsiaTheme="majorEastAsia" w:hAnsiTheme="majorHAnsi" w:cstheme="majorBidi"/>
          <w:b/>
          <w:color w:val="323E4F" w:themeColor="text2" w:themeShade="BF"/>
          <w:sz w:val="40"/>
          <w:szCs w:val="40"/>
        </w:rPr>
      </w:pPr>
    </w:p>
    <w:p w14:paraId="27D11C81" w14:textId="11D96E76" w:rsidR="00AF77BB" w:rsidRPr="00E035F5" w:rsidRDefault="00AF77BB" w:rsidP="00AF77BB">
      <w:pPr>
        <w:keepNext/>
        <w:keepLines/>
        <w:spacing w:line="240" w:lineRule="auto"/>
        <w:ind w:left="0"/>
        <w:outlineLvl w:val="0"/>
        <w:rPr>
          <w:rFonts w:asciiTheme="majorHAnsi" w:eastAsiaTheme="majorEastAsia" w:hAnsiTheme="majorHAnsi" w:cstheme="majorBidi"/>
          <w:b/>
          <w:color w:val="323E4F" w:themeColor="text2" w:themeShade="BF"/>
          <w:sz w:val="40"/>
          <w:szCs w:val="40"/>
        </w:rPr>
      </w:pPr>
    </w:p>
    <w:p w14:paraId="7351B0EA" w14:textId="2CFC2686" w:rsidR="00AF77BB" w:rsidRPr="00E035F5" w:rsidRDefault="00AF77BB" w:rsidP="00AF77BB">
      <w:pPr>
        <w:keepNext/>
        <w:keepLines/>
        <w:spacing w:line="240" w:lineRule="auto"/>
        <w:ind w:left="0"/>
        <w:outlineLvl w:val="0"/>
        <w:rPr>
          <w:rFonts w:asciiTheme="majorHAnsi" w:eastAsiaTheme="majorEastAsia" w:hAnsiTheme="majorHAnsi" w:cstheme="majorBidi"/>
          <w:color w:val="CC0066"/>
          <w:sz w:val="16"/>
          <w:szCs w:val="16"/>
        </w:rPr>
      </w:pPr>
    </w:p>
    <w:p w14:paraId="1FFCFC6B" w14:textId="77777777" w:rsidR="00AF77BB" w:rsidRPr="00E035F5" w:rsidRDefault="00AF77BB" w:rsidP="00AF77BB">
      <w:pPr>
        <w:keepNext/>
        <w:keepLines/>
        <w:spacing w:line="240" w:lineRule="auto"/>
        <w:ind w:left="0"/>
        <w:outlineLvl w:val="0"/>
        <w:rPr>
          <w:rFonts w:asciiTheme="majorHAnsi" w:eastAsiaTheme="majorEastAsia" w:hAnsiTheme="majorHAnsi" w:cstheme="majorBidi"/>
          <w:b/>
          <w:color w:val="FFFFFF" w:themeColor="background1"/>
          <w:sz w:val="32"/>
          <w:szCs w:val="32"/>
        </w:rPr>
      </w:pPr>
    </w:p>
    <w:p w14:paraId="388F0779" w14:textId="77E0C499" w:rsidR="00AF77BB" w:rsidRDefault="00AF77BB" w:rsidP="00E035F5">
      <w:pPr>
        <w:keepNext/>
        <w:keepLines/>
        <w:spacing w:line="240" w:lineRule="auto"/>
        <w:ind w:left="0"/>
        <w:outlineLvl w:val="0"/>
        <w:rPr>
          <w:rFonts w:asciiTheme="majorHAnsi" w:eastAsiaTheme="majorEastAsia" w:hAnsiTheme="majorHAnsi" w:cstheme="majorBidi"/>
          <w:b/>
          <w:color w:val="323E4F" w:themeColor="text2" w:themeShade="BF"/>
          <w:sz w:val="40"/>
          <w:szCs w:val="40"/>
        </w:rPr>
        <w:sectPr w:rsidR="00AF77BB" w:rsidSect="00175103">
          <w:headerReference w:type="default" r:id="rId12"/>
          <w:footerReference w:type="default" r:id="rId13"/>
          <w:pgSz w:w="11906" w:h="16838"/>
          <w:pgMar w:top="993" w:right="1440" w:bottom="709" w:left="1440" w:header="708" w:footer="708" w:gutter="0"/>
          <w:cols w:space="708"/>
          <w:docGrid w:linePitch="360"/>
        </w:sectPr>
      </w:pPr>
    </w:p>
    <w:p w14:paraId="60DF4CE3" w14:textId="556C5894" w:rsidR="00E035F5" w:rsidRPr="00E035F5" w:rsidRDefault="00E035F5" w:rsidP="00E035F5">
      <w:pPr>
        <w:keepNext/>
        <w:keepLines/>
        <w:spacing w:line="240" w:lineRule="auto"/>
        <w:ind w:left="0"/>
        <w:outlineLvl w:val="0"/>
        <w:rPr>
          <w:rFonts w:asciiTheme="majorHAnsi" w:eastAsiaTheme="majorEastAsia" w:hAnsiTheme="majorHAnsi" w:cstheme="majorBidi"/>
          <w:b/>
          <w:color w:val="323E4F" w:themeColor="text2" w:themeShade="BF"/>
          <w:sz w:val="40"/>
          <w:szCs w:val="40"/>
        </w:rPr>
      </w:pPr>
      <w:r w:rsidRPr="00E035F5">
        <w:rPr>
          <w:rFonts w:asciiTheme="majorHAnsi" w:eastAsiaTheme="majorEastAsia" w:hAnsiTheme="majorHAnsi" w:cstheme="majorBidi"/>
          <w:b/>
          <w:color w:val="323E4F" w:themeColor="text2" w:themeShade="BF"/>
          <w:sz w:val="40"/>
          <w:szCs w:val="40"/>
        </w:rPr>
        <w:lastRenderedPageBreak/>
        <w:t>Executive Summary</w:t>
      </w:r>
    </w:p>
    <w:p w14:paraId="10F197F3" w14:textId="77777777" w:rsidR="00E035F5" w:rsidRPr="00E035F5" w:rsidRDefault="00E035F5" w:rsidP="00E035F5">
      <w:pPr>
        <w:keepNext/>
        <w:keepLines/>
        <w:spacing w:line="240" w:lineRule="auto"/>
        <w:ind w:left="0"/>
        <w:outlineLvl w:val="0"/>
        <w:rPr>
          <w:rFonts w:asciiTheme="majorHAnsi" w:eastAsiaTheme="majorEastAsia" w:hAnsiTheme="majorHAnsi" w:cstheme="majorBidi"/>
          <w:color w:val="CC0066"/>
          <w:sz w:val="16"/>
          <w:szCs w:val="16"/>
        </w:rPr>
      </w:pPr>
      <w:r w:rsidRPr="00E035F5">
        <w:rPr>
          <w:rFonts w:asciiTheme="majorHAnsi" w:eastAsiaTheme="majorEastAsia" w:hAnsiTheme="majorHAnsi" w:cstheme="majorBidi"/>
          <w:noProof/>
          <w:color w:val="CC0066"/>
          <w:sz w:val="16"/>
          <w:szCs w:val="16"/>
        </w:rPr>
        <w:drawing>
          <wp:anchor distT="0" distB="0" distL="114300" distR="114300" simplePos="0" relativeHeight="251683840" behindDoc="1" locked="0" layoutInCell="1" allowOverlap="1" wp14:anchorId="75B70C33" wp14:editId="0A5BF26C">
            <wp:simplePos x="0" y="0"/>
            <wp:positionH relativeFrom="margin">
              <wp:align>right</wp:align>
            </wp:positionH>
            <wp:positionV relativeFrom="paragraph">
              <wp:posOffset>122038</wp:posOffset>
            </wp:positionV>
            <wp:extent cx="5728970" cy="701749"/>
            <wp:effectExtent l="0" t="0" r="5080" b="3175"/>
            <wp:wrapNone/>
            <wp:docPr id="286" name="Picture 286" descr="C:\Users\MCochlan\AppData\Local\Microsoft\Windows\Temporary Internet Files\Content.Outlook\K69U4KO2\Header3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Cochlan\AppData\Local\Microsoft\Windows\Temporary Internet Files\Content.Outlook\K69U4KO2\Header3 (002).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1" t="28384" r="11" b="24788"/>
                    <a:stretch/>
                  </pic:blipFill>
                  <pic:spPr bwMode="auto">
                    <a:xfrm>
                      <a:off x="0" y="0"/>
                      <a:ext cx="5728970" cy="7017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5EEC78" w14:textId="77777777" w:rsidR="00E035F5" w:rsidRPr="00E035F5" w:rsidRDefault="00E035F5" w:rsidP="00E035F5">
      <w:pPr>
        <w:keepNext/>
        <w:keepLines/>
        <w:spacing w:line="240" w:lineRule="auto"/>
        <w:ind w:left="0"/>
        <w:outlineLvl w:val="0"/>
        <w:rPr>
          <w:rFonts w:asciiTheme="majorHAnsi" w:eastAsiaTheme="majorEastAsia" w:hAnsiTheme="majorHAnsi" w:cstheme="majorBidi"/>
          <w:b/>
          <w:color w:val="FFFFFF" w:themeColor="background1"/>
          <w:sz w:val="32"/>
          <w:szCs w:val="32"/>
        </w:rPr>
      </w:pPr>
    </w:p>
    <w:p w14:paraId="17A26AFF" w14:textId="77777777" w:rsidR="00E035F5" w:rsidRPr="00E035F5" w:rsidRDefault="00E035F5" w:rsidP="00E035F5">
      <w:pPr>
        <w:keepNext/>
        <w:keepLines/>
        <w:spacing w:line="240" w:lineRule="auto"/>
        <w:ind w:left="0"/>
        <w:jc w:val="center"/>
        <w:outlineLvl w:val="0"/>
        <w:rPr>
          <w:rFonts w:asciiTheme="majorHAnsi" w:eastAsiaTheme="majorEastAsia" w:hAnsiTheme="majorHAnsi" w:cstheme="majorBidi"/>
          <w:b/>
          <w:color w:val="FFFFFF" w:themeColor="background1"/>
          <w:sz w:val="36"/>
          <w:szCs w:val="36"/>
        </w:rPr>
      </w:pPr>
      <w:r w:rsidRPr="00E035F5">
        <w:rPr>
          <w:rFonts w:asciiTheme="majorHAnsi" w:eastAsiaTheme="majorEastAsia" w:hAnsiTheme="majorHAnsi" w:cstheme="majorBidi"/>
          <w:b/>
          <w:color w:val="FFFFFF" w:themeColor="background1"/>
          <w:sz w:val="36"/>
          <w:szCs w:val="36"/>
        </w:rPr>
        <w:t>OUR PEOPLE</w:t>
      </w:r>
    </w:p>
    <w:p w14:paraId="4CEF8357" w14:textId="77777777" w:rsidR="00E035F5" w:rsidRPr="00E035F5" w:rsidRDefault="00E035F5" w:rsidP="00E035F5">
      <w:pPr>
        <w:keepNext/>
        <w:keepLines/>
        <w:spacing w:line="240" w:lineRule="auto"/>
        <w:ind w:left="0"/>
        <w:outlineLvl w:val="0"/>
        <w:rPr>
          <w:rFonts w:asciiTheme="majorHAnsi" w:eastAsiaTheme="majorEastAsia" w:hAnsiTheme="majorHAnsi" w:cstheme="majorBidi"/>
          <w:b/>
          <w:color w:val="FFFFFF" w:themeColor="background1"/>
          <w:sz w:val="32"/>
          <w:szCs w:val="32"/>
        </w:rPr>
      </w:pPr>
    </w:p>
    <w:p w14:paraId="1B8E7E1E" w14:textId="77777777" w:rsidR="00E035F5" w:rsidRPr="00E035F5" w:rsidRDefault="00E035F5" w:rsidP="00E035F5">
      <w:pPr>
        <w:keepNext/>
        <w:keepLines/>
        <w:spacing w:line="240" w:lineRule="auto"/>
        <w:ind w:left="0"/>
        <w:outlineLvl w:val="0"/>
        <w:rPr>
          <w:rFonts w:asciiTheme="majorHAnsi" w:eastAsiaTheme="majorEastAsia" w:hAnsiTheme="majorHAnsi" w:cstheme="majorBidi"/>
          <w:b/>
          <w:color w:val="CC0066"/>
          <w:sz w:val="16"/>
          <w:szCs w:val="16"/>
        </w:rPr>
      </w:pPr>
    </w:p>
    <w:p w14:paraId="448912C0" w14:textId="77777777" w:rsidR="00E035F5" w:rsidRPr="00E035F5" w:rsidRDefault="00E035F5" w:rsidP="00E035F5">
      <w:pPr>
        <w:keepNext/>
        <w:keepLines/>
        <w:spacing w:line="240" w:lineRule="auto"/>
        <w:ind w:left="0"/>
        <w:outlineLvl w:val="0"/>
        <w:rPr>
          <w:rFonts w:asciiTheme="majorHAnsi" w:eastAsiaTheme="majorEastAsia" w:hAnsiTheme="majorHAnsi" w:cstheme="majorBidi"/>
          <w:b/>
          <w:color w:val="CC0066"/>
          <w:sz w:val="32"/>
          <w:szCs w:val="32"/>
        </w:rPr>
      </w:pPr>
      <w:r w:rsidRPr="00E035F5">
        <w:rPr>
          <w:rFonts w:asciiTheme="majorHAnsi" w:eastAsiaTheme="majorEastAsia" w:hAnsiTheme="majorHAnsi" w:cstheme="majorBidi"/>
          <w:b/>
          <w:color w:val="CC0066"/>
          <w:sz w:val="32"/>
          <w:szCs w:val="32"/>
        </w:rPr>
        <w:t>Demography</w:t>
      </w:r>
      <w:bookmarkEnd w:id="0"/>
    </w:p>
    <w:p w14:paraId="59A11F06" w14:textId="77777777" w:rsidR="00E035F5" w:rsidRPr="00E035F5" w:rsidRDefault="00E035F5" w:rsidP="00E035F5">
      <w:pPr>
        <w:spacing w:line="240" w:lineRule="auto"/>
        <w:ind w:left="0"/>
        <w:rPr>
          <w:b/>
          <w:sz w:val="16"/>
          <w:szCs w:val="16"/>
        </w:rPr>
      </w:pPr>
    </w:p>
    <w:p w14:paraId="153009C4" w14:textId="77777777" w:rsidR="00E035F5" w:rsidRPr="00E035F5" w:rsidRDefault="00E035F5" w:rsidP="00E035F5">
      <w:pPr>
        <w:numPr>
          <w:ilvl w:val="0"/>
          <w:numId w:val="33"/>
        </w:numPr>
        <w:spacing w:after="160" w:line="240" w:lineRule="auto"/>
        <w:ind w:left="426" w:hanging="426"/>
        <w:contextualSpacing/>
      </w:pPr>
      <w:r w:rsidRPr="00E035F5">
        <w:rPr>
          <w:b/>
        </w:rPr>
        <w:t>Population:</w:t>
      </w:r>
      <w:r w:rsidRPr="00E035F5">
        <w:t xml:space="preserve"> Following an 11-year period of year-on-year increases, the population of Aberdeen has decreased in each of the last two years and is currently at 228,800 – a drop of 1,550 since 2015.   The decrease in population has been driven by a combination of increased net out-migration (mainly from Aberdeen City to other parts of Scotland) combined with reduced net in-migration from overseas, resulting in overall negative net migration to the City (-2,385 between 2015 and 2017).  However, the effect of this was mitigated by positive natural change in the City (i.e. there were more births than deaths) of 794.  The recent decreases in population notwithstanding, population levels are still relatively high with an overall increase of 5.3% (11,500 people) since 1997.</w:t>
      </w:r>
    </w:p>
    <w:p w14:paraId="6EF35CD9" w14:textId="77777777" w:rsidR="00E035F5" w:rsidRPr="00E035F5" w:rsidRDefault="00E035F5" w:rsidP="00E035F5">
      <w:pPr>
        <w:spacing w:after="60"/>
        <w:ind w:left="0"/>
        <w:rPr>
          <w:b/>
          <w:sz w:val="16"/>
          <w:szCs w:val="16"/>
        </w:rPr>
      </w:pPr>
    </w:p>
    <w:p w14:paraId="093DD6F7" w14:textId="77777777" w:rsidR="00E035F5" w:rsidRPr="00E035F5" w:rsidRDefault="00E035F5" w:rsidP="00E035F5">
      <w:pPr>
        <w:spacing w:line="240" w:lineRule="auto"/>
        <w:contextualSpacing/>
      </w:pPr>
      <w:r w:rsidRPr="00E035F5">
        <w:rPr>
          <w:rFonts w:asciiTheme="majorHAnsi" w:eastAsiaTheme="majorEastAsia" w:hAnsiTheme="majorHAnsi" w:cstheme="majorBidi"/>
          <w:noProof/>
          <w:color w:val="2F5496" w:themeColor="accent1" w:themeShade="BF"/>
          <w:sz w:val="24"/>
          <w:szCs w:val="24"/>
        </w:rPr>
        <w:drawing>
          <wp:inline distT="0" distB="0" distL="0" distR="0" wp14:anchorId="046FD050" wp14:editId="50972D95">
            <wp:extent cx="4328160" cy="2200910"/>
            <wp:effectExtent l="0" t="0" r="0" b="889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28160" cy="2200910"/>
                    </a:xfrm>
                    <a:prstGeom prst="rect">
                      <a:avLst/>
                    </a:prstGeom>
                    <a:noFill/>
                  </pic:spPr>
                </pic:pic>
              </a:graphicData>
            </a:graphic>
          </wp:inline>
        </w:drawing>
      </w:r>
    </w:p>
    <w:p w14:paraId="246C6506" w14:textId="77777777" w:rsidR="00E035F5" w:rsidRPr="00E035F5" w:rsidRDefault="00E035F5" w:rsidP="00E035F5">
      <w:pPr>
        <w:spacing w:line="240" w:lineRule="auto"/>
        <w:ind w:left="426"/>
        <w:contextualSpacing/>
        <w:rPr>
          <w:b/>
          <w:sz w:val="16"/>
          <w:szCs w:val="16"/>
        </w:rPr>
      </w:pPr>
    </w:p>
    <w:p w14:paraId="6D6C5FDC" w14:textId="77777777" w:rsidR="00E035F5" w:rsidRPr="00E035F5" w:rsidRDefault="00E035F5" w:rsidP="00E035F5">
      <w:pPr>
        <w:numPr>
          <w:ilvl w:val="0"/>
          <w:numId w:val="33"/>
        </w:numPr>
        <w:spacing w:after="160" w:line="240" w:lineRule="auto"/>
        <w:ind w:left="426" w:hanging="426"/>
        <w:contextualSpacing/>
        <w:rPr>
          <w:b/>
          <w:sz w:val="16"/>
          <w:szCs w:val="16"/>
        </w:rPr>
      </w:pPr>
      <w:r w:rsidRPr="00E035F5">
        <w:rPr>
          <w:b/>
        </w:rPr>
        <w:t>Age structure:</w:t>
      </w:r>
      <w:r w:rsidRPr="00E035F5">
        <w:t xml:space="preserve"> Compared to Scotland, Aberdeen has a relatively young population.  The median age in Aberdeen is 36 years compared to 42 years for Scotland.  Comparison of broad age structures shows that Aberdeen has a higher proportion of working age people (69% compared to 64%) and a lower proportion of under 16 year-olds (15% compared to 17%) and people of pensionable age (16% compared to 19%) than does Scotland.  Within Aberdeen, however, the age structure varies considerably by neighbourhood.  </w:t>
      </w:r>
    </w:p>
    <w:p w14:paraId="71A65C1A" w14:textId="77777777" w:rsidR="00E035F5" w:rsidRPr="00E035F5" w:rsidRDefault="00E035F5" w:rsidP="00E035F5">
      <w:pPr>
        <w:spacing w:after="60" w:line="240" w:lineRule="auto"/>
        <w:ind w:left="426"/>
        <w:contextualSpacing/>
        <w:rPr>
          <w:b/>
          <w:sz w:val="16"/>
          <w:szCs w:val="16"/>
        </w:rPr>
      </w:pPr>
    </w:p>
    <w:p w14:paraId="162841EA" w14:textId="77777777" w:rsidR="00E035F5" w:rsidRPr="00E035F5" w:rsidRDefault="00E035F5" w:rsidP="00E035F5">
      <w:pPr>
        <w:numPr>
          <w:ilvl w:val="0"/>
          <w:numId w:val="33"/>
        </w:numPr>
        <w:spacing w:after="160" w:line="240" w:lineRule="auto"/>
        <w:ind w:left="426" w:hanging="426"/>
        <w:contextualSpacing/>
      </w:pPr>
      <w:r w:rsidRPr="00E035F5">
        <w:rPr>
          <w:b/>
        </w:rPr>
        <w:t>Ethnicity:</w:t>
      </w:r>
      <w:r w:rsidRPr="00E035F5">
        <w:t xml:space="preserve"> The City is also ethnically diverse.  Recent figures (2017) from National Records of Scotland estimate that 24% of the City’s population was born outside the UK (compared to 9.0% for Scotland).  Of those, it is estimated that 60% are from EU countries and 40% from non-EU countries.</w:t>
      </w:r>
    </w:p>
    <w:p w14:paraId="21757A36" w14:textId="77777777" w:rsidR="00E035F5" w:rsidRPr="00E035F5" w:rsidRDefault="00E035F5" w:rsidP="00E035F5">
      <w:pPr>
        <w:contextualSpacing/>
        <w:rPr>
          <w:b/>
          <w:sz w:val="16"/>
          <w:szCs w:val="16"/>
        </w:rPr>
      </w:pPr>
    </w:p>
    <w:p w14:paraId="32DE390B" w14:textId="1359148F" w:rsidR="00E035F5" w:rsidRDefault="00E035F5" w:rsidP="00E035F5">
      <w:pPr>
        <w:numPr>
          <w:ilvl w:val="0"/>
          <w:numId w:val="33"/>
        </w:numPr>
        <w:spacing w:after="160" w:line="240" w:lineRule="auto"/>
        <w:ind w:left="426" w:hanging="426"/>
        <w:contextualSpacing/>
      </w:pPr>
      <w:r w:rsidRPr="00E035F5">
        <w:rPr>
          <w:b/>
        </w:rPr>
        <w:t>Population projections:</w:t>
      </w:r>
      <w:r w:rsidRPr="00E035F5">
        <w:t xml:space="preserve">  By 2026 the population of Aberdeen is projected to increase by 3.2% to 237,169, with the largest projected increase in the 75+ years age group (15.5%). In terms of size, however, the 25-44 year age group is projected to remain the largest age group and the 75+ years group the smallest. These estimates are based on the principle projection.  Variant projections are also produced. Of these, the ‘low migration’ variant most closely matches our current situation.  This projects that the population of Aberdeen City will fall by 0.3% between 2016 and 2026 giving an estimated population of 229,172. </w:t>
      </w:r>
    </w:p>
    <w:p w14:paraId="54F80FD9" w14:textId="77777777" w:rsidR="00E035F5" w:rsidRDefault="00E035F5" w:rsidP="00E035F5">
      <w:pPr>
        <w:pStyle w:val="ListParagraph"/>
      </w:pPr>
    </w:p>
    <w:p w14:paraId="5B7666B3" w14:textId="77777777" w:rsidR="00E035F5" w:rsidRPr="00E035F5" w:rsidRDefault="00E035F5" w:rsidP="00E035F5">
      <w:pPr>
        <w:spacing w:after="160" w:line="240" w:lineRule="auto"/>
        <w:ind w:left="426"/>
        <w:contextualSpacing/>
      </w:pPr>
    </w:p>
    <w:p w14:paraId="123F2328" w14:textId="77777777" w:rsidR="00E035F5" w:rsidRPr="00E035F5" w:rsidRDefault="00E035F5" w:rsidP="00E035F5">
      <w:pPr>
        <w:numPr>
          <w:ilvl w:val="0"/>
          <w:numId w:val="33"/>
        </w:numPr>
        <w:spacing w:after="160" w:line="240" w:lineRule="auto"/>
        <w:ind w:left="426" w:hanging="426"/>
        <w:contextualSpacing/>
      </w:pPr>
      <w:r w:rsidRPr="00E035F5">
        <w:rPr>
          <w:b/>
        </w:rPr>
        <w:t xml:space="preserve">Births: </w:t>
      </w:r>
      <w:r w:rsidRPr="00E035F5">
        <w:t xml:space="preserve">In 2017 there were 2,402 births in Aberdeen City – a decrease of 4.7% from 2,512 births in 2016.  Between 2016 and 2017 the birth rate fell from 8.5 to 8.3 per 1,000 population and is the second lowest (behind Edinburgh City) in Scotland.  Compared to 30 years ago, more births are now to older mothers. </w:t>
      </w:r>
    </w:p>
    <w:p w14:paraId="1B3465F0" w14:textId="77777777" w:rsidR="00E035F5" w:rsidRPr="00E035F5" w:rsidRDefault="00E035F5" w:rsidP="00E035F5">
      <w:pPr>
        <w:spacing w:line="240" w:lineRule="auto"/>
        <w:ind w:left="426"/>
        <w:contextualSpacing/>
      </w:pPr>
    </w:p>
    <w:p w14:paraId="443768B3" w14:textId="77777777" w:rsidR="00E035F5" w:rsidRPr="00E035F5" w:rsidRDefault="00E035F5" w:rsidP="00E035F5">
      <w:pPr>
        <w:numPr>
          <w:ilvl w:val="0"/>
          <w:numId w:val="33"/>
        </w:numPr>
        <w:spacing w:after="160" w:line="240" w:lineRule="auto"/>
        <w:ind w:left="426" w:hanging="426"/>
        <w:contextualSpacing/>
      </w:pPr>
      <w:r w:rsidRPr="00E035F5">
        <w:rPr>
          <w:b/>
        </w:rPr>
        <w:t xml:space="preserve">Deaths: </w:t>
      </w:r>
      <w:r w:rsidRPr="00E035F5">
        <w:t>In 2017 there were 2,130 deaths in Aberdeen City – essentially unchanged from 2,129 in 2016.  While the mortality rate remained unchanged at 10.6 per 1,000 population in Aberdeen City, in Scotland the rate increased between 2016 and 2017 from 10.5 to 10.7 per 1,000 people.</w:t>
      </w:r>
    </w:p>
    <w:p w14:paraId="1CB883EE" w14:textId="77777777" w:rsidR="00E035F5" w:rsidRPr="00E035F5" w:rsidRDefault="00E035F5" w:rsidP="00E035F5">
      <w:pPr>
        <w:contextualSpacing/>
      </w:pPr>
    </w:p>
    <w:p w14:paraId="6DAA0053" w14:textId="77777777" w:rsidR="00E035F5" w:rsidRPr="00E035F5" w:rsidRDefault="00E035F5" w:rsidP="00E035F5">
      <w:pPr>
        <w:spacing w:after="160" w:line="240" w:lineRule="auto"/>
        <w:ind w:left="0"/>
      </w:pPr>
      <w:r w:rsidRPr="00E035F5">
        <w:rPr>
          <w:noProof/>
        </w:rPr>
        <w:drawing>
          <wp:anchor distT="0" distB="0" distL="114300" distR="114300" simplePos="0" relativeHeight="251680768" behindDoc="0" locked="0" layoutInCell="1" allowOverlap="1" wp14:anchorId="52BC8086" wp14:editId="249B74E4">
            <wp:simplePos x="0" y="0"/>
            <wp:positionH relativeFrom="margin">
              <wp:posOffset>318666</wp:posOffset>
            </wp:positionH>
            <wp:positionV relativeFrom="paragraph">
              <wp:posOffset>15078</wp:posOffset>
            </wp:positionV>
            <wp:extent cx="4837430" cy="2463800"/>
            <wp:effectExtent l="0" t="0" r="1270" b="0"/>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37430" cy="2463800"/>
                    </a:xfrm>
                    <a:prstGeom prst="rect">
                      <a:avLst/>
                    </a:prstGeom>
                    <a:noFill/>
                  </pic:spPr>
                </pic:pic>
              </a:graphicData>
            </a:graphic>
            <wp14:sizeRelH relativeFrom="margin">
              <wp14:pctWidth>0</wp14:pctWidth>
            </wp14:sizeRelH>
            <wp14:sizeRelV relativeFrom="margin">
              <wp14:pctHeight>0</wp14:pctHeight>
            </wp14:sizeRelV>
          </wp:anchor>
        </w:drawing>
      </w:r>
    </w:p>
    <w:p w14:paraId="2DDB5934" w14:textId="77777777" w:rsidR="00E035F5" w:rsidRPr="00E035F5" w:rsidRDefault="00E035F5" w:rsidP="00E035F5">
      <w:pPr>
        <w:spacing w:after="160" w:line="240" w:lineRule="auto"/>
        <w:ind w:left="0"/>
      </w:pPr>
    </w:p>
    <w:p w14:paraId="52F9ECD7" w14:textId="77777777" w:rsidR="00E035F5" w:rsidRPr="00E035F5" w:rsidRDefault="00E035F5" w:rsidP="00E035F5">
      <w:pPr>
        <w:spacing w:after="60"/>
        <w:ind w:left="0"/>
        <w:rPr>
          <w:b/>
        </w:rPr>
      </w:pPr>
    </w:p>
    <w:p w14:paraId="58FFE2D9" w14:textId="77777777" w:rsidR="00E035F5" w:rsidRPr="00E035F5" w:rsidRDefault="00E035F5" w:rsidP="00E035F5">
      <w:pPr>
        <w:spacing w:after="60"/>
        <w:ind w:left="0"/>
        <w:rPr>
          <w:b/>
        </w:rPr>
      </w:pPr>
    </w:p>
    <w:p w14:paraId="6BAE8A80" w14:textId="77777777" w:rsidR="00E035F5" w:rsidRPr="00E035F5" w:rsidRDefault="00E035F5" w:rsidP="00E035F5">
      <w:pPr>
        <w:spacing w:after="60"/>
        <w:ind w:left="0"/>
        <w:rPr>
          <w:b/>
        </w:rPr>
      </w:pPr>
    </w:p>
    <w:p w14:paraId="22045161" w14:textId="77777777" w:rsidR="00E035F5" w:rsidRPr="00E035F5" w:rsidRDefault="00E035F5" w:rsidP="00E035F5">
      <w:pPr>
        <w:spacing w:after="60"/>
        <w:ind w:left="0"/>
        <w:rPr>
          <w:b/>
        </w:rPr>
      </w:pPr>
    </w:p>
    <w:p w14:paraId="1AB2B9E7" w14:textId="77777777" w:rsidR="00E035F5" w:rsidRPr="00E035F5" w:rsidRDefault="00E035F5" w:rsidP="00E035F5">
      <w:pPr>
        <w:spacing w:after="60"/>
        <w:ind w:left="0"/>
        <w:rPr>
          <w:b/>
        </w:rPr>
      </w:pPr>
    </w:p>
    <w:p w14:paraId="55928738" w14:textId="77777777" w:rsidR="00E035F5" w:rsidRPr="00E035F5" w:rsidRDefault="00E035F5" w:rsidP="00E035F5">
      <w:pPr>
        <w:spacing w:after="60"/>
        <w:ind w:left="0"/>
        <w:rPr>
          <w:b/>
        </w:rPr>
      </w:pPr>
    </w:p>
    <w:p w14:paraId="715A40F0" w14:textId="77777777" w:rsidR="00E035F5" w:rsidRPr="00E035F5" w:rsidRDefault="00E035F5" w:rsidP="00E035F5">
      <w:pPr>
        <w:spacing w:after="60"/>
        <w:ind w:left="0"/>
        <w:rPr>
          <w:b/>
        </w:rPr>
      </w:pPr>
    </w:p>
    <w:p w14:paraId="2E7A2FF9" w14:textId="77777777" w:rsidR="00E035F5" w:rsidRPr="00E035F5" w:rsidRDefault="00E035F5" w:rsidP="00E035F5">
      <w:pPr>
        <w:spacing w:after="60"/>
        <w:ind w:left="0"/>
        <w:rPr>
          <w:b/>
        </w:rPr>
      </w:pPr>
    </w:p>
    <w:p w14:paraId="208F35CE" w14:textId="77777777" w:rsidR="00E035F5" w:rsidRPr="00E035F5" w:rsidRDefault="00E035F5" w:rsidP="00E035F5">
      <w:pPr>
        <w:spacing w:after="60"/>
        <w:ind w:left="0"/>
        <w:rPr>
          <w:b/>
        </w:rPr>
      </w:pPr>
    </w:p>
    <w:p w14:paraId="310FEB37" w14:textId="77777777" w:rsidR="00E035F5" w:rsidRPr="00E035F5" w:rsidRDefault="00E035F5" w:rsidP="00E035F5">
      <w:pPr>
        <w:spacing w:after="60"/>
        <w:ind w:left="0"/>
        <w:rPr>
          <w:b/>
        </w:rPr>
      </w:pPr>
    </w:p>
    <w:p w14:paraId="4ABF6C7B" w14:textId="77777777" w:rsidR="00E035F5" w:rsidRPr="00E035F5" w:rsidRDefault="00E035F5" w:rsidP="00E035F5">
      <w:pPr>
        <w:numPr>
          <w:ilvl w:val="0"/>
          <w:numId w:val="33"/>
        </w:numPr>
        <w:spacing w:after="160" w:line="240" w:lineRule="auto"/>
        <w:ind w:left="426" w:hanging="426"/>
        <w:contextualSpacing/>
      </w:pPr>
      <w:r w:rsidRPr="00E035F5">
        <w:rPr>
          <w:b/>
        </w:rPr>
        <w:t xml:space="preserve">Early deaths (15-44 years, all causes):  </w:t>
      </w:r>
      <w:r w:rsidRPr="00E035F5">
        <w:t>In 2014-2016 the average rate for all-cause mortality in 15-44 year olds was 105.2 per 100,000 population (compared to 102.2 for Scotland).  There was considerable variation within Aberdeen with rates ranging from a low of 0.0 in Braeside, Mannofield, Broomhill and Seafield South to 322.9 per 100,000 population in Seaton.</w:t>
      </w:r>
    </w:p>
    <w:p w14:paraId="2CB179CF" w14:textId="77777777" w:rsidR="00E035F5" w:rsidRPr="00E035F5" w:rsidRDefault="00E035F5" w:rsidP="00E035F5">
      <w:pPr>
        <w:spacing w:line="240" w:lineRule="auto"/>
        <w:ind w:left="426"/>
        <w:contextualSpacing/>
      </w:pPr>
    </w:p>
    <w:p w14:paraId="2F9ACCD9" w14:textId="77777777" w:rsidR="00E035F5" w:rsidRPr="00E035F5" w:rsidRDefault="00E035F5" w:rsidP="00E035F5">
      <w:pPr>
        <w:numPr>
          <w:ilvl w:val="0"/>
          <w:numId w:val="33"/>
        </w:numPr>
        <w:spacing w:after="160" w:line="240" w:lineRule="auto"/>
        <w:ind w:left="426" w:hanging="426"/>
        <w:contextualSpacing/>
      </w:pPr>
      <w:r w:rsidRPr="00E035F5">
        <w:rPr>
          <w:b/>
        </w:rPr>
        <w:t>Estimated life expectancy:</w:t>
      </w:r>
      <w:r w:rsidRPr="00E035F5">
        <w:t xml:space="preserve">  In 2014-2016 estimated life expectancy at birth was 80.8 years for females and 76.4 years for males. Both male and female life expectancy have decreased in each of the last three years and are now lower than average life expectancy for Scotland.  Consistent with longer-term trends in Scotland, both male and female life expectancy have increased since 2001-2003, with the rate of increase being higher in males than females, thus narrowing the gap between male and female life expectancy. However, the rates of increase in this period were lower in Aberdeen City than for all other local authorities.</w:t>
      </w:r>
    </w:p>
    <w:p w14:paraId="60B161B8" w14:textId="77777777" w:rsidR="00E035F5" w:rsidRPr="00E035F5" w:rsidRDefault="00E035F5" w:rsidP="00E035F5">
      <w:pPr>
        <w:contextualSpacing/>
        <w:rPr>
          <w:b/>
        </w:rPr>
      </w:pPr>
    </w:p>
    <w:p w14:paraId="0FFEB53A" w14:textId="77777777" w:rsidR="00E035F5" w:rsidRPr="00E035F5" w:rsidRDefault="00E035F5" w:rsidP="00E035F5">
      <w:pPr>
        <w:numPr>
          <w:ilvl w:val="0"/>
          <w:numId w:val="33"/>
        </w:numPr>
        <w:spacing w:after="160" w:line="240" w:lineRule="auto"/>
        <w:ind w:left="426" w:hanging="426"/>
        <w:contextualSpacing/>
      </w:pPr>
      <w:r w:rsidRPr="00E035F5">
        <w:rPr>
          <w:b/>
        </w:rPr>
        <w:t>Estimated life expectancy by deprivation</w:t>
      </w:r>
      <w:r w:rsidRPr="00E035F5">
        <w:t>: Estimated life expectancy is strongly associated with deprivation.  Males in the most deprived quintile (SIMD 2016) in Aberdeen have a life expectancy of 72.0 years compared to 81.0 years for those in the least deprived quintile – a difference of 9 years.  Females in the most deprived quintile have a life expectancy of 77.1 years compared to 84.1 years for those in the least deprived quintile – a difference of 6.4 years.</w:t>
      </w:r>
    </w:p>
    <w:p w14:paraId="397B1C55" w14:textId="77777777" w:rsidR="00E035F5" w:rsidRPr="00E035F5" w:rsidRDefault="00E035F5" w:rsidP="00E035F5">
      <w:pPr>
        <w:contextualSpacing/>
        <w:rPr>
          <w:b/>
        </w:rPr>
      </w:pPr>
    </w:p>
    <w:p w14:paraId="42FAAD70" w14:textId="77777777" w:rsidR="00E035F5" w:rsidRPr="00E035F5" w:rsidRDefault="00E035F5" w:rsidP="00E035F5">
      <w:pPr>
        <w:numPr>
          <w:ilvl w:val="0"/>
          <w:numId w:val="33"/>
        </w:numPr>
        <w:spacing w:after="160" w:line="240" w:lineRule="auto"/>
        <w:ind w:left="426" w:hanging="426"/>
        <w:contextualSpacing/>
      </w:pPr>
      <w:r w:rsidRPr="00E035F5">
        <w:rPr>
          <w:b/>
        </w:rPr>
        <w:t>Healthy life expectancy:</w:t>
      </w:r>
      <w:r w:rsidRPr="00E035F5">
        <w:t xml:space="preserve">  In Aberdeen healthy life expectancy is 65.0 years for males and 67.4 years for females, giving expected periods of ‘not healthy’ health of 11.9 years for males and 13.8 years for females.  Therefore, while females have a higher life expectancy than males, they also experience a longer period of ‘not healthy’ health than males.  As with life expectancy, healthy life expectancy is strongly associated with deprivation with the expected period of ‘not healthy’ health increasing with increasing deprivation.</w:t>
      </w:r>
    </w:p>
    <w:p w14:paraId="25DC833F" w14:textId="77777777" w:rsidR="00E035F5" w:rsidRPr="00E035F5" w:rsidRDefault="00E035F5" w:rsidP="00E035F5">
      <w:pPr>
        <w:keepNext/>
        <w:keepLines/>
        <w:spacing w:line="240" w:lineRule="auto"/>
        <w:ind w:left="0"/>
        <w:outlineLvl w:val="0"/>
        <w:rPr>
          <w:rFonts w:asciiTheme="majorHAnsi" w:eastAsiaTheme="majorEastAsia" w:hAnsiTheme="majorHAnsi" w:cstheme="majorBidi"/>
          <w:b/>
          <w:color w:val="CC0066"/>
          <w:sz w:val="32"/>
          <w:szCs w:val="32"/>
        </w:rPr>
      </w:pPr>
      <w:r w:rsidRPr="00E035F5">
        <w:rPr>
          <w:rFonts w:asciiTheme="majorHAnsi" w:eastAsiaTheme="majorEastAsia" w:hAnsiTheme="majorHAnsi" w:cstheme="majorBidi"/>
          <w:b/>
          <w:color w:val="CC0066"/>
          <w:sz w:val="32"/>
          <w:szCs w:val="32"/>
        </w:rPr>
        <w:lastRenderedPageBreak/>
        <w:t>Children</w:t>
      </w:r>
    </w:p>
    <w:p w14:paraId="17A3CE66" w14:textId="77777777" w:rsidR="00E035F5" w:rsidRPr="00E035F5" w:rsidRDefault="00E035F5" w:rsidP="00E035F5">
      <w:pPr>
        <w:keepNext/>
        <w:keepLines/>
        <w:spacing w:line="240" w:lineRule="auto"/>
        <w:ind w:left="0"/>
        <w:outlineLvl w:val="0"/>
        <w:rPr>
          <w:rFonts w:asciiTheme="majorHAnsi" w:eastAsiaTheme="majorEastAsia" w:hAnsiTheme="majorHAnsi" w:cstheme="majorBidi"/>
          <w:b/>
          <w:color w:val="CC0066"/>
          <w:sz w:val="16"/>
          <w:szCs w:val="16"/>
        </w:rPr>
      </w:pPr>
    </w:p>
    <w:p w14:paraId="0231CF9D" w14:textId="77777777" w:rsidR="00E035F5" w:rsidRPr="00E035F5" w:rsidRDefault="00E035F5" w:rsidP="00E035F5">
      <w:pPr>
        <w:numPr>
          <w:ilvl w:val="0"/>
          <w:numId w:val="33"/>
        </w:numPr>
        <w:spacing w:after="160" w:line="240" w:lineRule="auto"/>
        <w:ind w:left="426" w:hanging="426"/>
        <w:contextualSpacing/>
      </w:pPr>
      <w:r w:rsidRPr="00E035F5">
        <w:rPr>
          <w:b/>
        </w:rPr>
        <w:t xml:space="preserve">Child population:  </w:t>
      </w:r>
      <w:r w:rsidRPr="00E035F5">
        <w:t>In 2017 there were 34,495 children (0-15 years) in Aberdeen City – 15% of the City’s population.  Both the number and proportion of children varies by neighbourhood. In terms of numbers, Old Aberdeen has the smallest child population (300) while Cults, Bieldside and Milltimber has the largest (2,149).  Hanover has the smallest proportion of children (6.9% of the population) and Middlefield the largest (23.3%).  20% of households in Aberdeen City include children.  Single parent families make up 20% of all households with children.</w:t>
      </w:r>
    </w:p>
    <w:p w14:paraId="4BF6621F" w14:textId="77777777" w:rsidR="00E035F5" w:rsidRPr="00E035F5" w:rsidRDefault="00E035F5" w:rsidP="00E035F5">
      <w:pPr>
        <w:spacing w:line="240" w:lineRule="auto"/>
        <w:ind w:left="426"/>
        <w:contextualSpacing/>
        <w:rPr>
          <w:sz w:val="16"/>
          <w:szCs w:val="16"/>
        </w:rPr>
      </w:pPr>
    </w:p>
    <w:p w14:paraId="461F1FEC" w14:textId="77777777" w:rsidR="00E035F5" w:rsidRPr="00E035F5" w:rsidRDefault="00E035F5" w:rsidP="00E035F5">
      <w:pPr>
        <w:numPr>
          <w:ilvl w:val="0"/>
          <w:numId w:val="33"/>
        </w:numPr>
        <w:spacing w:after="160" w:line="240" w:lineRule="auto"/>
        <w:ind w:left="425" w:hanging="426"/>
        <w:contextualSpacing/>
      </w:pPr>
      <w:r w:rsidRPr="00E035F5">
        <w:rPr>
          <w:noProof/>
        </w:rPr>
        <w:drawing>
          <wp:anchor distT="0" distB="0" distL="114300" distR="114300" simplePos="0" relativeHeight="251681792" behindDoc="0" locked="0" layoutInCell="1" allowOverlap="1" wp14:anchorId="7AE00AFE" wp14:editId="0012AD03">
            <wp:simplePos x="0" y="0"/>
            <wp:positionH relativeFrom="margin">
              <wp:align>center</wp:align>
            </wp:positionH>
            <wp:positionV relativeFrom="paragraph">
              <wp:posOffset>1307967</wp:posOffset>
            </wp:positionV>
            <wp:extent cx="5241290" cy="2593975"/>
            <wp:effectExtent l="0" t="0" r="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41290" cy="2593975"/>
                    </a:xfrm>
                    <a:prstGeom prst="rect">
                      <a:avLst/>
                    </a:prstGeom>
                    <a:noFill/>
                  </pic:spPr>
                </pic:pic>
              </a:graphicData>
            </a:graphic>
            <wp14:sizeRelH relativeFrom="margin">
              <wp14:pctWidth>0</wp14:pctWidth>
            </wp14:sizeRelH>
            <wp14:sizeRelV relativeFrom="margin">
              <wp14:pctHeight>0</wp14:pctHeight>
            </wp14:sizeRelV>
          </wp:anchor>
        </w:drawing>
      </w:r>
      <w:r w:rsidRPr="00E035F5">
        <w:rPr>
          <w:b/>
        </w:rPr>
        <w:t>Looked after children (LAC)</w:t>
      </w:r>
      <w:r w:rsidRPr="00E035F5">
        <w:t xml:space="preserve">:  In July 2017 there were 590 looked after children in Aberdeen City – equivalent to 1.6% of the 0-17 years population.  This is higher than the equivalent rate for Scotland of 1.4%.  Almost half (49%) of LAC in Aberdeen live in foster care. While improved, the attainment outcomes for LAC are still lower than those for all pupils. In 2016/17 in Aberdeen City 74% of LAC left school with 1 or more qualification at SCQF level 4 (78% for Scotland).  While attendance rates for LAC were the same in Aberdeen City and Scotland at 91%, the exclusion rate was higher in Aberdeen (244 compared to 169 per 1,000 pupils in Scotland).  </w:t>
      </w:r>
    </w:p>
    <w:p w14:paraId="3318775A" w14:textId="77777777" w:rsidR="00E035F5" w:rsidRPr="00E035F5" w:rsidRDefault="00E035F5" w:rsidP="00E035F5">
      <w:pPr>
        <w:spacing w:line="240" w:lineRule="auto"/>
        <w:ind w:left="425"/>
        <w:contextualSpacing/>
        <w:rPr>
          <w:sz w:val="16"/>
          <w:szCs w:val="16"/>
        </w:rPr>
      </w:pPr>
    </w:p>
    <w:p w14:paraId="4CA790A2" w14:textId="77777777" w:rsidR="00E035F5" w:rsidRPr="00E035F5" w:rsidRDefault="00E035F5" w:rsidP="00E035F5">
      <w:pPr>
        <w:numPr>
          <w:ilvl w:val="0"/>
          <w:numId w:val="33"/>
        </w:numPr>
        <w:spacing w:after="160" w:line="240" w:lineRule="auto"/>
        <w:ind w:left="425" w:hanging="426"/>
        <w:contextualSpacing/>
      </w:pPr>
      <w:r w:rsidRPr="00E035F5">
        <w:rPr>
          <w:b/>
        </w:rPr>
        <w:t>Child protection</w:t>
      </w:r>
      <w:r w:rsidRPr="00E035F5">
        <w:t xml:space="preserve">:  In 2017 there were 81 children on the Child Protection Register in Aberdeen City.  Despite fluctuations, overall the number of children on the Register in Aberdeen City has fallen over the past 10 years.  Similarly, the rate (per 1,000 population aged 0-15 years) has dropped from 4.4 to 2.4 in the 10 years from 2007 to 2017.  In 2016-2017, 4.9% of child protection registrations were re-registered within 18 months – lower than Scotland at 6.5%.  </w:t>
      </w:r>
    </w:p>
    <w:p w14:paraId="536487FE" w14:textId="77777777" w:rsidR="00E035F5" w:rsidRPr="00E035F5" w:rsidRDefault="00E035F5" w:rsidP="00E035F5">
      <w:pPr>
        <w:contextualSpacing/>
        <w:rPr>
          <w:b/>
          <w:sz w:val="16"/>
          <w:szCs w:val="16"/>
        </w:rPr>
      </w:pPr>
    </w:p>
    <w:p w14:paraId="52C1FFC0" w14:textId="77777777" w:rsidR="00E035F5" w:rsidRPr="00E035F5" w:rsidRDefault="00E035F5" w:rsidP="00E035F5">
      <w:pPr>
        <w:numPr>
          <w:ilvl w:val="0"/>
          <w:numId w:val="33"/>
        </w:numPr>
        <w:spacing w:after="160" w:line="240" w:lineRule="auto"/>
        <w:ind w:left="426" w:hanging="426"/>
        <w:contextualSpacing/>
      </w:pPr>
      <w:r w:rsidRPr="00E035F5">
        <w:rPr>
          <w:b/>
        </w:rPr>
        <w:t xml:space="preserve">Child and adolescent mental health (CAMHS): </w:t>
      </w:r>
      <w:r w:rsidRPr="00E035F5">
        <w:t>In 2017, a total of 1,212 CAMHS patients were seen in Grampian.  Of these, 37.7% were seen within the target 18-week period, compared to 77.5% in Scotland.   As at 31</w:t>
      </w:r>
      <w:r w:rsidRPr="00E035F5">
        <w:rPr>
          <w:vertAlign w:val="superscript"/>
        </w:rPr>
        <w:t>st</w:t>
      </w:r>
      <w:r w:rsidRPr="00E035F5">
        <w:t xml:space="preserve"> December 2017, NHS Grampian employed 46.2 whole time equivalent clinical staff in child and adolescent mental health services per 100,000 population of 0 to 18 year-olds.  This is the second lowest rate in Scotland.</w:t>
      </w:r>
    </w:p>
    <w:p w14:paraId="777D58D7" w14:textId="77777777" w:rsidR="00E035F5" w:rsidRPr="00E035F5" w:rsidRDefault="00E035F5" w:rsidP="00E035F5">
      <w:pPr>
        <w:contextualSpacing/>
        <w:rPr>
          <w:b/>
          <w:sz w:val="16"/>
          <w:szCs w:val="16"/>
        </w:rPr>
      </w:pPr>
    </w:p>
    <w:p w14:paraId="1EC6261F" w14:textId="77777777" w:rsidR="00E035F5" w:rsidRPr="00E035F5" w:rsidRDefault="00E035F5" w:rsidP="00E035F5">
      <w:pPr>
        <w:numPr>
          <w:ilvl w:val="0"/>
          <w:numId w:val="33"/>
        </w:numPr>
        <w:spacing w:after="160" w:line="240" w:lineRule="auto"/>
        <w:ind w:left="426" w:right="-613" w:hanging="426"/>
        <w:contextualSpacing/>
      </w:pPr>
      <w:r w:rsidRPr="00E035F5">
        <w:rPr>
          <w:b/>
        </w:rPr>
        <w:t xml:space="preserve">Early learning and childcare:  </w:t>
      </w:r>
      <w:r w:rsidRPr="00E035F5">
        <w:t>In June 2017, 91% of all eligible children in Aberdeen City in their immediate pre-school year and 82% in their ante pre-school year received free or funded early learning and children places.  In 2016/17, 26% of eligible two year-olds received free or funded places.</w:t>
      </w:r>
    </w:p>
    <w:p w14:paraId="32B12A09" w14:textId="77777777" w:rsidR="00E035F5" w:rsidRPr="00E035F5" w:rsidRDefault="00E035F5" w:rsidP="00E035F5">
      <w:pPr>
        <w:spacing w:line="240" w:lineRule="auto"/>
        <w:ind w:left="426" w:right="-613"/>
        <w:contextualSpacing/>
        <w:rPr>
          <w:sz w:val="16"/>
          <w:szCs w:val="16"/>
        </w:rPr>
      </w:pPr>
    </w:p>
    <w:p w14:paraId="51A66CA4" w14:textId="77777777" w:rsidR="00E035F5" w:rsidRPr="00E035F5" w:rsidRDefault="00E035F5" w:rsidP="00E035F5">
      <w:pPr>
        <w:numPr>
          <w:ilvl w:val="0"/>
          <w:numId w:val="33"/>
        </w:numPr>
        <w:spacing w:after="160" w:line="240" w:lineRule="auto"/>
        <w:ind w:left="426" w:hanging="426"/>
        <w:contextualSpacing/>
      </w:pPr>
      <w:r w:rsidRPr="00E035F5">
        <w:rPr>
          <w:b/>
        </w:rPr>
        <w:t xml:space="preserve">School and pupil numbers:  </w:t>
      </w:r>
      <w:r w:rsidRPr="00E035F5">
        <w:t xml:space="preserve">In September 2017 there were 22,733 primary school pupils and 8,667 secondary school pupils in Aberdeen City.  29.5% of primary pupils and 30.9% of secondary pupils in the City had additional support needs (compared to 23.5% and 29.3% respectively for Scotland). A fifth (20.3%) of school pupils in Aberdeen City do not have English as their main home language.  </w:t>
      </w:r>
    </w:p>
    <w:p w14:paraId="78A2B374" w14:textId="77777777" w:rsidR="00E035F5" w:rsidRPr="00E035F5" w:rsidRDefault="00E035F5" w:rsidP="00E035F5">
      <w:pPr>
        <w:numPr>
          <w:ilvl w:val="0"/>
          <w:numId w:val="33"/>
        </w:numPr>
        <w:spacing w:after="160" w:line="240" w:lineRule="auto"/>
        <w:ind w:left="426" w:right="-188" w:hanging="426"/>
        <w:contextualSpacing/>
      </w:pPr>
      <w:r w:rsidRPr="00E035F5">
        <w:rPr>
          <w:b/>
        </w:rPr>
        <w:lastRenderedPageBreak/>
        <w:t xml:space="preserve">Attendance and exclusions:  </w:t>
      </w:r>
      <w:r w:rsidRPr="00E035F5">
        <w:t>In 2016/17 average attendance rates in Aberdeen City schools were similar to those for Scotland as a whole, although there was variation between schools.  For primary schools in the City, attendance rates ranged from a low of 90.9% to a high of 97.5%.  For secondary schools, attendance ranged from 86.9% to 95.4%.</w:t>
      </w:r>
      <w:r w:rsidRPr="00E035F5">
        <w:rPr>
          <w:b/>
        </w:rPr>
        <w:t xml:space="preserve"> Exclusions: </w:t>
      </w:r>
      <w:r w:rsidRPr="00E035F5">
        <w:t xml:space="preserve">In 2016/17 there was a total of 1,072 exclusions from schools in the City.  This is equivalent to a rate of 47.6 (crude rate per 1,000 population), which is significantly higher than the rate for Scotland of 26.9.   </w:t>
      </w:r>
    </w:p>
    <w:p w14:paraId="14CB6E37" w14:textId="77777777" w:rsidR="00E035F5" w:rsidRPr="00E035F5" w:rsidRDefault="00E035F5" w:rsidP="00E035F5">
      <w:pPr>
        <w:contextualSpacing/>
        <w:rPr>
          <w:b/>
        </w:rPr>
      </w:pPr>
    </w:p>
    <w:p w14:paraId="5B4FFE3C" w14:textId="77777777" w:rsidR="00E035F5" w:rsidRPr="00E035F5" w:rsidRDefault="00E035F5" w:rsidP="00E035F5">
      <w:pPr>
        <w:spacing w:line="240" w:lineRule="auto"/>
        <w:ind w:left="426"/>
        <w:contextualSpacing/>
      </w:pPr>
      <w:r w:rsidRPr="00E035F5">
        <w:rPr>
          <w:noProof/>
        </w:rPr>
        <w:drawing>
          <wp:inline distT="0" distB="0" distL="0" distR="0" wp14:anchorId="6783ED95" wp14:editId="4B3E4E63">
            <wp:extent cx="4710223" cy="227554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19678" cy="2280113"/>
                    </a:xfrm>
                    <a:prstGeom prst="rect">
                      <a:avLst/>
                    </a:prstGeom>
                    <a:noFill/>
                  </pic:spPr>
                </pic:pic>
              </a:graphicData>
            </a:graphic>
          </wp:inline>
        </w:drawing>
      </w:r>
    </w:p>
    <w:p w14:paraId="26D91DDD" w14:textId="77777777" w:rsidR="00E035F5" w:rsidRPr="00E035F5" w:rsidRDefault="00E035F5" w:rsidP="00E035F5">
      <w:pPr>
        <w:spacing w:line="240" w:lineRule="auto"/>
        <w:ind w:left="426"/>
        <w:contextualSpacing/>
      </w:pPr>
    </w:p>
    <w:p w14:paraId="725B677F" w14:textId="77777777" w:rsidR="00E035F5" w:rsidRPr="00E035F5" w:rsidRDefault="00E035F5" w:rsidP="00E035F5">
      <w:pPr>
        <w:numPr>
          <w:ilvl w:val="0"/>
          <w:numId w:val="33"/>
        </w:numPr>
        <w:spacing w:after="160" w:line="240" w:lineRule="auto"/>
        <w:ind w:left="426" w:hanging="426"/>
        <w:contextualSpacing/>
      </w:pPr>
      <w:r w:rsidRPr="00E035F5">
        <w:rPr>
          <w:b/>
        </w:rPr>
        <w:t>Attainment – Curriculum for Excellence</w:t>
      </w:r>
      <w:r w:rsidRPr="00E035F5">
        <w:t xml:space="preserve">:  In most subjects and stages, achievement of expected levels was lower in Aberdeen than Scotland.  Achievement levels were also strongly associated with deprivation. </w:t>
      </w:r>
      <w:r w:rsidRPr="00E035F5">
        <w:rPr>
          <w:rFonts w:ascii="Calibri" w:hAnsi="Calibri" w:cs="Calibri"/>
        </w:rPr>
        <w:t xml:space="preserve"> </w:t>
      </w:r>
      <w:r w:rsidRPr="00E035F5">
        <w:t>In Aberdeen City, a smaller proportion of those in the most deprived 20% (SIMD 2016) achieved the expected level than those in the least deprived 20%.  For example, only 21% of S3 pupils from the most deprived quintile achieved Forth Level writing compared to 71% of pupils from the least deprived quintile.  The gap between most and least deprived widens as children progress through school.</w:t>
      </w:r>
    </w:p>
    <w:p w14:paraId="379E6687" w14:textId="77777777" w:rsidR="00E035F5" w:rsidRPr="00E035F5" w:rsidRDefault="00E035F5" w:rsidP="00E035F5">
      <w:pPr>
        <w:spacing w:line="240" w:lineRule="auto"/>
        <w:ind w:left="0"/>
        <w:rPr>
          <w:b/>
          <w:sz w:val="16"/>
          <w:szCs w:val="16"/>
        </w:rPr>
      </w:pPr>
    </w:p>
    <w:p w14:paraId="52D01864" w14:textId="77777777" w:rsidR="00E035F5" w:rsidRPr="00E035F5" w:rsidRDefault="00E035F5" w:rsidP="00E035F5">
      <w:pPr>
        <w:numPr>
          <w:ilvl w:val="0"/>
          <w:numId w:val="33"/>
        </w:numPr>
        <w:spacing w:after="160" w:line="240" w:lineRule="auto"/>
        <w:ind w:left="426" w:hanging="426"/>
        <w:contextualSpacing/>
      </w:pPr>
      <w:r w:rsidRPr="00E035F5">
        <w:rPr>
          <w:b/>
        </w:rPr>
        <w:t xml:space="preserve">Positive destinations/participation:  </w:t>
      </w:r>
      <w:r w:rsidRPr="00E035F5">
        <w:t xml:space="preserve">In2017 89.4% 16-19 year-olds in Aberdeen City were participating in education (70.3%), employment (17.3%) or training (1.8%).  This is lower than the rate for Scotland as a whole (91.1%), but 0.5% higher than in 2016.  </w:t>
      </w:r>
    </w:p>
    <w:p w14:paraId="14449BE2" w14:textId="77777777" w:rsidR="00E035F5" w:rsidRPr="00E035F5" w:rsidRDefault="00E035F5" w:rsidP="00E035F5">
      <w:pPr>
        <w:contextualSpacing/>
        <w:rPr>
          <w:b/>
          <w:sz w:val="16"/>
          <w:szCs w:val="16"/>
        </w:rPr>
      </w:pPr>
    </w:p>
    <w:p w14:paraId="271CE1A1" w14:textId="77777777" w:rsidR="00E035F5" w:rsidRPr="00E035F5" w:rsidRDefault="00E035F5" w:rsidP="00E035F5">
      <w:pPr>
        <w:numPr>
          <w:ilvl w:val="0"/>
          <w:numId w:val="33"/>
        </w:numPr>
        <w:spacing w:after="160" w:line="240" w:lineRule="auto"/>
        <w:ind w:left="426" w:hanging="426"/>
        <w:contextualSpacing/>
      </w:pPr>
      <w:r w:rsidRPr="00E035F5">
        <w:rPr>
          <w:b/>
        </w:rPr>
        <w:t xml:space="preserve">Free school meals:  </w:t>
      </w:r>
      <w:r w:rsidRPr="00E035F5">
        <w:t>In 2017, 52.6% of primary school pupils and 9% of secondary school pupils were registered for free school meals, although there was substantial variation between schools. Almost a quarter of primary pupils and a third of secondary pupils who were registered, did not take a FSM on the day of the survey.</w:t>
      </w:r>
    </w:p>
    <w:p w14:paraId="1A089DA1" w14:textId="77777777" w:rsidR="00E035F5" w:rsidRPr="00E035F5" w:rsidRDefault="00E035F5" w:rsidP="00E035F5">
      <w:pPr>
        <w:spacing w:line="240" w:lineRule="auto"/>
        <w:contextualSpacing/>
        <w:rPr>
          <w:sz w:val="16"/>
          <w:szCs w:val="16"/>
        </w:rPr>
      </w:pPr>
    </w:p>
    <w:p w14:paraId="5793EF8C" w14:textId="77777777" w:rsidR="00E035F5" w:rsidRPr="00E035F5" w:rsidRDefault="00E035F5" w:rsidP="00E035F5">
      <w:pPr>
        <w:numPr>
          <w:ilvl w:val="0"/>
          <w:numId w:val="33"/>
        </w:numPr>
        <w:spacing w:after="160" w:line="240" w:lineRule="auto"/>
        <w:ind w:left="426" w:hanging="426"/>
        <w:contextualSpacing/>
      </w:pPr>
      <w:r w:rsidRPr="00E035F5">
        <w:rPr>
          <w:b/>
        </w:rPr>
        <w:t>Breast-feeding:</w:t>
      </w:r>
      <w:r w:rsidRPr="00E035F5">
        <w:t xml:space="preserve">  the proportion of babies exclusively breast-fed at 6-8 weeks is higher in Aberdeen (36.8%) than in Scotland (28.1%).  However, rates of breast-feeding vary substantially by neighbourhood from a low of 16% to a high of 66.0%.</w:t>
      </w:r>
    </w:p>
    <w:p w14:paraId="6159A154" w14:textId="77777777" w:rsidR="00E035F5" w:rsidRPr="00E035F5" w:rsidRDefault="00E035F5" w:rsidP="00E035F5">
      <w:pPr>
        <w:contextualSpacing/>
        <w:rPr>
          <w:b/>
          <w:sz w:val="16"/>
          <w:szCs w:val="16"/>
        </w:rPr>
      </w:pPr>
    </w:p>
    <w:p w14:paraId="468EFAB1" w14:textId="77777777" w:rsidR="00E035F5" w:rsidRPr="00E035F5" w:rsidRDefault="00E035F5" w:rsidP="00E035F5">
      <w:pPr>
        <w:numPr>
          <w:ilvl w:val="0"/>
          <w:numId w:val="33"/>
        </w:numPr>
        <w:spacing w:after="160" w:line="240" w:lineRule="auto"/>
        <w:ind w:left="426" w:hanging="426"/>
        <w:contextualSpacing/>
      </w:pPr>
      <w:r w:rsidRPr="00E035F5">
        <w:rPr>
          <w:b/>
        </w:rPr>
        <w:t xml:space="preserve">Teenage pregnancies:  </w:t>
      </w:r>
      <w:r w:rsidRPr="00E035F5">
        <w:t>The rate of teenage pregnancies has reduced significantly over the past 10 years but is still slightly higher in Aberdeen than Scotland (36.3 compared to 34.8 per 1,000 population).  Rates varied across the City – ranging from 0 to 89.9 per 1,000 population.</w:t>
      </w:r>
    </w:p>
    <w:p w14:paraId="763436B5" w14:textId="77777777" w:rsidR="00E035F5" w:rsidRPr="00E035F5" w:rsidRDefault="00E035F5" w:rsidP="00E035F5">
      <w:pPr>
        <w:contextualSpacing/>
        <w:rPr>
          <w:sz w:val="16"/>
          <w:szCs w:val="16"/>
        </w:rPr>
      </w:pPr>
    </w:p>
    <w:p w14:paraId="4C23B8DC" w14:textId="77777777" w:rsidR="00E035F5" w:rsidRPr="00E035F5" w:rsidRDefault="00E035F5" w:rsidP="00E035F5">
      <w:pPr>
        <w:numPr>
          <w:ilvl w:val="0"/>
          <w:numId w:val="33"/>
        </w:numPr>
        <w:spacing w:after="160" w:line="240" w:lineRule="auto"/>
        <w:ind w:left="426" w:hanging="426"/>
        <w:contextualSpacing/>
      </w:pPr>
      <w:r w:rsidRPr="00E035F5">
        <w:rPr>
          <w:b/>
        </w:rPr>
        <w:t xml:space="preserve">Smoking:  </w:t>
      </w:r>
      <w:r w:rsidRPr="00E035F5">
        <w:t>In 2013, 5% of 15 year-olds and 1% of 13 year-olds reported being regular smokers – the lowest rates of all local authorities. A more recent (2015) report at Scotland level shows that the use of e-cigarettes has increased substantially with 91% of 15 year-old smokers (boys and girls) having used e-cigarettes and 24% of non-smokers having used them.</w:t>
      </w:r>
    </w:p>
    <w:p w14:paraId="1177BA8C" w14:textId="77777777" w:rsidR="00E035F5" w:rsidRPr="00E035F5" w:rsidRDefault="00E035F5" w:rsidP="00E035F5">
      <w:pPr>
        <w:contextualSpacing/>
        <w:rPr>
          <w:b/>
        </w:rPr>
      </w:pPr>
    </w:p>
    <w:p w14:paraId="393C528B" w14:textId="77777777" w:rsidR="00E035F5" w:rsidRPr="00E035F5" w:rsidRDefault="00E035F5" w:rsidP="00E035F5">
      <w:pPr>
        <w:numPr>
          <w:ilvl w:val="0"/>
          <w:numId w:val="33"/>
        </w:numPr>
        <w:spacing w:after="160" w:line="240" w:lineRule="auto"/>
        <w:ind w:left="426" w:hanging="426"/>
        <w:contextualSpacing/>
      </w:pPr>
      <w:r w:rsidRPr="00E035F5">
        <w:rPr>
          <w:b/>
        </w:rPr>
        <w:t xml:space="preserve">Child poverty:  </w:t>
      </w:r>
      <w:r w:rsidRPr="00E035F5">
        <w:t>In July-September 2017, an estimated 5,689 children (16.7%) in Aberdeen City were living in poverty (after housing costs).  Levels of child poverty varied by ward, ranging from a low of 5.9% to a high of 28.0%.</w:t>
      </w:r>
    </w:p>
    <w:p w14:paraId="5A37757D" w14:textId="77777777" w:rsidR="00E035F5" w:rsidRPr="00E035F5" w:rsidRDefault="00E035F5" w:rsidP="00E035F5">
      <w:pPr>
        <w:keepNext/>
        <w:keepLines/>
        <w:spacing w:line="240" w:lineRule="auto"/>
        <w:ind w:left="0"/>
        <w:outlineLvl w:val="0"/>
        <w:rPr>
          <w:rFonts w:asciiTheme="majorHAnsi" w:eastAsiaTheme="majorEastAsia" w:hAnsiTheme="majorHAnsi" w:cstheme="majorBidi"/>
          <w:b/>
          <w:color w:val="CC0066"/>
          <w:sz w:val="32"/>
          <w:szCs w:val="32"/>
        </w:rPr>
      </w:pPr>
      <w:r w:rsidRPr="00E035F5">
        <w:rPr>
          <w:rFonts w:asciiTheme="majorHAnsi" w:eastAsiaTheme="majorEastAsia" w:hAnsiTheme="majorHAnsi" w:cstheme="majorBidi"/>
          <w:b/>
          <w:color w:val="CC0066"/>
          <w:sz w:val="32"/>
          <w:szCs w:val="32"/>
        </w:rPr>
        <w:lastRenderedPageBreak/>
        <w:t>Adults</w:t>
      </w:r>
    </w:p>
    <w:p w14:paraId="1CA311D5" w14:textId="77777777" w:rsidR="00E035F5" w:rsidRPr="00E035F5" w:rsidRDefault="00E035F5" w:rsidP="00E035F5">
      <w:pPr>
        <w:spacing w:line="240" w:lineRule="auto"/>
        <w:ind w:left="0"/>
        <w:rPr>
          <w:b/>
        </w:rPr>
      </w:pPr>
    </w:p>
    <w:p w14:paraId="36EFCE8E" w14:textId="77777777" w:rsidR="00E035F5" w:rsidRPr="00E035F5" w:rsidRDefault="00E035F5" w:rsidP="00E035F5">
      <w:pPr>
        <w:numPr>
          <w:ilvl w:val="0"/>
          <w:numId w:val="33"/>
        </w:numPr>
        <w:spacing w:after="160" w:line="240" w:lineRule="auto"/>
        <w:ind w:left="426" w:hanging="426"/>
        <w:contextualSpacing/>
      </w:pPr>
      <w:r w:rsidRPr="00E035F5">
        <w:rPr>
          <w:b/>
        </w:rPr>
        <w:t xml:space="preserve">Smoking:  </w:t>
      </w:r>
      <w:r w:rsidRPr="00E035F5">
        <w:t>It is estimated that over a fifth (21.1%) of adults in Aberdeen City smoke – lower than Scotland at 24.3%.  Those in the most deprived areas are more likely than those in the least deprived areas to smoke (32% compared to 12%).  In Aberdeen, 14.1% of women smoked during pregnancy (compared to 16.3% in Scotland).  Rates of smoking during pregnancy ranged from a low of 0.0% to a high of 36.1%.</w:t>
      </w:r>
    </w:p>
    <w:p w14:paraId="28D3DD94" w14:textId="77777777" w:rsidR="00E035F5" w:rsidRPr="00E035F5" w:rsidRDefault="00E035F5" w:rsidP="00E035F5">
      <w:pPr>
        <w:spacing w:line="240" w:lineRule="auto"/>
        <w:ind w:left="426"/>
        <w:contextualSpacing/>
      </w:pPr>
    </w:p>
    <w:p w14:paraId="62E82EE3" w14:textId="77777777" w:rsidR="00E035F5" w:rsidRPr="00E035F5" w:rsidRDefault="00E035F5" w:rsidP="00E035F5">
      <w:pPr>
        <w:numPr>
          <w:ilvl w:val="0"/>
          <w:numId w:val="33"/>
        </w:numPr>
        <w:spacing w:after="160" w:line="240" w:lineRule="auto"/>
        <w:ind w:left="426" w:hanging="426"/>
        <w:contextualSpacing/>
      </w:pPr>
      <w:r w:rsidRPr="00E035F5">
        <w:rPr>
          <w:b/>
        </w:rPr>
        <w:t xml:space="preserve">Alcohol:  </w:t>
      </w:r>
      <w:r w:rsidRPr="00E035F5">
        <w:t>An estimated 28.2% of males and 14.2% of females in Aberdeen have a potential drinking problem – higher than the respective rates for Scotland of 24.1% and 11.6%.  In 2016/17 there were 1,520 alcohol-related hospital stays in Aberdeen City.  While the rate of stays has decreased over the past 10 years, it is still higher than that for Scotland (705.4 compared to 680.8 per 100,000 population).  In 2016/17 there were 45 alcohol-related deaths in the City.  In contrast to recent trends, and trends for Scotland as a whole, the alcohol-related mortality rate increased between 2011-2015 and 2012-2016 and it is now at its highest level since 2005-2009 and higher than the average rate for Scotland (23.1 compared to 22.0 per 100,000 population).  The alcohol-related mortality rate varies across the City ranging from 0.0 to 91.2 per 100,000 population.</w:t>
      </w:r>
    </w:p>
    <w:p w14:paraId="005B962E" w14:textId="77777777" w:rsidR="00E035F5" w:rsidRPr="00E035F5" w:rsidRDefault="00E035F5" w:rsidP="00E035F5">
      <w:pPr>
        <w:spacing w:line="240" w:lineRule="auto"/>
        <w:contextualSpacing/>
        <w:rPr>
          <w:b/>
        </w:rPr>
      </w:pPr>
    </w:p>
    <w:p w14:paraId="549D22C6" w14:textId="77777777" w:rsidR="00E035F5" w:rsidRPr="00E035F5" w:rsidRDefault="00E035F5" w:rsidP="00E035F5">
      <w:pPr>
        <w:numPr>
          <w:ilvl w:val="0"/>
          <w:numId w:val="33"/>
        </w:numPr>
        <w:spacing w:after="160" w:line="240" w:lineRule="auto"/>
        <w:ind w:left="426" w:hanging="426"/>
        <w:contextualSpacing/>
      </w:pPr>
      <w:r w:rsidRPr="00E035F5">
        <w:rPr>
          <w:b/>
        </w:rPr>
        <w:t>Drugs:</w:t>
      </w:r>
      <w:r w:rsidRPr="00E035F5">
        <w:t xml:space="preserve">  It is estimated that 1.9% of Aberdeen’s population have a problem drug use.  The proportion of females with problem drug use is significantly higher in Aberdeen (1.4%) than in Scotland (1.0%).  The number of drug-related deaths has increased dramatically in the last few years, from 26 deaths in 2014 to 54 deaths in 2017.  In the last 10 years the number of female drug-related deaths has increased more than male drug-related deaths, with 17.4% of drug-related deaths in 2007 being female compared to 33.3% in 2017.  At 0.17 per 1,000 population, Aberdeen has the 4</w:t>
      </w:r>
      <w:r w:rsidRPr="00E035F5">
        <w:rPr>
          <w:vertAlign w:val="superscript"/>
        </w:rPr>
        <w:t>th</w:t>
      </w:r>
      <w:r w:rsidRPr="00E035F5">
        <w:t xml:space="preserve"> highest average annual rate of drug deaths (after Dundee City at 0.25, Glasgow City at 0.24 and Inverclyde at 0.22) of all local authorities in Scotland.</w:t>
      </w:r>
    </w:p>
    <w:p w14:paraId="2B4BEB63" w14:textId="77777777" w:rsidR="00E035F5" w:rsidRPr="00E035F5" w:rsidRDefault="00E035F5" w:rsidP="00E035F5">
      <w:pPr>
        <w:spacing w:line="240" w:lineRule="auto"/>
        <w:contextualSpacing/>
        <w:rPr>
          <w:b/>
        </w:rPr>
      </w:pPr>
    </w:p>
    <w:p w14:paraId="1A91F495" w14:textId="77777777" w:rsidR="00E035F5" w:rsidRPr="00E035F5" w:rsidRDefault="00E035F5" w:rsidP="00E035F5">
      <w:pPr>
        <w:numPr>
          <w:ilvl w:val="0"/>
          <w:numId w:val="33"/>
        </w:numPr>
        <w:spacing w:after="160" w:line="240" w:lineRule="auto"/>
        <w:ind w:left="426" w:hanging="426"/>
        <w:contextualSpacing/>
      </w:pPr>
      <w:r w:rsidRPr="00E035F5">
        <w:rPr>
          <w:b/>
        </w:rPr>
        <w:t xml:space="preserve">Obesity: </w:t>
      </w:r>
      <w:r w:rsidRPr="00E035F5">
        <w:t>It is estimated that 25% of the City’s adult population is obese (classified as a BMI of 30+).  This is lower than the rate for Scotland of 28%.</w:t>
      </w:r>
    </w:p>
    <w:p w14:paraId="6C60B3C5" w14:textId="77777777" w:rsidR="00E035F5" w:rsidRPr="00E035F5" w:rsidRDefault="00E035F5" w:rsidP="00E035F5">
      <w:pPr>
        <w:spacing w:line="240" w:lineRule="auto"/>
        <w:contextualSpacing/>
        <w:rPr>
          <w:b/>
        </w:rPr>
      </w:pPr>
    </w:p>
    <w:p w14:paraId="54DD7CE2" w14:textId="77777777" w:rsidR="00E035F5" w:rsidRPr="00E035F5" w:rsidRDefault="00E035F5" w:rsidP="00E035F5">
      <w:pPr>
        <w:numPr>
          <w:ilvl w:val="0"/>
          <w:numId w:val="33"/>
        </w:numPr>
        <w:spacing w:after="160" w:line="240" w:lineRule="auto"/>
        <w:ind w:left="426" w:hanging="426"/>
        <w:contextualSpacing/>
      </w:pPr>
      <w:r w:rsidRPr="00E035F5">
        <w:rPr>
          <w:b/>
        </w:rPr>
        <w:t>Dementia</w:t>
      </w:r>
      <w:r w:rsidRPr="00E035F5">
        <w:t>:  in 2017 there were an estimated 3,455 people with dementia in Aberdeen City and dementia and Alzheimer’s disease accounted for 10.4% of all deaths (221 deaths of which 150 were female and 71 were male).</w:t>
      </w:r>
    </w:p>
    <w:p w14:paraId="500CCEBB" w14:textId="77777777" w:rsidR="00E035F5" w:rsidRPr="00E035F5" w:rsidRDefault="00E035F5" w:rsidP="00E035F5">
      <w:pPr>
        <w:spacing w:line="240" w:lineRule="auto"/>
        <w:contextualSpacing/>
        <w:rPr>
          <w:b/>
        </w:rPr>
      </w:pPr>
    </w:p>
    <w:p w14:paraId="1663B39A" w14:textId="77777777" w:rsidR="00E035F5" w:rsidRPr="00E035F5" w:rsidRDefault="00E035F5" w:rsidP="00E035F5">
      <w:pPr>
        <w:numPr>
          <w:ilvl w:val="0"/>
          <w:numId w:val="33"/>
        </w:numPr>
        <w:spacing w:after="160" w:line="240" w:lineRule="auto"/>
        <w:ind w:left="426" w:hanging="426"/>
        <w:contextualSpacing/>
      </w:pPr>
      <w:r w:rsidRPr="00E035F5">
        <w:rPr>
          <w:b/>
        </w:rPr>
        <w:t xml:space="preserve">Prescriptions for anxiety/depression/psychosis:  </w:t>
      </w:r>
      <w:r w:rsidRPr="00E035F5">
        <w:t>In 2016/17 35,342 people in Aberdeen City were prescribed drugs for anxiety, depression or psychosis.  This is equivalent to 15.4% of the population – significantly lower than the proportion for Scotland of 18.5%.  Consistent with trends in Scotland, the proportion of people receiving prescriptions for these conditions has increased significantly in recent years, from 12.5% in 2009/10 to 15.4% in 2016/17. The proportion of people receiving drugs for anxiety, depression or psychosis varied by Intermediate Zone, ranging from a low of 9.3% to a high of 22.0%.</w:t>
      </w:r>
    </w:p>
    <w:p w14:paraId="09EDE25B" w14:textId="77777777" w:rsidR="00E035F5" w:rsidRPr="00E035F5" w:rsidRDefault="00E035F5" w:rsidP="00E035F5">
      <w:pPr>
        <w:spacing w:line="240" w:lineRule="auto"/>
        <w:contextualSpacing/>
        <w:rPr>
          <w:b/>
        </w:rPr>
      </w:pPr>
    </w:p>
    <w:p w14:paraId="06117482" w14:textId="77777777" w:rsidR="00E035F5" w:rsidRPr="00E035F5" w:rsidRDefault="00E035F5" w:rsidP="00E035F5">
      <w:pPr>
        <w:numPr>
          <w:ilvl w:val="0"/>
          <w:numId w:val="33"/>
        </w:numPr>
        <w:spacing w:after="160" w:line="240" w:lineRule="auto"/>
        <w:ind w:left="426" w:hanging="426"/>
        <w:contextualSpacing/>
      </w:pPr>
      <w:r w:rsidRPr="00E035F5">
        <w:rPr>
          <w:b/>
        </w:rPr>
        <w:t xml:space="preserve">Deaths from suicide:  </w:t>
      </w:r>
      <w:r w:rsidRPr="00E035F5">
        <w:t>Between 2012 and 2016 there were an average of 31 deaths a year (5-year rolling average) in Aberdeen City which were classified as probable suicide.  The rate of 13.9 per 100,000 population is the same as that for Scotland.  Overall, the rate of deaths from suicide in Aberdeen City has decreased over the past 10 years (from 17.3 in 2002-2006), however there have been slight increases in the last two sets of figures.</w:t>
      </w:r>
    </w:p>
    <w:p w14:paraId="66AF6296" w14:textId="77777777" w:rsidR="00E035F5" w:rsidRPr="00E035F5" w:rsidRDefault="00E035F5" w:rsidP="00E035F5">
      <w:pPr>
        <w:spacing w:line="240" w:lineRule="auto"/>
        <w:contextualSpacing/>
        <w:rPr>
          <w:b/>
          <w:sz w:val="16"/>
          <w:szCs w:val="16"/>
        </w:rPr>
      </w:pPr>
    </w:p>
    <w:p w14:paraId="7165F9A5" w14:textId="77777777" w:rsidR="00E035F5" w:rsidRPr="00E035F5" w:rsidRDefault="00E035F5" w:rsidP="00E035F5">
      <w:pPr>
        <w:numPr>
          <w:ilvl w:val="0"/>
          <w:numId w:val="33"/>
        </w:numPr>
        <w:spacing w:after="160" w:line="240" w:lineRule="auto"/>
        <w:ind w:left="426" w:hanging="426"/>
        <w:contextualSpacing/>
      </w:pPr>
      <w:r w:rsidRPr="00E035F5">
        <w:rPr>
          <w:b/>
        </w:rPr>
        <w:t>Key diseases:</w:t>
      </w:r>
      <w:r w:rsidRPr="00E035F5">
        <w:t xml:space="preserve">  Cancer and circulatory diseases (such as coronary heart disease and stroke) together account for over half of all causes of death in Aberdeen City.  In 2016, almost a third (31%) of male deaths and a quarter (25%) of female deaths were caused by cancer, and 27% of male deaths and 27% of female deaths were caused by circulatory diseases.</w:t>
      </w:r>
    </w:p>
    <w:p w14:paraId="70271105" w14:textId="77777777" w:rsidR="00E035F5" w:rsidRPr="00E035F5" w:rsidRDefault="00E035F5" w:rsidP="00E035F5">
      <w:pPr>
        <w:numPr>
          <w:ilvl w:val="0"/>
          <w:numId w:val="33"/>
        </w:numPr>
        <w:spacing w:after="160" w:line="240" w:lineRule="auto"/>
        <w:ind w:left="426" w:hanging="426"/>
        <w:contextualSpacing/>
      </w:pPr>
      <w:r w:rsidRPr="00E035F5">
        <w:rPr>
          <w:b/>
        </w:rPr>
        <w:lastRenderedPageBreak/>
        <w:t xml:space="preserve">Cancer:  </w:t>
      </w:r>
      <w:r w:rsidRPr="00E035F5">
        <w:t>In 2013-2015 there was an average of 1,192 new cancer registrations per year in Aberdeen (3-year rolling average).  The rate of new cancer registrations in Aberdeen increased sharply between 2012-2014 and 2013-2015, bringing the rate to its highest level for more than 10 years.  Both the rate of new cancer registrations and the rate of early deaths from cancer vary across the City.</w:t>
      </w:r>
    </w:p>
    <w:p w14:paraId="25C4E42E" w14:textId="77777777" w:rsidR="00E035F5" w:rsidRPr="00E035F5" w:rsidRDefault="00E035F5" w:rsidP="00E035F5">
      <w:pPr>
        <w:spacing w:line="240" w:lineRule="auto"/>
        <w:ind w:left="426"/>
        <w:contextualSpacing/>
      </w:pPr>
    </w:p>
    <w:p w14:paraId="0D7279D4" w14:textId="77777777" w:rsidR="00E035F5" w:rsidRPr="00E035F5" w:rsidRDefault="00E035F5" w:rsidP="00E035F5">
      <w:pPr>
        <w:spacing w:after="60"/>
        <w:ind w:left="0" w:firstLine="426"/>
        <w:rPr>
          <w:b/>
        </w:rPr>
      </w:pPr>
      <w:r w:rsidRPr="00E035F5">
        <w:rPr>
          <w:noProof/>
        </w:rPr>
        <w:drawing>
          <wp:inline distT="0" distB="0" distL="0" distR="0" wp14:anchorId="30520A9A" wp14:editId="566D793B">
            <wp:extent cx="4901565" cy="270700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01565" cy="2707005"/>
                    </a:xfrm>
                    <a:prstGeom prst="rect">
                      <a:avLst/>
                    </a:prstGeom>
                    <a:noFill/>
                  </pic:spPr>
                </pic:pic>
              </a:graphicData>
            </a:graphic>
          </wp:inline>
        </w:drawing>
      </w:r>
    </w:p>
    <w:p w14:paraId="7BB86792" w14:textId="77777777" w:rsidR="00E035F5" w:rsidRPr="00E035F5" w:rsidRDefault="00E035F5" w:rsidP="00E035F5">
      <w:pPr>
        <w:spacing w:after="60"/>
        <w:ind w:left="0"/>
        <w:rPr>
          <w:b/>
        </w:rPr>
      </w:pPr>
    </w:p>
    <w:p w14:paraId="6C6A36A9" w14:textId="77777777" w:rsidR="00E035F5" w:rsidRPr="00E035F5" w:rsidRDefault="00E035F5" w:rsidP="00E035F5">
      <w:pPr>
        <w:numPr>
          <w:ilvl w:val="0"/>
          <w:numId w:val="33"/>
        </w:numPr>
        <w:spacing w:after="160" w:line="240" w:lineRule="auto"/>
        <w:ind w:left="426" w:hanging="426"/>
        <w:contextualSpacing/>
      </w:pPr>
      <w:r w:rsidRPr="00E035F5">
        <w:rPr>
          <w:b/>
        </w:rPr>
        <w:t xml:space="preserve">Coronary heart disease (CHD):  </w:t>
      </w:r>
      <w:r w:rsidRPr="00E035F5">
        <w:t xml:space="preserve">between 2014/15 and 2016/17 there were an average of 768 patients per year (3-year rolling average) hospitalised with CHD – equivalent to a rate of 423.1 per 100,000 population.  This is significantly higher than the rate for Scotland of 386.9 per 100,000 population.  Over the last 9 years, there have been year-on-year decreases in the rate of patients hospitalised with CHD in both Aberdeen and Scotland.  </w:t>
      </w:r>
    </w:p>
    <w:p w14:paraId="41BFDD84" w14:textId="77777777" w:rsidR="00E035F5" w:rsidRPr="00E035F5" w:rsidRDefault="00E035F5" w:rsidP="00E035F5">
      <w:pPr>
        <w:spacing w:line="240" w:lineRule="auto"/>
        <w:ind w:left="426"/>
        <w:contextualSpacing/>
      </w:pPr>
    </w:p>
    <w:p w14:paraId="78A1EEFC" w14:textId="77777777" w:rsidR="00E035F5" w:rsidRPr="00E035F5" w:rsidRDefault="00E035F5" w:rsidP="00E035F5">
      <w:pPr>
        <w:numPr>
          <w:ilvl w:val="0"/>
          <w:numId w:val="33"/>
        </w:numPr>
        <w:spacing w:after="160" w:line="240" w:lineRule="auto"/>
        <w:ind w:left="426" w:hanging="426"/>
        <w:contextualSpacing/>
      </w:pPr>
      <w:r w:rsidRPr="00E035F5">
        <w:rPr>
          <w:b/>
        </w:rPr>
        <w:t xml:space="preserve">Emergency hospitalisations: </w:t>
      </w:r>
      <w:r w:rsidRPr="00E035F5">
        <w:t>between 2014-2016 there were an average of 15,007 emergency hospitalisation per year (3-year rolling average) in Aberdeen City.  Following a period of year-on-year decreases, the rate in Aberdeen City is now lower than the rate for Scotland (7,230.0 compared to 7605.9 per 100,000 population).  In Aberdeen City the rate ranges from a low of 4,894.9 a high of 10,802.7 per 100,000 population.</w:t>
      </w:r>
    </w:p>
    <w:p w14:paraId="775A382C" w14:textId="77777777" w:rsidR="00E035F5" w:rsidRPr="00E035F5" w:rsidRDefault="00E035F5" w:rsidP="00E035F5">
      <w:pPr>
        <w:contextualSpacing/>
        <w:rPr>
          <w:b/>
        </w:rPr>
      </w:pPr>
    </w:p>
    <w:p w14:paraId="5B29EF49" w14:textId="77777777" w:rsidR="00E035F5" w:rsidRPr="00E035F5" w:rsidRDefault="00E035F5" w:rsidP="00E035F5">
      <w:pPr>
        <w:numPr>
          <w:ilvl w:val="0"/>
          <w:numId w:val="33"/>
        </w:numPr>
        <w:spacing w:after="160" w:line="240" w:lineRule="auto"/>
        <w:ind w:left="426" w:hanging="426"/>
        <w:contextualSpacing/>
      </w:pPr>
      <w:r w:rsidRPr="00E035F5">
        <w:rPr>
          <w:b/>
        </w:rPr>
        <w:t xml:space="preserve">Patients aged 65+ years with multiple emergency hospitalisations:  </w:t>
      </w:r>
      <w:r w:rsidRPr="00E035F5">
        <w:t xml:space="preserve">in contrast with the declining rates for patients with emergency hospitalisations, the rate of patients aged 65+ years with multiple emergency hospitalisations has increased in Aberdeen City, from 5,092.0 per 100,000 population in 2010-12 to 5,306.6 per 100,000 population in 2014-2016.  This upward trend is consistent with trends in Scotland as a whole. </w:t>
      </w:r>
    </w:p>
    <w:p w14:paraId="72CDB4BC" w14:textId="77777777" w:rsidR="00E035F5" w:rsidRPr="00E035F5" w:rsidRDefault="00E035F5" w:rsidP="00E035F5">
      <w:pPr>
        <w:contextualSpacing/>
        <w:rPr>
          <w:b/>
        </w:rPr>
      </w:pPr>
    </w:p>
    <w:p w14:paraId="589B7BBE" w14:textId="77777777" w:rsidR="00E035F5" w:rsidRPr="00E035F5" w:rsidRDefault="00E035F5" w:rsidP="00E035F5">
      <w:pPr>
        <w:numPr>
          <w:ilvl w:val="0"/>
          <w:numId w:val="33"/>
        </w:numPr>
        <w:spacing w:after="160" w:line="240" w:lineRule="auto"/>
        <w:ind w:left="426" w:hanging="426"/>
        <w:contextualSpacing/>
      </w:pPr>
      <w:r w:rsidRPr="00E035F5">
        <w:rPr>
          <w:b/>
        </w:rPr>
        <w:t>Social care:</w:t>
      </w:r>
      <w:r w:rsidRPr="00E035F5">
        <w:t xml:space="preserve">  In Aberdeen, in 2017 there were 470 people aged 65+ years with high levels of care need who were cared for at home (i.e. who received 10 and more hours of home care purchased or provided by the local authority).  This equates to 26% of all people in this age group with high levels of care need – significantly lower than the Scottish average of 35.2%.</w:t>
      </w:r>
    </w:p>
    <w:p w14:paraId="5FE71425" w14:textId="77777777" w:rsidR="00E035F5" w:rsidRPr="00E035F5" w:rsidRDefault="00E035F5" w:rsidP="00E035F5">
      <w:pPr>
        <w:keepNext/>
        <w:keepLines/>
        <w:spacing w:line="240" w:lineRule="auto"/>
        <w:ind w:left="0"/>
        <w:outlineLvl w:val="0"/>
        <w:rPr>
          <w:rFonts w:asciiTheme="majorHAnsi" w:eastAsiaTheme="majorEastAsia" w:hAnsiTheme="majorHAnsi" w:cstheme="majorBidi"/>
          <w:color w:val="2F5496" w:themeColor="accent1" w:themeShade="BF"/>
          <w:sz w:val="32"/>
          <w:szCs w:val="32"/>
        </w:rPr>
        <w:sectPr w:rsidR="00E035F5" w:rsidRPr="00E035F5" w:rsidSect="00AB4BDE">
          <w:footerReference w:type="default" r:id="rId20"/>
          <w:pgSz w:w="11906" w:h="16838"/>
          <w:pgMar w:top="993" w:right="1440" w:bottom="709" w:left="1440" w:header="708" w:footer="708" w:gutter="0"/>
          <w:pgNumType w:start="1"/>
          <w:cols w:space="708"/>
          <w:docGrid w:linePitch="360"/>
        </w:sectPr>
      </w:pPr>
    </w:p>
    <w:p w14:paraId="3EFCAD67" w14:textId="77777777" w:rsidR="00E035F5" w:rsidRPr="00E035F5" w:rsidRDefault="00E035F5" w:rsidP="00E035F5">
      <w:pPr>
        <w:keepNext/>
        <w:keepLines/>
        <w:spacing w:line="240" w:lineRule="auto"/>
        <w:ind w:left="0"/>
        <w:outlineLvl w:val="0"/>
        <w:rPr>
          <w:rFonts w:asciiTheme="majorHAnsi" w:eastAsiaTheme="majorEastAsia" w:hAnsiTheme="majorHAnsi" w:cstheme="majorBidi"/>
          <w:b/>
          <w:color w:val="FFFFFF" w:themeColor="background1"/>
          <w:sz w:val="32"/>
          <w:szCs w:val="32"/>
        </w:rPr>
      </w:pPr>
      <w:r w:rsidRPr="00E035F5">
        <w:rPr>
          <w:rFonts w:asciiTheme="majorHAnsi" w:eastAsiaTheme="majorEastAsia" w:hAnsiTheme="majorHAnsi" w:cstheme="majorBidi"/>
          <w:b/>
          <w:noProof/>
          <w:color w:val="FFFFFF" w:themeColor="background1"/>
          <w:sz w:val="32"/>
          <w:szCs w:val="32"/>
        </w:rPr>
        <w:lastRenderedPageBreak/>
        <w:drawing>
          <wp:anchor distT="0" distB="0" distL="114300" distR="114300" simplePos="0" relativeHeight="251685888" behindDoc="1" locked="0" layoutInCell="1" allowOverlap="1" wp14:anchorId="40D0AA9E" wp14:editId="202E559A">
            <wp:simplePos x="0" y="0"/>
            <wp:positionH relativeFrom="column">
              <wp:posOffset>0</wp:posOffset>
            </wp:positionH>
            <wp:positionV relativeFrom="paragraph">
              <wp:posOffset>-3234</wp:posOffset>
            </wp:positionV>
            <wp:extent cx="5728273" cy="712381"/>
            <wp:effectExtent l="0" t="0" r="0" b="0"/>
            <wp:wrapNone/>
            <wp:docPr id="106" name="Picture 106" descr="C:\Users\MCochlan\AppData\Local\Microsoft\Windows\Temporary Internet Files\Content.Outlook\K69U4KO2\Header7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ochlan\AppData\Local\Microsoft\Windows\Temporary Internet Files\Content.Outlook\K69U4KO2\Header7 (002).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42232"/>
                    <a:stretch/>
                  </pic:blipFill>
                  <pic:spPr bwMode="auto">
                    <a:xfrm>
                      <a:off x="0" y="0"/>
                      <a:ext cx="5729235" cy="7125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9519B6" w14:textId="77777777" w:rsidR="00E035F5" w:rsidRPr="00E035F5" w:rsidRDefault="00E035F5" w:rsidP="00E035F5">
      <w:pPr>
        <w:keepNext/>
        <w:keepLines/>
        <w:spacing w:line="240" w:lineRule="auto"/>
        <w:ind w:left="0"/>
        <w:jc w:val="center"/>
        <w:outlineLvl w:val="0"/>
        <w:rPr>
          <w:rFonts w:asciiTheme="majorHAnsi" w:eastAsiaTheme="majorEastAsia" w:hAnsiTheme="majorHAnsi" w:cstheme="majorBidi"/>
          <w:b/>
          <w:color w:val="FFFFFF" w:themeColor="background1"/>
          <w:sz w:val="36"/>
          <w:szCs w:val="36"/>
        </w:rPr>
      </w:pPr>
      <w:r w:rsidRPr="00E035F5">
        <w:rPr>
          <w:rFonts w:asciiTheme="majorHAnsi" w:eastAsiaTheme="majorEastAsia" w:hAnsiTheme="majorHAnsi" w:cstheme="majorBidi"/>
          <w:b/>
          <w:color w:val="FFFFFF" w:themeColor="background1"/>
          <w:sz w:val="36"/>
          <w:szCs w:val="36"/>
        </w:rPr>
        <w:t>OUR PLACE</w:t>
      </w:r>
    </w:p>
    <w:p w14:paraId="39085E64" w14:textId="77777777" w:rsidR="00E035F5" w:rsidRPr="00E035F5" w:rsidRDefault="00E035F5" w:rsidP="00E035F5">
      <w:pPr>
        <w:keepNext/>
        <w:keepLines/>
        <w:spacing w:line="240" w:lineRule="auto"/>
        <w:ind w:left="0"/>
        <w:outlineLvl w:val="0"/>
        <w:rPr>
          <w:rFonts w:asciiTheme="majorHAnsi" w:eastAsiaTheme="majorEastAsia" w:hAnsiTheme="majorHAnsi" w:cstheme="majorBidi"/>
          <w:b/>
          <w:color w:val="FFFFFF" w:themeColor="background1"/>
          <w:sz w:val="32"/>
          <w:szCs w:val="32"/>
        </w:rPr>
      </w:pPr>
    </w:p>
    <w:p w14:paraId="111A0529" w14:textId="77777777" w:rsidR="00E035F5" w:rsidRPr="00E035F5" w:rsidRDefault="00E035F5" w:rsidP="00E035F5">
      <w:pPr>
        <w:spacing w:line="240" w:lineRule="auto"/>
        <w:ind w:left="0"/>
        <w:rPr>
          <w:b/>
        </w:rPr>
      </w:pPr>
    </w:p>
    <w:p w14:paraId="2E44BFC6" w14:textId="77777777" w:rsidR="00E035F5" w:rsidRPr="00E035F5" w:rsidRDefault="00E035F5" w:rsidP="00E035F5">
      <w:pPr>
        <w:numPr>
          <w:ilvl w:val="0"/>
          <w:numId w:val="33"/>
        </w:numPr>
        <w:spacing w:after="160" w:line="240" w:lineRule="auto"/>
        <w:ind w:left="426" w:hanging="426"/>
        <w:contextualSpacing/>
      </w:pPr>
      <w:r w:rsidRPr="00E035F5">
        <w:rPr>
          <w:b/>
        </w:rPr>
        <w:t xml:space="preserve">Our place:  </w:t>
      </w:r>
      <w:r w:rsidRPr="00E035F5">
        <w:t>Aberdeen City covers an area of 186 square kilometres and has a population density of 1,232 persons per square kilometre.  In terms of population size, it is the 8</w:t>
      </w:r>
      <w:r w:rsidRPr="00E035F5">
        <w:rPr>
          <w:vertAlign w:val="superscript"/>
        </w:rPr>
        <w:t>th</w:t>
      </w:r>
      <w:r w:rsidRPr="00E035F5">
        <w:t xml:space="preserve"> largest local authority in Scotland. The City is made up of 37 neighbourhoods – 8 of which have been recognised as deprived (based on SIMD) and identified as Priority Localities.  </w:t>
      </w:r>
    </w:p>
    <w:p w14:paraId="1E7DEC84" w14:textId="77777777" w:rsidR="00E035F5" w:rsidRPr="00E035F5" w:rsidRDefault="00E035F5" w:rsidP="00E035F5">
      <w:pPr>
        <w:spacing w:line="240" w:lineRule="auto"/>
        <w:ind w:left="426"/>
        <w:contextualSpacing/>
      </w:pPr>
    </w:p>
    <w:p w14:paraId="5FE758C5" w14:textId="77777777" w:rsidR="00E035F5" w:rsidRPr="00E035F5" w:rsidRDefault="00E035F5" w:rsidP="00E035F5">
      <w:pPr>
        <w:numPr>
          <w:ilvl w:val="0"/>
          <w:numId w:val="33"/>
        </w:numPr>
        <w:spacing w:after="160" w:line="240" w:lineRule="auto"/>
        <w:ind w:left="426" w:hanging="426"/>
        <w:contextualSpacing/>
      </w:pPr>
      <w:r w:rsidRPr="00E035F5">
        <w:rPr>
          <w:b/>
        </w:rPr>
        <w:t>Dwellings</w:t>
      </w:r>
      <w:r w:rsidRPr="00E035F5">
        <w:t>:  In 2017 there were 116,821 dwellings in Aberdeen City – an increase of 1,741 (1.5%) on the number of dwellings in 2016.  Most (60%) are in Council Tax bands A-C, with 25% being in bands D-E and 15% being in bands G-H.  The proportion of dwellings within each Council Tax band varies by neighbourhood.  Over a third (37%) of dwellings have a single adult discount and 6% have ‘occupied exemptions’ (e.g. student households). Most (55%) dwellings are flats, 18% are terraced, 16% are semi-detached and 11% are detached. At the time of the 2011 Census, 57.3% of households in the City were owned, 24.2% were socially rented, 17.0% were privately rented and 1.4% were rent-free.</w:t>
      </w:r>
    </w:p>
    <w:p w14:paraId="49456F15" w14:textId="77777777" w:rsidR="00E035F5" w:rsidRPr="00E035F5" w:rsidRDefault="00E035F5" w:rsidP="00E035F5">
      <w:pPr>
        <w:contextualSpacing/>
        <w:rPr>
          <w:b/>
        </w:rPr>
      </w:pPr>
    </w:p>
    <w:p w14:paraId="07C35997" w14:textId="77777777" w:rsidR="00E035F5" w:rsidRPr="00E035F5" w:rsidRDefault="00E035F5" w:rsidP="00E035F5">
      <w:pPr>
        <w:numPr>
          <w:ilvl w:val="0"/>
          <w:numId w:val="33"/>
        </w:numPr>
        <w:spacing w:after="160" w:line="240" w:lineRule="auto"/>
        <w:ind w:left="426" w:hanging="426"/>
        <w:contextualSpacing/>
      </w:pPr>
      <w:r w:rsidRPr="00E035F5">
        <w:rPr>
          <w:b/>
        </w:rPr>
        <w:t>Social housing</w:t>
      </w:r>
      <w:r w:rsidRPr="00E035F5">
        <w:t>:  In Aberdeen City in 2017 the Local Authority’s housing stock totalled 22,041 dwellings – equivalent to 83% of all social housing stock in the City (with the Housing Association managing the remaining 17% of social housing in the City) and 18.9% of all dwellings in the City.  Of the Council stock, three-quarters (75.8%) were flats and a quarter (24.2%) were houses.  Since 1998, the total housing stock owned by the Council has decreased by 25.1% - from 29,442 in 1998.  At 31</w:t>
      </w:r>
      <w:r w:rsidRPr="00E035F5">
        <w:rPr>
          <w:vertAlign w:val="superscript"/>
        </w:rPr>
        <w:t>st</w:t>
      </w:r>
      <w:r w:rsidRPr="00E035F5">
        <w:t xml:space="preserve"> March 2017 there were a total 6,631 applicants on the housing register – a decrease of 209 from end March 2016.  Of those on the register 4,360 (65.8%) were on the waiting list and 2,271 (34.2%) were on the transfer list.  </w:t>
      </w:r>
    </w:p>
    <w:p w14:paraId="6C50AAFA" w14:textId="77777777" w:rsidR="00E035F5" w:rsidRPr="00E035F5" w:rsidRDefault="00E035F5" w:rsidP="00E035F5">
      <w:pPr>
        <w:contextualSpacing/>
        <w:rPr>
          <w:b/>
        </w:rPr>
      </w:pPr>
    </w:p>
    <w:p w14:paraId="6DBC30B4" w14:textId="77777777" w:rsidR="00E035F5" w:rsidRPr="00E035F5" w:rsidRDefault="00E035F5" w:rsidP="00E035F5">
      <w:pPr>
        <w:numPr>
          <w:ilvl w:val="0"/>
          <w:numId w:val="33"/>
        </w:numPr>
        <w:spacing w:after="160" w:line="240" w:lineRule="auto"/>
        <w:ind w:left="426" w:hanging="426"/>
        <w:contextualSpacing/>
      </w:pPr>
      <w:r w:rsidRPr="00E035F5">
        <w:rPr>
          <w:b/>
        </w:rPr>
        <w:t xml:space="preserve">Supported housing:  </w:t>
      </w:r>
      <w:r w:rsidRPr="00E035F5">
        <w:t>A range of supported housing is provided by the Local Authority including 1,939 sheltered housing dwellings, 110 very sheltered housing dwellings and 1,261 amenity housing dwellings.</w:t>
      </w:r>
    </w:p>
    <w:p w14:paraId="67A55B34" w14:textId="77777777" w:rsidR="00E035F5" w:rsidRPr="00E035F5" w:rsidRDefault="00E035F5" w:rsidP="00E035F5">
      <w:pPr>
        <w:contextualSpacing/>
        <w:rPr>
          <w:b/>
        </w:rPr>
      </w:pPr>
    </w:p>
    <w:p w14:paraId="4DA8D6CC" w14:textId="77777777" w:rsidR="00E035F5" w:rsidRPr="00E035F5" w:rsidRDefault="00E035F5" w:rsidP="00E035F5">
      <w:pPr>
        <w:numPr>
          <w:ilvl w:val="0"/>
          <w:numId w:val="33"/>
        </w:numPr>
        <w:spacing w:after="160" w:line="240" w:lineRule="auto"/>
        <w:ind w:left="426" w:hanging="426"/>
        <w:contextualSpacing/>
      </w:pPr>
      <w:r w:rsidRPr="00E035F5">
        <w:rPr>
          <w:b/>
        </w:rPr>
        <w:t>Adult care homes:</w:t>
      </w:r>
      <w:r w:rsidRPr="00E035F5">
        <w:t xml:space="preserve"> In Aberdeen City in 2016 there were 64 adult care homes – 32 of which are run by the private sector and 32 of which are run by the voluntary sector.  These provided a total of 1,789 registered places – 80% of which were in care homes for older people.  The total number of residents was 1,627 (occupancy rate of 91%).  Since 2006, the number of registered places in care homes has decreased by 14%.</w:t>
      </w:r>
    </w:p>
    <w:p w14:paraId="61452214" w14:textId="77777777" w:rsidR="00E035F5" w:rsidRPr="00E035F5" w:rsidRDefault="00E035F5" w:rsidP="00E035F5">
      <w:pPr>
        <w:contextualSpacing/>
        <w:rPr>
          <w:b/>
        </w:rPr>
      </w:pPr>
    </w:p>
    <w:p w14:paraId="34394E88" w14:textId="77777777" w:rsidR="00E035F5" w:rsidRPr="00E035F5" w:rsidRDefault="00E035F5" w:rsidP="00E035F5">
      <w:pPr>
        <w:numPr>
          <w:ilvl w:val="0"/>
          <w:numId w:val="33"/>
        </w:numPr>
        <w:spacing w:after="160" w:line="240" w:lineRule="auto"/>
        <w:ind w:left="426" w:hanging="426"/>
        <w:contextualSpacing/>
      </w:pPr>
      <w:r w:rsidRPr="00E035F5">
        <w:rPr>
          <w:b/>
        </w:rPr>
        <w:t>Private rental sector</w:t>
      </w:r>
      <w:r w:rsidRPr="00E035F5">
        <w:t xml:space="preserve">:  Almost half (49%) of rental properties in Aberdeen City are two-bedroom flats with 1- bedroom flats being the next most common (36%).  The average monthly rent for privately-rented properties in Aberdeen City has dropped from a high of £1,110 per month in Q4 of 2014 to a low of £736 in Q1 of 2018 – a drop of 33.7% in the period.  </w:t>
      </w:r>
    </w:p>
    <w:p w14:paraId="15867526" w14:textId="77777777" w:rsidR="00E035F5" w:rsidRPr="00E035F5" w:rsidRDefault="00E035F5" w:rsidP="00E035F5">
      <w:pPr>
        <w:contextualSpacing/>
        <w:rPr>
          <w:b/>
        </w:rPr>
      </w:pPr>
    </w:p>
    <w:p w14:paraId="6249000E" w14:textId="77777777" w:rsidR="00E035F5" w:rsidRPr="00E035F5" w:rsidRDefault="00E035F5" w:rsidP="00E035F5">
      <w:pPr>
        <w:numPr>
          <w:ilvl w:val="0"/>
          <w:numId w:val="33"/>
        </w:numPr>
        <w:spacing w:after="160" w:line="240" w:lineRule="auto"/>
        <w:ind w:left="426" w:hanging="426"/>
        <w:contextualSpacing/>
      </w:pPr>
      <w:r w:rsidRPr="00E035F5">
        <w:rPr>
          <w:b/>
        </w:rPr>
        <w:t>House sales:</w:t>
      </w:r>
      <w:r w:rsidRPr="00E035F5">
        <w:t xml:space="preserve">   In 2017, the average purchase price for a residential property in Aberdeen City was £200,983 – higher than the average price for Scotland of £172,779 and sixth highest of all local authorities.  However, both the number of properties sold and the average price per property have decreased in the last two years.  Since peaking at £220,786 in 2015, the average purchase price in Aberdeen City has decreased by 9%.  There were 3,991 properties sold in 2017 – down almost 9% from the number of properties sold in 2015, but up slightly from the number sold in 2016.</w:t>
      </w:r>
    </w:p>
    <w:p w14:paraId="396ACDCB" w14:textId="77777777" w:rsidR="00E035F5" w:rsidRPr="00E035F5" w:rsidRDefault="00E035F5" w:rsidP="00E035F5">
      <w:pPr>
        <w:numPr>
          <w:ilvl w:val="0"/>
          <w:numId w:val="33"/>
        </w:numPr>
        <w:spacing w:after="160" w:line="240" w:lineRule="auto"/>
        <w:ind w:left="426" w:hanging="426"/>
        <w:contextualSpacing/>
      </w:pPr>
      <w:r w:rsidRPr="00E035F5">
        <w:rPr>
          <w:b/>
        </w:rPr>
        <w:lastRenderedPageBreak/>
        <w:t>New builds:</w:t>
      </w:r>
      <w:r w:rsidRPr="00E035F5">
        <w:t xml:space="preserve">  A total of 671 new houses were supplied in 2016-17 in Aberdeen City.  Of these, 518 were private new build completions, 28 were Housing Association new builds and 125 were as a result of conversions.  </w:t>
      </w:r>
    </w:p>
    <w:p w14:paraId="5165C0C2" w14:textId="77777777" w:rsidR="00E035F5" w:rsidRPr="00E035F5" w:rsidRDefault="00E035F5" w:rsidP="00E035F5">
      <w:pPr>
        <w:contextualSpacing/>
        <w:rPr>
          <w:b/>
        </w:rPr>
      </w:pPr>
    </w:p>
    <w:p w14:paraId="47A0AE6A" w14:textId="77777777" w:rsidR="00E035F5" w:rsidRPr="00E035F5" w:rsidRDefault="00E035F5" w:rsidP="00E035F5">
      <w:pPr>
        <w:numPr>
          <w:ilvl w:val="0"/>
          <w:numId w:val="33"/>
        </w:numPr>
        <w:spacing w:after="160" w:line="240" w:lineRule="auto"/>
        <w:ind w:left="426" w:hanging="426"/>
        <w:contextualSpacing/>
      </w:pPr>
      <w:r w:rsidRPr="00E035F5">
        <w:rPr>
          <w:b/>
        </w:rPr>
        <w:t>Crimes and offences:</w:t>
      </w:r>
      <w:r w:rsidRPr="00E035F5">
        <w:t xml:space="preserve">  In Scotland, crimes and offences are classified into 7 groups.</w:t>
      </w:r>
      <w:r w:rsidRPr="00E035F5">
        <w:rPr>
          <w:b/>
        </w:rPr>
        <w:t xml:space="preserve"> </w:t>
      </w:r>
      <w:r w:rsidRPr="00E035F5">
        <w:t xml:space="preserve"> In 2017/18 the most common crimes recorded in Aberdeen City were Miscellaneous Offences (5,987) and Crimes of Dishonesty (5,859).  With the exception of Motor Vehicle Offences, rates of crimes and offences (per 10,000 population) are higher in Aberdeen City than in Scotland. </w:t>
      </w:r>
    </w:p>
    <w:p w14:paraId="7A4FED79" w14:textId="77777777" w:rsidR="00E035F5" w:rsidRPr="00E035F5" w:rsidRDefault="00E035F5" w:rsidP="00E035F5">
      <w:pPr>
        <w:spacing w:line="240" w:lineRule="auto"/>
        <w:ind w:left="426"/>
        <w:contextualSpacing/>
      </w:pPr>
    </w:p>
    <w:p w14:paraId="67563A68" w14:textId="77777777" w:rsidR="00E035F5" w:rsidRPr="00E035F5" w:rsidRDefault="00E035F5" w:rsidP="00E035F5">
      <w:pPr>
        <w:contextualSpacing/>
        <w:rPr>
          <w:b/>
        </w:rPr>
      </w:pPr>
      <w:r w:rsidRPr="00E035F5">
        <w:rPr>
          <w:noProof/>
        </w:rPr>
        <w:drawing>
          <wp:anchor distT="0" distB="0" distL="114300" distR="114300" simplePos="0" relativeHeight="251682816" behindDoc="0" locked="0" layoutInCell="1" allowOverlap="1" wp14:anchorId="2C96C57F" wp14:editId="2F2356BB">
            <wp:simplePos x="0" y="0"/>
            <wp:positionH relativeFrom="column">
              <wp:posOffset>287020</wp:posOffset>
            </wp:positionH>
            <wp:positionV relativeFrom="paragraph">
              <wp:posOffset>13970</wp:posOffset>
            </wp:positionV>
            <wp:extent cx="4646295" cy="2565400"/>
            <wp:effectExtent l="0" t="0" r="1905" b="635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46295" cy="2565400"/>
                    </a:xfrm>
                    <a:prstGeom prst="rect">
                      <a:avLst/>
                    </a:prstGeom>
                    <a:noFill/>
                  </pic:spPr>
                </pic:pic>
              </a:graphicData>
            </a:graphic>
            <wp14:sizeRelH relativeFrom="margin">
              <wp14:pctWidth>0</wp14:pctWidth>
            </wp14:sizeRelH>
            <wp14:sizeRelV relativeFrom="margin">
              <wp14:pctHeight>0</wp14:pctHeight>
            </wp14:sizeRelV>
          </wp:anchor>
        </w:drawing>
      </w:r>
    </w:p>
    <w:p w14:paraId="720BA6EF" w14:textId="77777777" w:rsidR="00E035F5" w:rsidRPr="00E035F5" w:rsidRDefault="00E035F5" w:rsidP="00E035F5">
      <w:pPr>
        <w:numPr>
          <w:ilvl w:val="0"/>
          <w:numId w:val="33"/>
        </w:numPr>
        <w:spacing w:after="160" w:line="240" w:lineRule="auto"/>
        <w:ind w:left="426" w:hanging="426"/>
        <w:contextualSpacing/>
      </w:pPr>
      <w:r w:rsidRPr="00E035F5">
        <w:rPr>
          <w:b/>
        </w:rPr>
        <w:t>Accidental dwelling fires:</w:t>
      </w:r>
      <w:r w:rsidRPr="00E035F5">
        <w:t xml:space="preserve">  In 2016/17 there were 299 accidental dwelling fires in Aberdeen City.  There were 2 fatal casualties and 21 non-fatal casualties.  The rate of accidental dwelling fires is considerably higher in Aberdeen than in Scotland (259.8 per 100,000 dwellings compared to 191.3 in Scotland) and is the 6</w:t>
      </w:r>
      <w:r w:rsidRPr="00E035F5">
        <w:rPr>
          <w:vertAlign w:val="superscript"/>
        </w:rPr>
        <w:t>th</w:t>
      </w:r>
      <w:r w:rsidRPr="00E035F5">
        <w:t xml:space="preserve"> highest out of all local authorities.  Impairment due to alcohol/drugs was suspected to be a contributory factor to accidental dwelling fires in Aberdeen in 17% of cases – higher than the rate for Scotland of 14% and equal 6</w:t>
      </w:r>
      <w:r w:rsidRPr="00E035F5">
        <w:rPr>
          <w:vertAlign w:val="superscript"/>
        </w:rPr>
        <w:t>th</w:t>
      </w:r>
      <w:r w:rsidRPr="00E035F5">
        <w:t xml:space="preserve"> highest of all local authorities.</w:t>
      </w:r>
    </w:p>
    <w:p w14:paraId="44100208" w14:textId="77777777" w:rsidR="00E035F5" w:rsidRPr="00E035F5" w:rsidRDefault="00E035F5" w:rsidP="00E035F5">
      <w:pPr>
        <w:spacing w:line="240" w:lineRule="auto"/>
        <w:ind w:left="426"/>
        <w:contextualSpacing/>
      </w:pPr>
    </w:p>
    <w:p w14:paraId="352AB344" w14:textId="77777777" w:rsidR="00E035F5" w:rsidRPr="00E035F5" w:rsidRDefault="00E035F5" w:rsidP="00E035F5">
      <w:pPr>
        <w:numPr>
          <w:ilvl w:val="0"/>
          <w:numId w:val="33"/>
        </w:numPr>
        <w:spacing w:after="160" w:line="240" w:lineRule="auto"/>
        <w:ind w:left="426" w:hanging="426"/>
        <w:contextualSpacing/>
      </w:pPr>
      <w:r w:rsidRPr="00E035F5">
        <w:rPr>
          <w:b/>
        </w:rPr>
        <w:t>Road safety:</w:t>
      </w:r>
      <w:r w:rsidRPr="00E035F5">
        <w:t xml:space="preserve">  In 2016 there were 175 road traffic accidents in Aberdeen City involving 210 casualties (of whom 10 were children).  There were 3 fatalities and 63 serious injuries.  While the total number of accidents where one or more people were injured has more than halved in the last 10 years (from 393 to 175), the number of people who were seriously injured has not – with serious injury occurring in almost a third of road traffic accidents (where one or more people were injured) in 2016 compared to 13% in 2006.</w:t>
      </w:r>
    </w:p>
    <w:p w14:paraId="422C00AF" w14:textId="77777777" w:rsidR="00E035F5" w:rsidRPr="00244CEA" w:rsidRDefault="00E035F5" w:rsidP="00E035F5">
      <w:pPr>
        <w:contextualSpacing/>
        <w:rPr>
          <w:b/>
          <w:sz w:val="16"/>
          <w:szCs w:val="16"/>
        </w:rPr>
      </w:pPr>
    </w:p>
    <w:p w14:paraId="2D231045" w14:textId="77777777" w:rsidR="00E035F5" w:rsidRPr="00E035F5" w:rsidRDefault="00E035F5" w:rsidP="00E035F5">
      <w:pPr>
        <w:numPr>
          <w:ilvl w:val="0"/>
          <w:numId w:val="33"/>
        </w:numPr>
        <w:spacing w:after="160" w:line="240" w:lineRule="auto"/>
        <w:ind w:left="426" w:hanging="426"/>
        <w:contextualSpacing/>
      </w:pPr>
      <w:r w:rsidRPr="00E035F5">
        <w:rPr>
          <w:b/>
        </w:rPr>
        <w:t>CO</w:t>
      </w:r>
      <w:r w:rsidRPr="00E035F5">
        <w:rPr>
          <w:b/>
          <w:vertAlign w:val="subscript"/>
        </w:rPr>
        <w:t>2</w:t>
      </w:r>
      <w:r w:rsidRPr="00E035F5">
        <w:rPr>
          <w:b/>
        </w:rPr>
        <w:t xml:space="preserve"> emissions: </w:t>
      </w:r>
      <w:r w:rsidRPr="00E035F5">
        <w:t>In 2015 CO</w:t>
      </w:r>
      <w:r w:rsidRPr="00E035F5">
        <w:rPr>
          <w:vertAlign w:val="subscript"/>
        </w:rPr>
        <w:t>2</w:t>
      </w:r>
      <w:r w:rsidRPr="00E035F5">
        <w:t xml:space="preserve"> emissions in Aberdeen totalled 1,335.2 kt (down from 1,813.6 in 2005).  Of this, 45% is attributed to industry and commerce, 30% to domestic use and 24% to transport. Between 2005 and 2015, per capita CO</w:t>
      </w:r>
      <w:r w:rsidRPr="00E035F5">
        <w:rPr>
          <w:vertAlign w:val="subscript"/>
        </w:rPr>
        <w:t xml:space="preserve">2 </w:t>
      </w:r>
      <w:r w:rsidRPr="00E035F5">
        <w:t>emissions (kt CO</w:t>
      </w:r>
      <w:r w:rsidRPr="00E035F5">
        <w:rPr>
          <w:vertAlign w:val="subscript"/>
        </w:rPr>
        <w:t>2</w:t>
      </w:r>
      <w:r w:rsidRPr="00E035F5">
        <w:t>) have fallen in both Aberdeen and Scotland.  In 2015 the per capital levels were slightly lower in Aberdeen than in Scotland (5.8 compared to 6.1).</w:t>
      </w:r>
    </w:p>
    <w:p w14:paraId="3533E09D" w14:textId="77777777" w:rsidR="00E035F5" w:rsidRPr="00244CEA" w:rsidRDefault="00E035F5" w:rsidP="00E035F5">
      <w:pPr>
        <w:contextualSpacing/>
        <w:rPr>
          <w:b/>
          <w:sz w:val="16"/>
          <w:szCs w:val="16"/>
        </w:rPr>
      </w:pPr>
    </w:p>
    <w:p w14:paraId="0CE04428" w14:textId="1EE70808" w:rsidR="00E035F5" w:rsidRDefault="00E035F5" w:rsidP="00244CEA">
      <w:pPr>
        <w:numPr>
          <w:ilvl w:val="0"/>
          <w:numId w:val="33"/>
        </w:numPr>
        <w:spacing w:after="160" w:line="240" w:lineRule="auto"/>
        <w:ind w:left="426" w:hanging="426"/>
        <w:contextualSpacing/>
      </w:pPr>
      <w:r w:rsidRPr="00E035F5">
        <w:rPr>
          <w:b/>
        </w:rPr>
        <w:t>Flood risk:</w:t>
      </w:r>
      <w:r w:rsidRPr="00E035F5">
        <w:t xml:space="preserve">  4 areas in Aberdeen has been identified as potentially vulnerable to flooding – Deeside, Peterculter, Bridge of Don, Denmore and Deeside. Total annual average damages = £17,370,000 (equivalent to 80% of annual average damages for the North East Local Plan area).</w:t>
      </w:r>
    </w:p>
    <w:p w14:paraId="202BDF3E" w14:textId="77777777" w:rsidR="00244CEA" w:rsidRPr="00244CEA" w:rsidRDefault="00244CEA" w:rsidP="00244CEA">
      <w:pPr>
        <w:spacing w:after="160" w:line="240" w:lineRule="auto"/>
        <w:ind w:left="0"/>
        <w:contextualSpacing/>
      </w:pPr>
      <w:bookmarkStart w:id="1" w:name="_GoBack"/>
      <w:bookmarkEnd w:id="1"/>
    </w:p>
    <w:p w14:paraId="12A378BE" w14:textId="77777777" w:rsidR="00E035F5" w:rsidRPr="00E035F5" w:rsidRDefault="00E035F5" w:rsidP="00E035F5">
      <w:pPr>
        <w:numPr>
          <w:ilvl w:val="0"/>
          <w:numId w:val="33"/>
        </w:numPr>
        <w:spacing w:after="160" w:line="240" w:lineRule="auto"/>
        <w:ind w:left="426" w:hanging="426"/>
        <w:contextualSpacing/>
      </w:pPr>
      <w:r w:rsidRPr="00E035F5">
        <w:rPr>
          <w:b/>
        </w:rPr>
        <w:lastRenderedPageBreak/>
        <w:t>Waste and recycling:</w:t>
      </w:r>
      <w:r w:rsidRPr="00E035F5">
        <w:t xml:space="preserve">  In 2016, 96,123 tonnes of waste was generated in Aberdeen City.  Most (60.4%) went to landfill with 39% being recycled. The proportion of waste being recycled in Aberdeen increased from 35.7% in 2011 to 39.0% in 2016.</w:t>
      </w:r>
    </w:p>
    <w:p w14:paraId="5FD58498" w14:textId="3F940456" w:rsidR="00E035F5" w:rsidRDefault="00E035F5" w:rsidP="00E035F5">
      <w:pPr>
        <w:spacing w:line="240" w:lineRule="auto"/>
        <w:ind w:left="0"/>
        <w:jc w:val="center"/>
        <w:rPr>
          <w:b/>
          <w:color w:val="FFFFFF" w:themeColor="background1"/>
          <w:sz w:val="36"/>
          <w:szCs w:val="36"/>
        </w:rPr>
      </w:pPr>
      <w:r w:rsidRPr="00E035F5">
        <w:rPr>
          <w:noProof/>
        </w:rPr>
        <w:drawing>
          <wp:anchor distT="0" distB="0" distL="114300" distR="114300" simplePos="0" relativeHeight="251686912" behindDoc="1" locked="0" layoutInCell="1" allowOverlap="1" wp14:anchorId="79C3033F" wp14:editId="5BA1260F">
            <wp:simplePos x="0" y="0"/>
            <wp:positionH relativeFrom="margin">
              <wp:align>right</wp:align>
            </wp:positionH>
            <wp:positionV relativeFrom="paragraph">
              <wp:posOffset>-1123</wp:posOffset>
            </wp:positionV>
            <wp:extent cx="5729235" cy="711791"/>
            <wp:effectExtent l="0" t="0" r="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52503"/>
                    <a:stretch/>
                  </pic:blipFill>
                  <pic:spPr bwMode="auto">
                    <a:xfrm>
                      <a:off x="0" y="0"/>
                      <a:ext cx="5729235" cy="7117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3C1C55" w14:textId="002FA9DC" w:rsidR="00E035F5" w:rsidRPr="00E035F5" w:rsidRDefault="00E035F5" w:rsidP="00E035F5">
      <w:pPr>
        <w:spacing w:line="240" w:lineRule="auto"/>
        <w:ind w:left="0"/>
        <w:jc w:val="center"/>
        <w:rPr>
          <w:b/>
          <w:color w:val="FFFFFF" w:themeColor="background1"/>
          <w:sz w:val="36"/>
          <w:szCs w:val="36"/>
        </w:rPr>
      </w:pPr>
      <w:r w:rsidRPr="00E035F5">
        <w:rPr>
          <w:b/>
          <w:color w:val="FFFFFF" w:themeColor="background1"/>
          <w:sz w:val="36"/>
          <w:szCs w:val="36"/>
        </w:rPr>
        <w:t>OUR ECONOMY</w:t>
      </w:r>
    </w:p>
    <w:p w14:paraId="0017B6BC" w14:textId="77777777" w:rsidR="00E035F5" w:rsidRPr="00E035F5" w:rsidRDefault="00E035F5" w:rsidP="00E035F5">
      <w:pPr>
        <w:spacing w:line="240" w:lineRule="auto"/>
        <w:ind w:left="0"/>
        <w:rPr>
          <w:b/>
          <w:sz w:val="32"/>
          <w:szCs w:val="32"/>
        </w:rPr>
      </w:pPr>
    </w:p>
    <w:p w14:paraId="28C9F336" w14:textId="77777777" w:rsidR="00E035F5" w:rsidRPr="00E035F5" w:rsidRDefault="00E035F5" w:rsidP="00E035F5">
      <w:pPr>
        <w:numPr>
          <w:ilvl w:val="0"/>
          <w:numId w:val="33"/>
        </w:numPr>
        <w:spacing w:after="160" w:line="240" w:lineRule="auto"/>
        <w:ind w:left="426" w:hanging="426"/>
        <w:contextualSpacing/>
        <w:rPr>
          <w:noProof/>
        </w:rPr>
      </w:pPr>
      <w:r w:rsidRPr="00E035F5">
        <w:rPr>
          <w:b/>
        </w:rPr>
        <w:t>GVA:</w:t>
      </w:r>
      <w:r w:rsidRPr="00E035F5">
        <w:t xml:space="preserve">  In 2016 Aberdeen City had a GVA of £10,607 million – equivalent to 7.9% of Scotland’s total GVA.  Aberdeen was one of 4 local authorities which saw economic output decrease in 2016 (-2.2%).  </w:t>
      </w:r>
      <w:r w:rsidRPr="00E035F5">
        <w:rPr>
          <w:noProof/>
        </w:rPr>
        <w:t>In 2016, Aberdeen City had the highest GVA per head ratio at £46,151 compared to £24,800 for Scotland.  GVA per head fell by £3,715 between 2014 and 2016.</w:t>
      </w:r>
    </w:p>
    <w:p w14:paraId="668418D6" w14:textId="77777777" w:rsidR="00E035F5" w:rsidRPr="00E035F5" w:rsidRDefault="00E035F5" w:rsidP="00E035F5">
      <w:pPr>
        <w:spacing w:line="240" w:lineRule="auto"/>
        <w:ind w:left="426"/>
        <w:contextualSpacing/>
        <w:rPr>
          <w:noProof/>
        </w:rPr>
      </w:pPr>
    </w:p>
    <w:p w14:paraId="74B9B663" w14:textId="77777777" w:rsidR="00E035F5" w:rsidRPr="00E035F5" w:rsidRDefault="00E035F5" w:rsidP="00E035F5">
      <w:pPr>
        <w:numPr>
          <w:ilvl w:val="0"/>
          <w:numId w:val="33"/>
        </w:numPr>
        <w:spacing w:after="160" w:line="240" w:lineRule="auto"/>
        <w:ind w:left="426" w:hanging="426"/>
        <w:contextualSpacing/>
        <w:rPr>
          <w:noProof/>
        </w:rPr>
      </w:pPr>
      <w:r w:rsidRPr="00E035F5">
        <w:rPr>
          <w:b/>
          <w:noProof/>
        </w:rPr>
        <w:t>Hotel rates</w:t>
      </w:r>
      <w:r w:rsidRPr="00E035F5">
        <w:rPr>
          <w:noProof/>
        </w:rPr>
        <w:t>:  Between December 2014 and Q1 of 2017, the average price for a hotel room in Aberdeen dropped from £92.87 to £60.56.</w:t>
      </w:r>
    </w:p>
    <w:p w14:paraId="1396DC58" w14:textId="77777777" w:rsidR="00E035F5" w:rsidRPr="00E035F5" w:rsidRDefault="00E035F5" w:rsidP="00E035F5">
      <w:pPr>
        <w:contextualSpacing/>
        <w:rPr>
          <w:noProof/>
        </w:rPr>
      </w:pPr>
    </w:p>
    <w:p w14:paraId="1D8FD07F" w14:textId="77777777" w:rsidR="00E035F5" w:rsidRPr="00E035F5" w:rsidRDefault="00E035F5" w:rsidP="00E035F5">
      <w:pPr>
        <w:numPr>
          <w:ilvl w:val="0"/>
          <w:numId w:val="33"/>
        </w:numPr>
        <w:spacing w:after="160" w:line="240" w:lineRule="auto"/>
        <w:ind w:left="426" w:hanging="426"/>
        <w:contextualSpacing/>
        <w:rPr>
          <w:noProof/>
        </w:rPr>
      </w:pPr>
      <w:r w:rsidRPr="00E035F5">
        <w:rPr>
          <w:b/>
          <w:noProof/>
        </w:rPr>
        <w:t xml:space="preserve">Air passengers:  </w:t>
      </w:r>
      <w:r w:rsidRPr="00E035F5">
        <w:rPr>
          <w:noProof/>
        </w:rPr>
        <w:t>In 2016 there were</w:t>
      </w:r>
      <w:r w:rsidRPr="00E035F5">
        <w:rPr>
          <w:b/>
          <w:noProof/>
        </w:rPr>
        <w:t xml:space="preserve"> </w:t>
      </w:r>
      <w:r w:rsidRPr="00E035F5">
        <w:rPr>
          <w:noProof/>
        </w:rPr>
        <w:t>2.96 million air passengers through Aberdeen Airport. This is a drop of 20.4% on the numbers from 2014 (3.72 million).</w:t>
      </w:r>
    </w:p>
    <w:p w14:paraId="313E5847" w14:textId="77777777" w:rsidR="00E035F5" w:rsidRPr="00E035F5" w:rsidRDefault="00E035F5" w:rsidP="00E035F5">
      <w:pPr>
        <w:contextualSpacing/>
        <w:rPr>
          <w:b/>
          <w:noProof/>
        </w:rPr>
      </w:pPr>
    </w:p>
    <w:p w14:paraId="3FCD61DA" w14:textId="77777777" w:rsidR="00E035F5" w:rsidRPr="00E035F5" w:rsidRDefault="00E035F5" w:rsidP="00E035F5">
      <w:pPr>
        <w:numPr>
          <w:ilvl w:val="0"/>
          <w:numId w:val="33"/>
        </w:numPr>
        <w:spacing w:after="160" w:line="240" w:lineRule="auto"/>
        <w:ind w:left="426" w:hanging="426"/>
        <w:contextualSpacing/>
        <w:rPr>
          <w:noProof/>
        </w:rPr>
      </w:pPr>
      <w:r w:rsidRPr="00E035F5">
        <w:rPr>
          <w:b/>
          <w:noProof/>
        </w:rPr>
        <w:t>Oil and Gas:</w:t>
      </w:r>
      <w:r w:rsidRPr="00E035F5">
        <w:rPr>
          <w:noProof/>
        </w:rPr>
        <w:t xml:space="preserve">  Direct employment in Oil and Gas sector in the UK fell by 31.5% between 2014 and 2017 (UK figures only – not specific to Aberdeen).</w:t>
      </w:r>
    </w:p>
    <w:p w14:paraId="452FBBAA" w14:textId="77777777" w:rsidR="00E035F5" w:rsidRPr="00E035F5" w:rsidRDefault="00E035F5" w:rsidP="00E035F5">
      <w:pPr>
        <w:contextualSpacing/>
        <w:rPr>
          <w:b/>
          <w:noProof/>
        </w:rPr>
      </w:pPr>
    </w:p>
    <w:p w14:paraId="533F4FEF" w14:textId="77777777" w:rsidR="00E035F5" w:rsidRPr="00E035F5" w:rsidRDefault="00E035F5" w:rsidP="00E035F5">
      <w:pPr>
        <w:numPr>
          <w:ilvl w:val="0"/>
          <w:numId w:val="33"/>
        </w:numPr>
        <w:spacing w:after="160" w:line="240" w:lineRule="auto"/>
        <w:ind w:left="426" w:hanging="426"/>
        <w:contextualSpacing/>
        <w:rPr>
          <w:noProof/>
        </w:rPr>
      </w:pPr>
      <w:r w:rsidRPr="00E035F5">
        <w:rPr>
          <w:b/>
          <w:noProof/>
        </w:rPr>
        <w:t>Universities:</w:t>
      </w:r>
      <w:r w:rsidRPr="00E035F5">
        <w:rPr>
          <w:noProof/>
        </w:rPr>
        <w:t xml:space="preserve"> Aberdeen is home to two major universities; University of Aberdeen and Robert Gordon University as well as a further education college, North East Scotland College.  The total number of students in 2017/18 was 41,684 (includes full-time and part-time).</w:t>
      </w:r>
    </w:p>
    <w:p w14:paraId="3EEA623C" w14:textId="77777777" w:rsidR="00E035F5" w:rsidRPr="00E035F5" w:rsidRDefault="00E035F5" w:rsidP="00E035F5">
      <w:pPr>
        <w:contextualSpacing/>
        <w:rPr>
          <w:b/>
          <w:noProof/>
        </w:rPr>
      </w:pPr>
    </w:p>
    <w:p w14:paraId="40C76C8B" w14:textId="77777777" w:rsidR="00E035F5" w:rsidRPr="00E035F5" w:rsidRDefault="00E035F5" w:rsidP="00E035F5">
      <w:pPr>
        <w:numPr>
          <w:ilvl w:val="0"/>
          <w:numId w:val="33"/>
        </w:numPr>
        <w:spacing w:after="160" w:line="240" w:lineRule="auto"/>
        <w:ind w:left="426" w:hanging="426"/>
        <w:contextualSpacing/>
        <w:rPr>
          <w:noProof/>
        </w:rPr>
      </w:pPr>
      <w:r w:rsidRPr="00E035F5">
        <w:rPr>
          <w:b/>
          <w:noProof/>
        </w:rPr>
        <w:t>Businesses:</w:t>
      </w:r>
      <w:r w:rsidRPr="00E035F5">
        <w:rPr>
          <w:noProof/>
        </w:rPr>
        <w:t xml:space="preserve">  In 2017, there were 8,700 enterprises in Aberdeen City (11,485 business units).  Most (85.6%) were classified as Micro (0 to 9), 11% were Small (10 to 49), 2.6% were Medium (50 to 249) and 0.7% were Large (250+).   The number of businesses in Aberdeen has decreased in the last two years - from 9,185 in 2015 to 8,700 in 2017.</w:t>
      </w:r>
    </w:p>
    <w:p w14:paraId="3D9BD4AE" w14:textId="77777777" w:rsidR="00E035F5" w:rsidRPr="00E035F5" w:rsidRDefault="00E035F5" w:rsidP="00E035F5">
      <w:pPr>
        <w:contextualSpacing/>
        <w:rPr>
          <w:b/>
          <w:noProof/>
        </w:rPr>
      </w:pPr>
    </w:p>
    <w:p w14:paraId="1E3AFC4B" w14:textId="77777777" w:rsidR="00E035F5" w:rsidRPr="00E035F5" w:rsidRDefault="00E035F5" w:rsidP="00E035F5">
      <w:pPr>
        <w:numPr>
          <w:ilvl w:val="0"/>
          <w:numId w:val="33"/>
        </w:numPr>
        <w:spacing w:after="160" w:line="240" w:lineRule="auto"/>
        <w:ind w:left="426" w:hanging="426"/>
        <w:contextualSpacing/>
        <w:rPr>
          <w:noProof/>
        </w:rPr>
      </w:pPr>
      <w:r w:rsidRPr="00E035F5">
        <w:rPr>
          <w:b/>
          <w:noProof/>
        </w:rPr>
        <w:t>Business births and deaths:</w:t>
      </w:r>
      <w:r w:rsidRPr="00E035F5">
        <w:rPr>
          <w:noProof/>
        </w:rPr>
        <w:t xml:space="preserve">  In 2016 there were 1,160 new business in Aberdeen and 1,570 business deaths.  The number of new businesses starting each year fell between 2013 and 2015, before increasing slightly between 2015 and 2016 (from 1,090 to 1,160).   The fall in business births has been accompanied by a sharp rise in business deaths (from 880 in 2014 to 1,570 in 2016 – an increase of 78%).  One-year survival rates of 2015 business births was 89% in Aberdeen compared to 90% in Scotland.   Five-year survival rates of 2011 business births was 53.5% in Aberdeen compared to 45.6% in Scotland.  </w:t>
      </w:r>
    </w:p>
    <w:p w14:paraId="57ED7DFF" w14:textId="77777777" w:rsidR="00E035F5" w:rsidRPr="00E035F5" w:rsidRDefault="00E035F5" w:rsidP="00E035F5">
      <w:pPr>
        <w:contextualSpacing/>
        <w:rPr>
          <w:noProof/>
        </w:rPr>
      </w:pPr>
    </w:p>
    <w:p w14:paraId="4D0774AE" w14:textId="77777777" w:rsidR="00E035F5" w:rsidRPr="00E035F5" w:rsidRDefault="00E035F5" w:rsidP="00E035F5">
      <w:pPr>
        <w:spacing w:after="160"/>
        <w:ind w:left="0" w:firstLine="426"/>
        <w:rPr>
          <w:b/>
          <w:noProof/>
        </w:rPr>
      </w:pPr>
      <w:r w:rsidRPr="00E035F5">
        <w:rPr>
          <w:noProof/>
        </w:rPr>
        <w:lastRenderedPageBreak/>
        <w:drawing>
          <wp:inline distT="0" distB="0" distL="0" distR="0" wp14:anchorId="145DAE0B" wp14:editId="68EA98B0">
            <wp:extent cx="4911725" cy="2360295"/>
            <wp:effectExtent l="0" t="0" r="3175" b="190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11725" cy="2360295"/>
                    </a:xfrm>
                    <a:prstGeom prst="rect">
                      <a:avLst/>
                    </a:prstGeom>
                    <a:noFill/>
                  </pic:spPr>
                </pic:pic>
              </a:graphicData>
            </a:graphic>
          </wp:inline>
        </w:drawing>
      </w:r>
    </w:p>
    <w:p w14:paraId="32141745" w14:textId="77777777" w:rsidR="00E035F5" w:rsidRPr="00E035F5" w:rsidRDefault="00E035F5" w:rsidP="00E035F5">
      <w:pPr>
        <w:numPr>
          <w:ilvl w:val="0"/>
          <w:numId w:val="33"/>
        </w:numPr>
        <w:spacing w:after="160" w:line="240" w:lineRule="auto"/>
        <w:ind w:left="426" w:hanging="426"/>
        <w:contextualSpacing/>
        <w:rPr>
          <w:noProof/>
        </w:rPr>
      </w:pPr>
      <w:r w:rsidRPr="00E035F5">
        <w:rPr>
          <w:b/>
          <w:noProof/>
        </w:rPr>
        <w:t>Average weekly wage</w:t>
      </w:r>
      <w:r w:rsidRPr="00E035F5">
        <w:rPr>
          <w:noProof/>
        </w:rPr>
        <w:t>:  In 2017 the median weekly wage in Aberdeen was £583.90 – second highest in Scotland (behind Edinburgh).  Since 2014 the median weekly wage has dropped by 7.7% (compared to a 5.3% increase for Scotland).</w:t>
      </w:r>
    </w:p>
    <w:p w14:paraId="47CD86A9" w14:textId="77777777" w:rsidR="00E035F5" w:rsidRPr="00E035F5" w:rsidRDefault="00E035F5" w:rsidP="00E035F5">
      <w:pPr>
        <w:spacing w:line="240" w:lineRule="auto"/>
        <w:ind w:left="426"/>
        <w:contextualSpacing/>
        <w:rPr>
          <w:noProof/>
          <w:sz w:val="16"/>
          <w:szCs w:val="16"/>
        </w:rPr>
      </w:pPr>
    </w:p>
    <w:p w14:paraId="32B3DE02" w14:textId="77777777" w:rsidR="00E035F5" w:rsidRPr="00E035F5" w:rsidRDefault="00E035F5" w:rsidP="00E035F5">
      <w:pPr>
        <w:numPr>
          <w:ilvl w:val="0"/>
          <w:numId w:val="33"/>
        </w:numPr>
        <w:spacing w:after="160" w:line="240" w:lineRule="auto"/>
        <w:ind w:left="426" w:hanging="426"/>
        <w:contextualSpacing/>
        <w:rPr>
          <w:noProof/>
        </w:rPr>
      </w:pPr>
      <w:r w:rsidRPr="00E035F5">
        <w:rPr>
          <w:b/>
          <w:noProof/>
        </w:rPr>
        <w:t>Economic activity:</w:t>
      </w:r>
      <w:r w:rsidRPr="00E035F5">
        <w:rPr>
          <w:noProof/>
        </w:rPr>
        <w:t xml:space="preserve">  In 2017, 79% of Aberdeen’s working age population (16-64 years) was classified as economically active and 21% classified as economically inactive.</w:t>
      </w:r>
    </w:p>
    <w:p w14:paraId="3958B9AF" w14:textId="77777777" w:rsidR="00E035F5" w:rsidRPr="00E035F5" w:rsidRDefault="00E035F5" w:rsidP="00E035F5">
      <w:pPr>
        <w:contextualSpacing/>
        <w:rPr>
          <w:b/>
          <w:noProof/>
          <w:sz w:val="16"/>
          <w:szCs w:val="16"/>
        </w:rPr>
      </w:pPr>
    </w:p>
    <w:p w14:paraId="1BD848F1" w14:textId="77777777" w:rsidR="00E035F5" w:rsidRPr="00E035F5" w:rsidRDefault="00E035F5" w:rsidP="00E035F5">
      <w:pPr>
        <w:numPr>
          <w:ilvl w:val="0"/>
          <w:numId w:val="33"/>
        </w:numPr>
        <w:spacing w:after="160" w:line="240" w:lineRule="auto"/>
        <w:ind w:left="426" w:hanging="426"/>
        <w:contextualSpacing/>
        <w:rPr>
          <w:noProof/>
        </w:rPr>
      </w:pPr>
      <w:r w:rsidRPr="00E035F5">
        <w:rPr>
          <w:b/>
          <w:noProof/>
        </w:rPr>
        <w:t>Unemployment:</w:t>
      </w:r>
      <w:r w:rsidRPr="00E035F5">
        <w:rPr>
          <w:noProof/>
        </w:rPr>
        <w:t xml:space="preserve">  </w:t>
      </w:r>
      <w:r w:rsidRPr="00E035F5">
        <w:t xml:space="preserve">In 2016 unemployment in Aberdeen reached 5.4% and for the first time in at least 10 years was higher than that for Scotland (4.8%).   Unemployment fell between 2016 and 2017 and in 2017 was the same as Scotland (4.1%). </w:t>
      </w:r>
    </w:p>
    <w:p w14:paraId="5372FB46" w14:textId="77777777" w:rsidR="00E035F5" w:rsidRPr="00E035F5" w:rsidRDefault="00E035F5" w:rsidP="00E035F5">
      <w:pPr>
        <w:contextualSpacing/>
        <w:rPr>
          <w:b/>
          <w:noProof/>
          <w:sz w:val="16"/>
          <w:szCs w:val="16"/>
        </w:rPr>
      </w:pPr>
    </w:p>
    <w:p w14:paraId="7D1E8F55" w14:textId="77777777" w:rsidR="00E035F5" w:rsidRPr="00E035F5" w:rsidRDefault="00E035F5" w:rsidP="00E035F5">
      <w:pPr>
        <w:numPr>
          <w:ilvl w:val="0"/>
          <w:numId w:val="33"/>
        </w:numPr>
        <w:spacing w:after="160" w:line="240" w:lineRule="auto"/>
        <w:ind w:left="426" w:hanging="426"/>
        <w:contextualSpacing/>
        <w:rPr>
          <w:noProof/>
        </w:rPr>
      </w:pPr>
      <w:r w:rsidRPr="00E035F5">
        <w:rPr>
          <w:b/>
          <w:noProof/>
        </w:rPr>
        <w:t>Workless households:</w:t>
      </w:r>
      <w:r w:rsidRPr="00E035F5">
        <w:rPr>
          <w:noProof/>
        </w:rPr>
        <w:t xml:space="preserve">  In 2016 there were an estimated 15,000 workless households (i.e. households where no-one aged 16 years or over is in employment) in Aberdeen City – 17.6% of all households.</w:t>
      </w:r>
      <w:r w:rsidRPr="00E035F5">
        <w:rPr>
          <w:b/>
          <w:noProof/>
        </w:rPr>
        <w:t xml:space="preserve">  </w:t>
      </w:r>
    </w:p>
    <w:p w14:paraId="186DA718" w14:textId="77777777" w:rsidR="00E035F5" w:rsidRPr="00E035F5" w:rsidRDefault="00E035F5" w:rsidP="00E035F5">
      <w:pPr>
        <w:contextualSpacing/>
        <w:rPr>
          <w:b/>
          <w:noProof/>
          <w:sz w:val="16"/>
          <w:szCs w:val="16"/>
        </w:rPr>
      </w:pPr>
    </w:p>
    <w:p w14:paraId="41AFF6E5" w14:textId="77777777" w:rsidR="00E035F5" w:rsidRPr="00E035F5" w:rsidRDefault="00E035F5" w:rsidP="00E035F5">
      <w:pPr>
        <w:numPr>
          <w:ilvl w:val="0"/>
          <w:numId w:val="33"/>
        </w:numPr>
        <w:spacing w:after="160" w:line="240" w:lineRule="auto"/>
        <w:ind w:left="426" w:hanging="426"/>
        <w:contextualSpacing/>
        <w:rPr>
          <w:noProof/>
        </w:rPr>
      </w:pPr>
      <w:r w:rsidRPr="00E035F5">
        <w:rPr>
          <w:b/>
          <w:noProof/>
        </w:rPr>
        <w:t>Benefits:</w:t>
      </w:r>
      <w:r w:rsidRPr="00E035F5">
        <w:rPr>
          <w:noProof/>
        </w:rPr>
        <w:t xml:space="preserve">  In November 2016, there were 14,730 people (working-age) claiming benefits in Aberdeen City.  This is equivalent to 9.2% of the working age population of the City.  In December 2017 there were 1,587 households in Aberdeen City on Universal Credit, an increase of 282 in the year from December 2016.</w:t>
      </w:r>
    </w:p>
    <w:p w14:paraId="169F8B5B" w14:textId="77777777" w:rsidR="00E035F5" w:rsidRPr="00E035F5" w:rsidRDefault="00E035F5" w:rsidP="00E035F5">
      <w:pPr>
        <w:contextualSpacing/>
        <w:rPr>
          <w:b/>
          <w:noProof/>
          <w:sz w:val="16"/>
          <w:szCs w:val="16"/>
        </w:rPr>
      </w:pPr>
    </w:p>
    <w:p w14:paraId="01B1E593" w14:textId="77777777" w:rsidR="00E035F5" w:rsidRPr="00E035F5" w:rsidRDefault="00E035F5" w:rsidP="00E035F5">
      <w:pPr>
        <w:numPr>
          <w:ilvl w:val="0"/>
          <w:numId w:val="33"/>
        </w:numPr>
        <w:spacing w:after="160" w:line="240" w:lineRule="auto"/>
        <w:ind w:left="426" w:hanging="426"/>
        <w:contextualSpacing/>
        <w:rPr>
          <w:noProof/>
        </w:rPr>
      </w:pPr>
      <w:r w:rsidRPr="00E035F5">
        <w:rPr>
          <w:b/>
          <w:noProof/>
        </w:rPr>
        <w:t>Job density</w:t>
      </w:r>
      <w:r w:rsidRPr="00E035F5">
        <w:rPr>
          <w:noProof/>
        </w:rPr>
        <w:t>:  In 2016 there were an estimated 192,000 jobs in the City – equivalent to 1.19 jobs per person aged 16-64 years (compared to 0.8 for Scotland).  The job density rate has fallen since 2014 when it was 1.26.</w:t>
      </w:r>
    </w:p>
    <w:p w14:paraId="20C0DEC5" w14:textId="77777777" w:rsidR="00E035F5" w:rsidRPr="00E035F5" w:rsidRDefault="00E035F5" w:rsidP="00E035F5">
      <w:pPr>
        <w:contextualSpacing/>
        <w:rPr>
          <w:b/>
          <w:noProof/>
          <w:sz w:val="16"/>
          <w:szCs w:val="16"/>
        </w:rPr>
      </w:pPr>
    </w:p>
    <w:p w14:paraId="222EDF0C" w14:textId="77777777" w:rsidR="00E035F5" w:rsidRPr="00E035F5" w:rsidRDefault="00E035F5" w:rsidP="00E035F5">
      <w:pPr>
        <w:numPr>
          <w:ilvl w:val="0"/>
          <w:numId w:val="33"/>
        </w:numPr>
        <w:spacing w:after="160" w:line="240" w:lineRule="auto"/>
        <w:ind w:left="426" w:hanging="426"/>
        <w:contextualSpacing/>
        <w:rPr>
          <w:noProof/>
        </w:rPr>
      </w:pPr>
      <w:r w:rsidRPr="00E035F5">
        <w:rPr>
          <w:b/>
          <w:noProof/>
        </w:rPr>
        <w:t xml:space="preserve">Employment:  </w:t>
      </w:r>
      <w:r w:rsidRPr="00E035F5">
        <w:rPr>
          <w:noProof/>
        </w:rPr>
        <w:t xml:space="preserve">Over a quarter (26.9%) of employees in Aberdeen City are in Professional Occupations compared to 20.7% in this category for Scotland.  Compared to Scotland, Aberdeen City has a higher proportion of its workforce who are qualified to NVQ4 and above (51.7% in Aberdeen and 43.9% in Scotland).  </w:t>
      </w:r>
      <w:r w:rsidRPr="00E035F5">
        <w:t xml:space="preserve">In 2016, the sector which provided the highest proportion of employee jobs in Aberdeen (as in Scotland) was Human Health and Social Work Activities (15.3% of all employee jobs).  Other sectors which were high employers were Professional, Scientific and Technical Activities (13.0%) and Mining and Quarrying (13.0%).  </w:t>
      </w:r>
    </w:p>
    <w:p w14:paraId="7B2F91AB" w14:textId="77777777" w:rsidR="00E035F5" w:rsidRPr="00E035F5" w:rsidRDefault="00E035F5" w:rsidP="00E035F5">
      <w:pPr>
        <w:contextualSpacing/>
        <w:rPr>
          <w:b/>
          <w:noProof/>
          <w:sz w:val="16"/>
          <w:szCs w:val="16"/>
        </w:rPr>
      </w:pPr>
    </w:p>
    <w:p w14:paraId="6AF443CE" w14:textId="77777777" w:rsidR="00E035F5" w:rsidRPr="00E035F5" w:rsidRDefault="00E035F5" w:rsidP="00E035F5">
      <w:pPr>
        <w:numPr>
          <w:ilvl w:val="0"/>
          <w:numId w:val="33"/>
        </w:numPr>
        <w:spacing w:after="160" w:line="240" w:lineRule="auto"/>
        <w:ind w:left="426" w:hanging="426"/>
        <w:contextualSpacing/>
        <w:rPr>
          <w:noProof/>
        </w:rPr>
      </w:pPr>
      <w:r w:rsidRPr="00E035F5">
        <w:rPr>
          <w:b/>
          <w:noProof/>
        </w:rPr>
        <w:t>Deprivation (SIMD 2016</w:t>
      </w:r>
      <w:r w:rsidRPr="00E035F5">
        <w:rPr>
          <w:noProof/>
        </w:rPr>
        <w:t xml:space="preserve">):  </w:t>
      </w:r>
      <w:r w:rsidRPr="00E035F5">
        <w:rPr>
          <w:rFonts w:ascii="Calibri" w:hAnsi="Calibri" w:cs="Calibri"/>
        </w:rPr>
        <w:t xml:space="preserve">Based on overall rankings of deprivation (i.e. All Domains), Aberdeen performs relatively well in the SIMD with 113 (40%) of its data zones being in the 20% least deprived areas of Scotland.   However, there are 22 (8%) data zones in the 20% most deprived areas of Scotland – equivalent to a population of 18,171.  While only 22 of the City’s 283 data zones are in the most deprived quintile (0-20%) for All Domains, 98 data zones (34.6%) are in </w:t>
      </w:r>
      <w:r w:rsidRPr="00E035F5">
        <w:rPr>
          <w:rFonts w:ascii="Calibri" w:hAnsi="Calibri" w:cs="Calibri"/>
        </w:rPr>
        <w:lastRenderedPageBreak/>
        <w:t>the most deprived quintile for Housing, 73 (28.8%) are in the most deprived quintile for Crime and 67 (23.7%) are in the most deprived quintile for Education, Skills and Training.</w:t>
      </w:r>
    </w:p>
    <w:p w14:paraId="37DA2B40" w14:textId="77777777" w:rsidR="00E035F5" w:rsidRPr="00E035F5" w:rsidRDefault="00E035F5" w:rsidP="00E035F5">
      <w:pPr>
        <w:contextualSpacing/>
        <w:rPr>
          <w:b/>
          <w:noProof/>
          <w:sz w:val="16"/>
          <w:szCs w:val="16"/>
        </w:rPr>
      </w:pPr>
    </w:p>
    <w:p w14:paraId="47BA0201" w14:textId="77777777" w:rsidR="00E035F5" w:rsidRPr="00E035F5" w:rsidRDefault="00E035F5" w:rsidP="00E035F5">
      <w:pPr>
        <w:numPr>
          <w:ilvl w:val="0"/>
          <w:numId w:val="33"/>
        </w:numPr>
        <w:spacing w:after="160" w:line="240" w:lineRule="auto"/>
        <w:ind w:left="426" w:hanging="426"/>
        <w:contextualSpacing/>
        <w:rPr>
          <w:noProof/>
        </w:rPr>
      </w:pPr>
      <w:r w:rsidRPr="00E035F5">
        <w:rPr>
          <w:b/>
          <w:noProof/>
        </w:rPr>
        <w:t>Relative poverty:</w:t>
      </w:r>
      <w:r w:rsidRPr="00E035F5">
        <w:rPr>
          <w:noProof/>
        </w:rPr>
        <w:t xml:space="preserve">  In Scotland an estimated 19% of people are living in relative poverty and it is estimated that 59% of those in relative poverty are in working households (i.e. households where at least one person is working).</w:t>
      </w:r>
    </w:p>
    <w:p w14:paraId="45EBAC57" w14:textId="77777777" w:rsidR="00E035F5" w:rsidRPr="00E035F5" w:rsidRDefault="00E035F5" w:rsidP="00E035F5">
      <w:pPr>
        <w:contextualSpacing/>
        <w:rPr>
          <w:b/>
          <w:noProof/>
          <w:sz w:val="16"/>
          <w:szCs w:val="16"/>
        </w:rPr>
      </w:pPr>
    </w:p>
    <w:p w14:paraId="7D3F667C" w14:textId="77777777" w:rsidR="00E035F5" w:rsidRPr="00E035F5" w:rsidRDefault="00E035F5" w:rsidP="00E035F5">
      <w:pPr>
        <w:numPr>
          <w:ilvl w:val="0"/>
          <w:numId w:val="33"/>
        </w:numPr>
        <w:spacing w:after="160" w:line="240" w:lineRule="auto"/>
        <w:ind w:left="426" w:hanging="426"/>
        <w:contextualSpacing/>
        <w:rPr>
          <w:noProof/>
        </w:rPr>
      </w:pPr>
      <w:r w:rsidRPr="00E035F5">
        <w:rPr>
          <w:b/>
          <w:noProof/>
        </w:rPr>
        <w:t>Food poverty</w:t>
      </w:r>
      <w:r w:rsidRPr="00E035F5">
        <w:rPr>
          <w:noProof/>
        </w:rPr>
        <w:t>:  According to the Trussell Trust, in the North East of Scotland 61,567 3-day emergency supplies were given out in 2016/17.</w:t>
      </w:r>
    </w:p>
    <w:p w14:paraId="044B9DEF" w14:textId="77777777" w:rsidR="00E035F5" w:rsidRPr="00E035F5" w:rsidRDefault="00E035F5" w:rsidP="00E035F5">
      <w:pPr>
        <w:contextualSpacing/>
        <w:rPr>
          <w:b/>
          <w:noProof/>
          <w:sz w:val="16"/>
          <w:szCs w:val="16"/>
        </w:rPr>
      </w:pPr>
    </w:p>
    <w:p w14:paraId="63F6891A" w14:textId="77777777" w:rsidR="00E035F5" w:rsidRPr="00E035F5" w:rsidRDefault="00E035F5" w:rsidP="00E035F5">
      <w:pPr>
        <w:numPr>
          <w:ilvl w:val="0"/>
          <w:numId w:val="33"/>
        </w:numPr>
        <w:spacing w:after="160" w:line="240" w:lineRule="auto"/>
        <w:ind w:left="426" w:hanging="426"/>
        <w:contextualSpacing/>
        <w:rPr>
          <w:noProof/>
        </w:rPr>
      </w:pPr>
      <w:r w:rsidRPr="00E035F5">
        <w:rPr>
          <w:b/>
          <w:noProof/>
        </w:rPr>
        <w:t>Fuel poverty:</w:t>
      </w:r>
      <w:r w:rsidRPr="00E035F5">
        <w:rPr>
          <w:noProof/>
        </w:rPr>
        <w:t xml:space="preserve">  An estimated 28% of households in Aberdeen are in fuel poverty with 9% being in extreme fuel poverty.</w:t>
      </w:r>
    </w:p>
    <w:p w14:paraId="03F69BE4" w14:textId="77777777" w:rsidR="00E035F5" w:rsidRPr="00E035F5" w:rsidRDefault="00E035F5" w:rsidP="00E035F5">
      <w:pPr>
        <w:spacing w:after="160" w:line="240" w:lineRule="auto"/>
        <w:ind w:left="0"/>
        <w:rPr>
          <w:noProof/>
          <w:sz w:val="16"/>
          <w:szCs w:val="16"/>
        </w:rPr>
      </w:pPr>
    </w:p>
    <w:p w14:paraId="26C72D75" w14:textId="77777777" w:rsidR="00E035F5" w:rsidRPr="00E035F5" w:rsidRDefault="00E035F5" w:rsidP="00E035F5">
      <w:pPr>
        <w:numPr>
          <w:ilvl w:val="0"/>
          <w:numId w:val="33"/>
        </w:numPr>
        <w:spacing w:after="160" w:line="240" w:lineRule="auto"/>
        <w:ind w:left="426" w:hanging="426"/>
        <w:contextualSpacing/>
        <w:rPr>
          <w:noProof/>
        </w:rPr>
      </w:pPr>
      <w:r w:rsidRPr="00E035F5">
        <w:rPr>
          <w:b/>
          <w:noProof/>
        </w:rPr>
        <w:t>Homeless applications:</w:t>
      </w:r>
      <w:r w:rsidRPr="00E035F5">
        <w:rPr>
          <w:noProof/>
        </w:rPr>
        <w:t xml:space="preserve">  In the year to end September 2017, there were 1,693 homelessness applications to Aberdeen City Council.  This is an increase of 32% from the number of applications in the previous year.</w:t>
      </w:r>
    </w:p>
    <w:p w14:paraId="42279AC0" w14:textId="77777777" w:rsidR="00E035F5" w:rsidRPr="00E035F5" w:rsidRDefault="00E035F5" w:rsidP="00E035F5">
      <w:pPr>
        <w:spacing w:after="160"/>
        <w:ind w:left="0"/>
      </w:pPr>
    </w:p>
    <w:p w14:paraId="046888E7" w14:textId="77777777" w:rsidR="00E035F5" w:rsidRPr="00E035F5" w:rsidRDefault="00E035F5" w:rsidP="00E035F5">
      <w:pPr>
        <w:keepNext/>
        <w:keepLines/>
        <w:spacing w:after="120"/>
        <w:ind w:left="0"/>
        <w:outlineLvl w:val="0"/>
        <w:rPr>
          <w:rFonts w:asciiTheme="majorHAnsi" w:eastAsiaTheme="majorEastAsia" w:hAnsiTheme="majorHAnsi" w:cstheme="majorBidi"/>
          <w:noProof/>
          <w:color w:val="2F5496" w:themeColor="accent1" w:themeShade="BF"/>
          <w:sz w:val="32"/>
          <w:szCs w:val="32"/>
        </w:rPr>
      </w:pPr>
      <w:r w:rsidRPr="00E035F5">
        <w:rPr>
          <w:rFonts w:asciiTheme="majorHAnsi" w:eastAsiaTheme="majorEastAsia" w:hAnsiTheme="majorHAnsi" w:cstheme="majorBidi"/>
          <w:noProof/>
          <w:color w:val="2F5496" w:themeColor="accent1" w:themeShade="BF"/>
          <w:sz w:val="32"/>
          <w:szCs w:val="32"/>
        </w:rPr>
        <w:drawing>
          <wp:anchor distT="0" distB="0" distL="114300" distR="114300" simplePos="0" relativeHeight="251687936" behindDoc="1" locked="0" layoutInCell="1" allowOverlap="1" wp14:anchorId="0AF076BA" wp14:editId="4607686E">
            <wp:simplePos x="0" y="0"/>
            <wp:positionH relativeFrom="margin">
              <wp:align>right</wp:align>
            </wp:positionH>
            <wp:positionV relativeFrom="paragraph">
              <wp:posOffset>127857</wp:posOffset>
            </wp:positionV>
            <wp:extent cx="5723890" cy="690880"/>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53844"/>
                    <a:stretch/>
                  </pic:blipFill>
                  <pic:spPr bwMode="auto">
                    <a:xfrm>
                      <a:off x="0" y="0"/>
                      <a:ext cx="5723890" cy="690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58AE88" w14:textId="77777777" w:rsidR="00E035F5" w:rsidRPr="00E035F5" w:rsidRDefault="00E035F5" w:rsidP="00E035F5">
      <w:pPr>
        <w:keepNext/>
        <w:keepLines/>
        <w:spacing w:after="120"/>
        <w:ind w:left="0"/>
        <w:jc w:val="center"/>
        <w:outlineLvl w:val="0"/>
        <w:rPr>
          <w:rFonts w:asciiTheme="majorHAnsi" w:eastAsiaTheme="majorEastAsia" w:hAnsiTheme="majorHAnsi" w:cstheme="majorBidi"/>
          <w:b/>
          <w:color w:val="FFFFFF" w:themeColor="background1"/>
          <w:sz w:val="36"/>
          <w:szCs w:val="36"/>
        </w:rPr>
      </w:pPr>
      <w:r w:rsidRPr="00E035F5">
        <w:rPr>
          <w:rFonts w:asciiTheme="majorHAnsi" w:eastAsiaTheme="majorEastAsia" w:hAnsiTheme="majorHAnsi" w:cstheme="majorBidi"/>
          <w:b/>
          <w:noProof/>
          <w:color w:val="FFFFFF" w:themeColor="background1"/>
          <w:sz w:val="36"/>
          <w:szCs w:val="36"/>
        </w:rPr>
        <w:t>OUR TECHNOLOGY</w:t>
      </w:r>
    </w:p>
    <w:p w14:paraId="1A2C5C1E" w14:textId="77777777" w:rsidR="00E035F5" w:rsidRPr="00E035F5" w:rsidRDefault="00E035F5" w:rsidP="00E035F5">
      <w:pPr>
        <w:keepNext/>
        <w:keepLines/>
        <w:spacing w:after="120"/>
        <w:ind w:left="0"/>
        <w:outlineLvl w:val="0"/>
        <w:rPr>
          <w:rFonts w:asciiTheme="majorHAnsi" w:eastAsiaTheme="majorEastAsia" w:hAnsiTheme="majorHAnsi" w:cstheme="majorBidi"/>
          <w:color w:val="2F5496" w:themeColor="accent1" w:themeShade="BF"/>
          <w:sz w:val="32"/>
          <w:szCs w:val="32"/>
        </w:rPr>
      </w:pPr>
    </w:p>
    <w:p w14:paraId="32D6B408" w14:textId="77777777" w:rsidR="00E035F5" w:rsidRPr="00E035F5" w:rsidRDefault="00E035F5" w:rsidP="00E035F5">
      <w:pPr>
        <w:numPr>
          <w:ilvl w:val="0"/>
          <w:numId w:val="33"/>
        </w:numPr>
        <w:spacing w:after="160" w:line="240" w:lineRule="auto"/>
        <w:ind w:left="426" w:hanging="426"/>
        <w:contextualSpacing/>
      </w:pPr>
      <w:r w:rsidRPr="00E035F5">
        <w:rPr>
          <w:b/>
        </w:rPr>
        <w:t xml:space="preserve">Access to superfast broadband: </w:t>
      </w:r>
      <w:r w:rsidRPr="00E035F5">
        <w:t xml:space="preserve">In 2017, 90% of premises in Aberdeen City had access to Superfast Broadband – an increase of 7% from the figure in 2015 and one of the highest rates in Scotland.  Only two local authorities had a higher coverage (Clackmannanshire and East Dunbartonshire both had 91% coverage).  No premises had access to Ultrafast Broadband.  </w:t>
      </w:r>
    </w:p>
    <w:p w14:paraId="71C5552B" w14:textId="77777777" w:rsidR="00E035F5" w:rsidRPr="00E035F5" w:rsidRDefault="00E035F5" w:rsidP="00E035F5">
      <w:pPr>
        <w:spacing w:line="240" w:lineRule="auto"/>
        <w:ind w:left="426"/>
        <w:contextualSpacing/>
      </w:pPr>
    </w:p>
    <w:p w14:paraId="3A6150A7" w14:textId="77777777" w:rsidR="00E035F5" w:rsidRPr="00E035F5" w:rsidRDefault="00E035F5" w:rsidP="00E035F5">
      <w:pPr>
        <w:numPr>
          <w:ilvl w:val="0"/>
          <w:numId w:val="33"/>
        </w:numPr>
        <w:spacing w:after="160" w:line="240" w:lineRule="auto"/>
        <w:ind w:left="426" w:hanging="426"/>
        <w:contextualSpacing/>
      </w:pPr>
      <w:r w:rsidRPr="00E035F5">
        <w:rPr>
          <w:b/>
        </w:rPr>
        <w:t xml:space="preserve">Average download speed:  </w:t>
      </w:r>
      <w:r w:rsidRPr="00E035F5">
        <w:t>The average download speed in 2017 for Aberdeen City was 26.4 Mbits/s.  This is the 13</w:t>
      </w:r>
      <w:r w:rsidRPr="00E035F5">
        <w:rPr>
          <w:vertAlign w:val="superscript"/>
        </w:rPr>
        <w:t>th</w:t>
      </w:r>
      <w:r w:rsidRPr="00E035F5">
        <w:t xml:space="preserve"> lowest of all local authorities in Scotland.  (Ranges from a low of 17.6 Mbits/s in Orkney to a high of 71.2 Mbits/s in West Dunbartonshire).</w:t>
      </w:r>
      <w:r w:rsidRPr="00E035F5">
        <w:rPr>
          <w:b/>
        </w:rPr>
        <w:t xml:space="preserve">  </w:t>
      </w:r>
    </w:p>
    <w:p w14:paraId="425FDE3A" w14:textId="77777777" w:rsidR="00E035F5" w:rsidRPr="00E035F5" w:rsidRDefault="00E035F5" w:rsidP="00E035F5">
      <w:pPr>
        <w:contextualSpacing/>
        <w:rPr>
          <w:b/>
        </w:rPr>
      </w:pPr>
    </w:p>
    <w:p w14:paraId="72DD1C73" w14:textId="77777777" w:rsidR="00E035F5" w:rsidRPr="00E035F5" w:rsidRDefault="00E035F5" w:rsidP="00E035F5">
      <w:pPr>
        <w:numPr>
          <w:ilvl w:val="0"/>
          <w:numId w:val="33"/>
        </w:numPr>
        <w:spacing w:after="160" w:line="240" w:lineRule="auto"/>
        <w:ind w:left="426" w:hanging="426"/>
        <w:contextualSpacing/>
      </w:pPr>
      <w:r w:rsidRPr="00E035F5">
        <w:rPr>
          <w:b/>
        </w:rPr>
        <w:t xml:space="preserve">Access to the internet:  </w:t>
      </w:r>
      <w:r w:rsidRPr="00E035F5">
        <w:t>In 2016, 84% of households in Aberdeen City reported having access to the internet – an increase of 2% from 2014 and similar to the rate for Scotland of 82%.  The most common methods used for accessing internet for personal use were mobile phone/iPhone/smart phone (83%), laptop or PC (74%) and tablet (58%).  93% reported using a method other than laptop or PC to access the internet.   The most common reasons for using the internet were; to send and receive emails (85%), search for information (77%), buy goods or services (74%), use social media (70%) and internet banking (70%).</w:t>
      </w:r>
    </w:p>
    <w:p w14:paraId="27996FA0" w14:textId="77777777" w:rsidR="00E035F5" w:rsidRPr="00E035F5" w:rsidRDefault="00E035F5" w:rsidP="00E035F5">
      <w:pPr>
        <w:contextualSpacing/>
        <w:rPr>
          <w:b/>
        </w:rPr>
      </w:pPr>
    </w:p>
    <w:p w14:paraId="445C0CBD" w14:textId="77777777" w:rsidR="00E035F5" w:rsidRPr="00E035F5" w:rsidRDefault="00E035F5" w:rsidP="00E035F5">
      <w:pPr>
        <w:numPr>
          <w:ilvl w:val="0"/>
          <w:numId w:val="33"/>
        </w:numPr>
        <w:spacing w:after="160" w:line="240" w:lineRule="auto"/>
        <w:ind w:left="426" w:hanging="426"/>
        <w:contextualSpacing/>
      </w:pPr>
      <w:r w:rsidRPr="00E035F5">
        <w:rPr>
          <w:b/>
        </w:rPr>
        <w:t xml:space="preserve">Access to devices:  </w:t>
      </w:r>
      <w:r w:rsidRPr="00E035F5">
        <w:t>The 42</w:t>
      </w:r>
      <w:r w:rsidRPr="00E035F5">
        <w:rPr>
          <w:vertAlign w:val="superscript"/>
        </w:rPr>
        <w:t>nd</w:t>
      </w:r>
      <w:r w:rsidRPr="00E035F5">
        <w:t xml:space="preserve"> City Voice questionnaire (January 2018) included questions on the use of technology.  The respondents were initially asked “do you own or have easy access to a smartphone, tablet or laptop/PC”?  Over three-quarters (78.5%) of respondents reported that they owned or had easy access to a laptop or PC, and 71.4% said they owned or had easy access to a smart phone.  A smaller proportion (64.3%) reported owning or having easy access to a tablet.  Approximately half (50.5%) of respondents reported owning or having easy access to all three devices and 90.2% of respondents owned or had access to at least one of the devices.</w:t>
      </w:r>
    </w:p>
    <w:p w14:paraId="1A6190AB" w14:textId="77777777" w:rsidR="00E035F5" w:rsidRPr="00E035F5" w:rsidRDefault="00E035F5" w:rsidP="00E035F5">
      <w:pPr>
        <w:contextualSpacing/>
        <w:rPr>
          <w:b/>
        </w:rPr>
      </w:pPr>
    </w:p>
    <w:p w14:paraId="2BF7BA14" w14:textId="77777777" w:rsidR="00E035F5" w:rsidRPr="00E035F5" w:rsidRDefault="00E035F5" w:rsidP="00E035F5">
      <w:pPr>
        <w:numPr>
          <w:ilvl w:val="0"/>
          <w:numId w:val="33"/>
        </w:numPr>
        <w:spacing w:after="160" w:line="240" w:lineRule="auto"/>
        <w:ind w:left="426" w:hanging="426"/>
        <w:contextualSpacing/>
      </w:pPr>
      <w:r w:rsidRPr="00E035F5">
        <w:rPr>
          <w:b/>
        </w:rPr>
        <w:t xml:space="preserve">Digital skills:  </w:t>
      </w:r>
      <w:r w:rsidRPr="00E035F5">
        <w:t xml:space="preserve">Based on responses to a series of questions relating to use of digital technology for a number of different tasks, 70.6% of respondents to the City Voice were identified as </w:t>
      </w:r>
      <w:r w:rsidRPr="00E035F5">
        <w:lastRenderedPageBreak/>
        <w:t xml:space="preserve">having Basic Digital Skills.  While no significant difference in the proportion of those with Basic Digital Skills was found between males and females, there was a significant difference by age group.  The proportion of those with Basic Digital Skills was highest in those aged 35-54 years (85.8%) and lowest in those aged 65+ years (57.9%).  </w:t>
      </w:r>
    </w:p>
    <w:p w14:paraId="59AA4F74" w14:textId="77777777" w:rsidR="00E035F5" w:rsidRPr="00E035F5" w:rsidRDefault="00E035F5" w:rsidP="00E035F5">
      <w:pPr>
        <w:spacing w:after="160"/>
        <w:ind w:left="0"/>
        <w:rPr>
          <w:b/>
        </w:rPr>
      </w:pPr>
      <w:r w:rsidRPr="00E035F5">
        <w:rPr>
          <w:b/>
          <w:noProof/>
        </w:rPr>
        <w:drawing>
          <wp:anchor distT="0" distB="0" distL="114300" distR="114300" simplePos="0" relativeHeight="251684864" behindDoc="0" locked="0" layoutInCell="1" allowOverlap="1" wp14:anchorId="253E19E8" wp14:editId="5A7499DE">
            <wp:simplePos x="0" y="0"/>
            <wp:positionH relativeFrom="margin">
              <wp:posOffset>276328</wp:posOffset>
            </wp:positionH>
            <wp:positionV relativeFrom="paragraph">
              <wp:posOffset>244386</wp:posOffset>
            </wp:positionV>
            <wp:extent cx="5209540" cy="2633980"/>
            <wp:effectExtent l="0" t="0" r="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09540" cy="2633980"/>
                    </a:xfrm>
                    <a:prstGeom prst="rect">
                      <a:avLst/>
                    </a:prstGeom>
                    <a:noFill/>
                  </pic:spPr>
                </pic:pic>
              </a:graphicData>
            </a:graphic>
            <wp14:sizeRelH relativeFrom="margin">
              <wp14:pctWidth>0</wp14:pctWidth>
            </wp14:sizeRelH>
            <wp14:sizeRelV relativeFrom="margin">
              <wp14:pctHeight>0</wp14:pctHeight>
            </wp14:sizeRelV>
          </wp:anchor>
        </w:drawing>
      </w:r>
      <w:r w:rsidRPr="00E035F5">
        <w:rPr>
          <w:b/>
        </w:rPr>
        <w:t xml:space="preserve"> </w:t>
      </w:r>
    </w:p>
    <w:p w14:paraId="41E8A8B7" w14:textId="77777777" w:rsidR="00E035F5" w:rsidRDefault="00E035F5">
      <w:pPr>
        <w:sectPr w:rsidR="00E035F5" w:rsidSect="00E035F5">
          <w:pgSz w:w="11906" w:h="16838"/>
          <w:pgMar w:top="1440" w:right="1440" w:bottom="709" w:left="1440" w:header="708" w:footer="708" w:gutter="0"/>
          <w:cols w:space="708"/>
          <w:docGrid w:linePitch="360"/>
        </w:sectPr>
      </w:pPr>
    </w:p>
    <w:p w14:paraId="0E008A13" w14:textId="77777777" w:rsidR="00F35C0D" w:rsidRDefault="00F35C0D" w:rsidP="00F35C0D">
      <w:pPr>
        <w:keepNext/>
        <w:keepLines/>
        <w:spacing w:line="240" w:lineRule="auto"/>
        <w:ind w:left="0"/>
        <w:outlineLvl w:val="0"/>
        <w:rPr>
          <w:rFonts w:asciiTheme="majorHAnsi" w:eastAsiaTheme="majorEastAsia" w:hAnsiTheme="majorHAnsi" w:cstheme="majorBidi"/>
          <w:b/>
          <w:color w:val="323E4F" w:themeColor="text2" w:themeShade="BF"/>
          <w:sz w:val="40"/>
          <w:szCs w:val="40"/>
        </w:rPr>
      </w:pPr>
      <w:r>
        <w:rPr>
          <w:rFonts w:asciiTheme="majorHAnsi" w:eastAsiaTheme="majorEastAsia" w:hAnsiTheme="majorHAnsi" w:cstheme="majorBidi"/>
          <w:b/>
          <w:color w:val="323E4F" w:themeColor="text2" w:themeShade="BF"/>
          <w:sz w:val="40"/>
          <w:szCs w:val="40"/>
        </w:rPr>
        <w:lastRenderedPageBreak/>
        <w:t>Contents</w:t>
      </w:r>
    </w:p>
    <w:sdt>
      <w:sdtPr>
        <w:rPr>
          <w:rFonts w:asciiTheme="minorHAnsi" w:eastAsiaTheme="minorHAnsi" w:hAnsiTheme="minorHAnsi" w:cstheme="minorBidi"/>
          <w:color w:val="auto"/>
          <w:sz w:val="22"/>
          <w:szCs w:val="22"/>
          <w:lang w:val="en-GB"/>
        </w:rPr>
        <w:id w:val="1752244331"/>
        <w:docPartObj>
          <w:docPartGallery w:val="Table of Contents"/>
          <w:docPartUnique/>
        </w:docPartObj>
      </w:sdtPr>
      <w:sdtEndPr>
        <w:rPr>
          <w:b/>
          <w:bCs/>
          <w:noProof/>
        </w:rPr>
      </w:sdtEndPr>
      <w:sdtContent>
        <w:p w14:paraId="45BDB233" w14:textId="77777777" w:rsidR="00F35C0D" w:rsidRPr="00F35C0D" w:rsidRDefault="00F35C0D" w:rsidP="00F35C0D">
          <w:pPr>
            <w:pStyle w:val="TOCHeading"/>
            <w:rPr>
              <w:rFonts w:asciiTheme="minorHAnsi" w:eastAsiaTheme="minorHAnsi" w:hAnsiTheme="minorHAnsi" w:cstheme="minorBidi"/>
              <w:b/>
              <w:color w:val="000000" w:themeColor="text1"/>
              <w:sz w:val="22"/>
              <w:szCs w:val="22"/>
              <w:lang w:val="en-GB"/>
            </w:rPr>
          </w:pPr>
          <w:r w:rsidRPr="00F35C0D">
            <w:rPr>
              <w:rFonts w:asciiTheme="minorHAnsi" w:eastAsiaTheme="minorHAnsi" w:hAnsiTheme="minorHAnsi" w:cstheme="minorBidi"/>
              <w:b/>
              <w:color w:val="000000" w:themeColor="text1"/>
              <w:sz w:val="22"/>
              <w:szCs w:val="22"/>
              <w:lang w:val="en-GB"/>
            </w:rPr>
            <w:t>EXECUTIVE SUMMARY</w:t>
          </w:r>
        </w:p>
        <w:p w14:paraId="196A2A51" w14:textId="77777777" w:rsidR="00F35C0D" w:rsidRPr="00F35C0D" w:rsidRDefault="00F35C0D" w:rsidP="00F35C0D"/>
        <w:p w14:paraId="18E62C76" w14:textId="2AA8694D" w:rsidR="00F35C0D" w:rsidRDefault="00F35C0D" w:rsidP="00F35C0D">
          <w:pPr>
            <w:pStyle w:val="TOC1"/>
            <w:tabs>
              <w:tab w:val="left" w:pos="440"/>
              <w:tab w:val="right" w:leader="dot" w:pos="9016"/>
            </w:tabs>
            <w:rPr>
              <w:rFonts w:eastAsiaTheme="minorEastAsia"/>
              <w:noProof/>
              <w:lang w:eastAsia="en-GB"/>
            </w:rPr>
          </w:pPr>
          <w:r>
            <w:fldChar w:fldCharType="begin"/>
          </w:r>
          <w:r>
            <w:instrText xml:space="preserve"> TOC \o "1-3" \h \z \u </w:instrText>
          </w:r>
          <w:r>
            <w:fldChar w:fldCharType="separate"/>
          </w:r>
          <w:hyperlink w:anchor="_Toc519088540" w:history="1">
            <w:r w:rsidRPr="00F35C0D">
              <w:rPr>
                <w:rStyle w:val="Hyperlink"/>
                <w:b/>
                <w:noProof/>
                <w:color w:val="000000" w:themeColor="text1"/>
              </w:rPr>
              <w:t>INTRODUCTION</w:t>
            </w:r>
            <w:r>
              <w:rPr>
                <w:noProof/>
                <w:webHidden/>
              </w:rPr>
              <w:tab/>
            </w:r>
            <w:r>
              <w:rPr>
                <w:noProof/>
                <w:webHidden/>
              </w:rPr>
              <w:fldChar w:fldCharType="begin"/>
            </w:r>
            <w:r>
              <w:rPr>
                <w:noProof/>
                <w:webHidden/>
              </w:rPr>
              <w:instrText xml:space="preserve"> PAGEREF _Toc519088540 \h </w:instrText>
            </w:r>
            <w:r>
              <w:rPr>
                <w:noProof/>
                <w:webHidden/>
              </w:rPr>
            </w:r>
            <w:r>
              <w:rPr>
                <w:noProof/>
                <w:webHidden/>
              </w:rPr>
              <w:fldChar w:fldCharType="separate"/>
            </w:r>
            <w:r w:rsidR="00175103">
              <w:rPr>
                <w:noProof/>
                <w:webHidden/>
              </w:rPr>
              <w:t>6</w:t>
            </w:r>
            <w:r>
              <w:rPr>
                <w:noProof/>
                <w:webHidden/>
              </w:rPr>
              <w:fldChar w:fldCharType="end"/>
            </w:r>
          </w:hyperlink>
        </w:p>
        <w:p w14:paraId="514465D6" w14:textId="0AE36F98" w:rsidR="00F35C0D" w:rsidRDefault="00F35C0D" w:rsidP="00F35C0D">
          <w:pPr>
            <w:pStyle w:val="TOC2"/>
            <w:tabs>
              <w:tab w:val="left" w:pos="880"/>
              <w:tab w:val="right" w:leader="dot" w:pos="9016"/>
            </w:tabs>
            <w:rPr>
              <w:rFonts w:eastAsiaTheme="minorEastAsia"/>
              <w:noProof/>
              <w:lang w:eastAsia="en-GB"/>
            </w:rPr>
          </w:pPr>
          <w:hyperlink w:anchor="_Toc519088541" w:history="1">
            <w:r w:rsidRPr="00AF48AE">
              <w:rPr>
                <w:rStyle w:val="Hyperlink"/>
                <w:noProof/>
              </w:rPr>
              <w:t>1.1</w:t>
            </w:r>
            <w:r>
              <w:rPr>
                <w:rFonts w:eastAsiaTheme="minorEastAsia"/>
                <w:noProof/>
                <w:lang w:eastAsia="en-GB"/>
              </w:rPr>
              <w:tab/>
            </w:r>
            <w:r w:rsidRPr="00AF48AE">
              <w:rPr>
                <w:rStyle w:val="Hyperlink"/>
                <w:noProof/>
              </w:rPr>
              <w:t>Context</w:t>
            </w:r>
            <w:r>
              <w:rPr>
                <w:noProof/>
                <w:webHidden/>
              </w:rPr>
              <w:tab/>
            </w:r>
            <w:r>
              <w:rPr>
                <w:noProof/>
                <w:webHidden/>
              </w:rPr>
              <w:fldChar w:fldCharType="begin"/>
            </w:r>
            <w:r>
              <w:rPr>
                <w:noProof/>
                <w:webHidden/>
              </w:rPr>
              <w:instrText xml:space="preserve"> PAGEREF _Toc519088541 \h </w:instrText>
            </w:r>
            <w:r>
              <w:rPr>
                <w:noProof/>
                <w:webHidden/>
              </w:rPr>
            </w:r>
            <w:r>
              <w:rPr>
                <w:noProof/>
                <w:webHidden/>
              </w:rPr>
              <w:fldChar w:fldCharType="separate"/>
            </w:r>
            <w:r w:rsidR="00175103">
              <w:rPr>
                <w:noProof/>
                <w:webHidden/>
              </w:rPr>
              <w:t>6</w:t>
            </w:r>
            <w:r>
              <w:rPr>
                <w:noProof/>
                <w:webHidden/>
              </w:rPr>
              <w:fldChar w:fldCharType="end"/>
            </w:r>
          </w:hyperlink>
        </w:p>
        <w:p w14:paraId="48039AB5" w14:textId="002508EE" w:rsidR="00F35C0D" w:rsidRDefault="00F35C0D" w:rsidP="00F35C0D">
          <w:pPr>
            <w:pStyle w:val="TOC2"/>
            <w:tabs>
              <w:tab w:val="left" w:pos="880"/>
              <w:tab w:val="right" w:leader="dot" w:pos="9016"/>
            </w:tabs>
            <w:rPr>
              <w:rFonts w:eastAsiaTheme="minorEastAsia"/>
              <w:noProof/>
              <w:lang w:eastAsia="en-GB"/>
            </w:rPr>
          </w:pPr>
          <w:hyperlink w:anchor="_Toc519088542" w:history="1">
            <w:r w:rsidRPr="00AF48AE">
              <w:rPr>
                <w:rStyle w:val="Hyperlink"/>
                <w:noProof/>
              </w:rPr>
              <w:t>1.2</w:t>
            </w:r>
            <w:r>
              <w:rPr>
                <w:rFonts w:eastAsiaTheme="minorEastAsia"/>
                <w:noProof/>
                <w:lang w:eastAsia="en-GB"/>
              </w:rPr>
              <w:tab/>
            </w:r>
            <w:r w:rsidRPr="00AF48AE">
              <w:rPr>
                <w:rStyle w:val="Hyperlink"/>
                <w:noProof/>
              </w:rPr>
              <w:t>What is a Population Needs Assessment?</w:t>
            </w:r>
            <w:r>
              <w:rPr>
                <w:noProof/>
                <w:webHidden/>
              </w:rPr>
              <w:tab/>
            </w:r>
            <w:r>
              <w:rPr>
                <w:noProof/>
                <w:webHidden/>
              </w:rPr>
              <w:fldChar w:fldCharType="begin"/>
            </w:r>
            <w:r>
              <w:rPr>
                <w:noProof/>
                <w:webHidden/>
              </w:rPr>
              <w:instrText xml:space="preserve"> PAGEREF _Toc519088542 \h </w:instrText>
            </w:r>
            <w:r>
              <w:rPr>
                <w:noProof/>
                <w:webHidden/>
              </w:rPr>
            </w:r>
            <w:r>
              <w:rPr>
                <w:noProof/>
                <w:webHidden/>
              </w:rPr>
              <w:fldChar w:fldCharType="separate"/>
            </w:r>
            <w:r w:rsidR="00175103">
              <w:rPr>
                <w:noProof/>
                <w:webHidden/>
              </w:rPr>
              <w:t>6</w:t>
            </w:r>
            <w:r>
              <w:rPr>
                <w:noProof/>
                <w:webHidden/>
              </w:rPr>
              <w:fldChar w:fldCharType="end"/>
            </w:r>
          </w:hyperlink>
        </w:p>
        <w:p w14:paraId="4D52F509" w14:textId="133BB481" w:rsidR="00F35C0D" w:rsidRDefault="00F35C0D" w:rsidP="00F35C0D">
          <w:pPr>
            <w:pStyle w:val="TOC2"/>
            <w:tabs>
              <w:tab w:val="left" w:pos="880"/>
              <w:tab w:val="right" w:leader="dot" w:pos="9016"/>
            </w:tabs>
            <w:rPr>
              <w:rFonts w:eastAsiaTheme="minorEastAsia"/>
              <w:noProof/>
              <w:lang w:eastAsia="en-GB"/>
            </w:rPr>
          </w:pPr>
          <w:hyperlink w:anchor="_Toc519088543" w:history="1">
            <w:r w:rsidRPr="00AF48AE">
              <w:rPr>
                <w:rStyle w:val="Hyperlink"/>
                <w:noProof/>
              </w:rPr>
              <w:t>1.3</w:t>
            </w:r>
            <w:r>
              <w:rPr>
                <w:rFonts w:eastAsiaTheme="minorEastAsia"/>
                <w:noProof/>
                <w:lang w:eastAsia="en-GB"/>
              </w:rPr>
              <w:tab/>
            </w:r>
            <w:r w:rsidRPr="00AF48AE">
              <w:rPr>
                <w:rStyle w:val="Hyperlink"/>
                <w:noProof/>
              </w:rPr>
              <w:t>Data used and limitations</w:t>
            </w:r>
            <w:r>
              <w:rPr>
                <w:noProof/>
                <w:webHidden/>
              </w:rPr>
              <w:tab/>
            </w:r>
            <w:r>
              <w:rPr>
                <w:noProof/>
                <w:webHidden/>
              </w:rPr>
              <w:fldChar w:fldCharType="begin"/>
            </w:r>
            <w:r>
              <w:rPr>
                <w:noProof/>
                <w:webHidden/>
              </w:rPr>
              <w:instrText xml:space="preserve"> PAGEREF _Toc519088543 \h </w:instrText>
            </w:r>
            <w:r>
              <w:rPr>
                <w:noProof/>
                <w:webHidden/>
              </w:rPr>
            </w:r>
            <w:r>
              <w:rPr>
                <w:noProof/>
                <w:webHidden/>
              </w:rPr>
              <w:fldChar w:fldCharType="separate"/>
            </w:r>
            <w:r w:rsidR="00175103">
              <w:rPr>
                <w:noProof/>
                <w:webHidden/>
              </w:rPr>
              <w:t>6</w:t>
            </w:r>
            <w:r>
              <w:rPr>
                <w:noProof/>
                <w:webHidden/>
              </w:rPr>
              <w:fldChar w:fldCharType="end"/>
            </w:r>
          </w:hyperlink>
        </w:p>
        <w:p w14:paraId="028F2799" w14:textId="338576B0" w:rsidR="00F35C0D" w:rsidRDefault="00F35C0D" w:rsidP="00F35C0D">
          <w:pPr>
            <w:pStyle w:val="TOC2"/>
            <w:tabs>
              <w:tab w:val="left" w:pos="880"/>
              <w:tab w:val="right" w:leader="dot" w:pos="9016"/>
            </w:tabs>
            <w:rPr>
              <w:rFonts w:eastAsiaTheme="minorEastAsia"/>
              <w:noProof/>
              <w:lang w:eastAsia="en-GB"/>
            </w:rPr>
          </w:pPr>
          <w:hyperlink w:anchor="_Toc519088544" w:history="1">
            <w:r w:rsidRPr="00AF48AE">
              <w:rPr>
                <w:rStyle w:val="Hyperlink"/>
                <w:noProof/>
              </w:rPr>
              <w:t>1.4</w:t>
            </w:r>
            <w:r>
              <w:rPr>
                <w:rFonts w:eastAsiaTheme="minorEastAsia"/>
                <w:noProof/>
                <w:lang w:eastAsia="en-GB"/>
              </w:rPr>
              <w:tab/>
            </w:r>
            <w:r w:rsidRPr="00AF48AE">
              <w:rPr>
                <w:rStyle w:val="Hyperlink"/>
                <w:noProof/>
              </w:rPr>
              <w:t>Consultation – Place Standard and Aberdeen City Voice</w:t>
            </w:r>
            <w:r>
              <w:rPr>
                <w:noProof/>
                <w:webHidden/>
              </w:rPr>
              <w:tab/>
            </w:r>
            <w:r>
              <w:rPr>
                <w:noProof/>
                <w:webHidden/>
              </w:rPr>
              <w:fldChar w:fldCharType="begin"/>
            </w:r>
            <w:r>
              <w:rPr>
                <w:noProof/>
                <w:webHidden/>
              </w:rPr>
              <w:instrText xml:space="preserve"> PAGEREF _Toc519088544 \h </w:instrText>
            </w:r>
            <w:r>
              <w:rPr>
                <w:noProof/>
                <w:webHidden/>
              </w:rPr>
            </w:r>
            <w:r>
              <w:rPr>
                <w:noProof/>
                <w:webHidden/>
              </w:rPr>
              <w:fldChar w:fldCharType="separate"/>
            </w:r>
            <w:r w:rsidR="00175103">
              <w:rPr>
                <w:noProof/>
                <w:webHidden/>
              </w:rPr>
              <w:t>6</w:t>
            </w:r>
            <w:r>
              <w:rPr>
                <w:noProof/>
                <w:webHidden/>
              </w:rPr>
              <w:fldChar w:fldCharType="end"/>
            </w:r>
          </w:hyperlink>
        </w:p>
        <w:p w14:paraId="48EEDD71" w14:textId="50550423" w:rsidR="00F35C0D" w:rsidRDefault="00F35C0D" w:rsidP="00F35C0D">
          <w:pPr>
            <w:pStyle w:val="TOC2"/>
            <w:tabs>
              <w:tab w:val="left" w:pos="880"/>
              <w:tab w:val="right" w:leader="dot" w:pos="9016"/>
            </w:tabs>
            <w:rPr>
              <w:noProof/>
            </w:rPr>
          </w:pPr>
          <w:hyperlink w:anchor="_Toc519088545" w:history="1">
            <w:r w:rsidRPr="00AF48AE">
              <w:rPr>
                <w:rStyle w:val="Hyperlink"/>
                <w:noProof/>
              </w:rPr>
              <w:t>1.5</w:t>
            </w:r>
            <w:r>
              <w:rPr>
                <w:rFonts w:eastAsiaTheme="minorEastAsia"/>
                <w:noProof/>
                <w:lang w:eastAsia="en-GB"/>
              </w:rPr>
              <w:tab/>
            </w:r>
            <w:r w:rsidRPr="00AF48AE">
              <w:rPr>
                <w:rStyle w:val="Hyperlink"/>
                <w:noProof/>
              </w:rPr>
              <w:t>Layout</w:t>
            </w:r>
            <w:r>
              <w:rPr>
                <w:noProof/>
                <w:webHidden/>
              </w:rPr>
              <w:tab/>
            </w:r>
            <w:r>
              <w:rPr>
                <w:noProof/>
                <w:webHidden/>
              </w:rPr>
              <w:fldChar w:fldCharType="begin"/>
            </w:r>
            <w:r>
              <w:rPr>
                <w:noProof/>
                <w:webHidden/>
              </w:rPr>
              <w:instrText xml:space="preserve"> PAGEREF _Toc519088545 \h </w:instrText>
            </w:r>
            <w:r>
              <w:rPr>
                <w:noProof/>
                <w:webHidden/>
              </w:rPr>
            </w:r>
            <w:r>
              <w:rPr>
                <w:noProof/>
                <w:webHidden/>
              </w:rPr>
              <w:fldChar w:fldCharType="separate"/>
            </w:r>
            <w:r w:rsidR="00175103">
              <w:rPr>
                <w:noProof/>
                <w:webHidden/>
              </w:rPr>
              <w:t>6</w:t>
            </w:r>
            <w:r>
              <w:rPr>
                <w:noProof/>
                <w:webHidden/>
              </w:rPr>
              <w:fldChar w:fldCharType="end"/>
            </w:r>
          </w:hyperlink>
        </w:p>
        <w:p w14:paraId="0EB20F20" w14:textId="77777777" w:rsidR="00F35C0D" w:rsidRDefault="00F35C0D" w:rsidP="00F35C0D">
          <w:pPr>
            <w:ind w:left="0"/>
            <w:rPr>
              <w:b/>
              <w:noProof/>
              <w:color w:val="CC0066"/>
            </w:rPr>
          </w:pPr>
        </w:p>
        <w:p w14:paraId="5FFAE549" w14:textId="77777777" w:rsidR="00F35C0D" w:rsidRPr="00AF77BB" w:rsidRDefault="00F35C0D" w:rsidP="00F35C0D">
          <w:pPr>
            <w:ind w:hanging="720"/>
            <w:rPr>
              <w:b/>
              <w:noProof/>
              <w:color w:val="CC0066"/>
              <w:sz w:val="28"/>
              <w:szCs w:val="28"/>
            </w:rPr>
          </w:pPr>
          <w:r w:rsidRPr="00AF77BB">
            <w:rPr>
              <w:b/>
              <w:noProof/>
              <w:color w:val="CC0066"/>
              <w:sz w:val="28"/>
              <w:szCs w:val="28"/>
            </w:rPr>
            <w:t>OUR PEOPLE</w:t>
          </w:r>
        </w:p>
        <w:p w14:paraId="373B173C" w14:textId="77777777" w:rsidR="00F35C0D" w:rsidRPr="00BF3C8F" w:rsidRDefault="00F35C0D" w:rsidP="00F35C0D">
          <w:pPr>
            <w:rPr>
              <w:noProof/>
            </w:rPr>
          </w:pPr>
        </w:p>
        <w:p w14:paraId="70F719FB" w14:textId="749CA260" w:rsidR="00F35C0D" w:rsidRDefault="00F35C0D" w:rsidP="00F35C0D">
          <w:pPr>
            <w:pStyle w:val="TOC1"/>
            <w:tabs>
              <w:tab w:val="left" w:pos="440"/>
              <w:tab w:val="right" w:leader="dot" w:pos="9016"/>
            </w:tabs>
            <w:rPr>
              <w:rFonts w:eastAsiaTheme="minorEastAsia"/>
              <w:noProof/>
              <w:lang w:eastAsia="en-GB"/>
            </w:rPr>
          </w:pPr>
          <w:hyperlink w:anchor="_Toc519088546" w:history="1">
            <w:r w:rsidRPr="00AF48AE">
              <w:rPr>
                <w:rStyle w:val="Hyperlink"/>
                <w:noProof/>
              </w:rPr>
              <w:t>2.</w:t>
            </w:r>
            <w:r>
              <w:rPr>
                <w:rFonts w:eastAsiaTheme="minorEastAsia"/>
                <w:noProof/>
                <w:lang w:eastAsia="en-GB"/>
              </w:rPr>
              <w:tab/>
            </w:r>
            <w:r w:rsidRPr="00F35C0D">
              <w:rPr>
                <w:rStyle w:val="Hyperlink"/>
                <w:b/>
                <w:noProof/>
                <w:color w:val="CC0066"/>
              </w:rPr>
              <w:t>Demography</w:t>
            </w:r>
            <w:r>
              <w:rPr>
                <w:noProof/>
                <w:webHidden/>
              </w:rPr>
              <w:tab/>
            </w:r>
            <w:r>
              <w:rPr>
                <w:noProof/>
                <w:webHidden/>
              </w:rPr>
              <w:fldChar w:fldCharType="begin"/>
            </w:r>
            <w:r>
              <w:rPr>
                <w:noProof/>
                <w:webHidden/>
              </w:rPr>
              <w:instrText xml:space="preserve"> PAGEREF _Toc519088546 \h </w:instrText>
            </w:r>
            <w:r>
              <w:rPr>
                <w:noProof/>
                <w:webHidden/>
              </w:rPr>
            </w:r>
            <w:r>
              <w:rPr>
                <w:noProof/>
                <w:webHidden/>
              </w:rPr>
              <w:fldChar w:fldCharType="separate"/>
            </w:r>
            <w:r w:rsidR="00175103">
              <w:rPr>
                <w:noProof/>
                <w:webHidden/>
              </w:rPr>
              <w:t>7</w:t>
            </w:r>
            <w:r>
              <w:rPr>
                <w:noProof/>
                <w:webHidden/>
              </w:rPr>
              <w:fldChar w:fldCharType="end"/>
            </w:r>
          </w:hyperlink>
        </w:p>
        <w:p w14:paraId="52ACB36F" w14:textId="114AA80E" w:rsidR="00F35C0D" w:rsidRDefault="00F35C0D" w:rsidP="00F35C0D">
          <w:pPr>
            <w:pStyle w:val="TOC2"/>
            <w:tabs>
              <w:tab w:val="left" w:pos="880"/>
              <w:tab w:val="right" w:leader="dot" w:pos="9016"/>
            </w:tabs>
            <w:rPr>
              <w:rFonts w:eastAsiaTheme="minorEastAsia"/>
              <w:noProof/>
              <w:lang w:eastAsia="en-GB"/>
            </w:rPr>
          </w:pPr>
          <w:hyperlink w:anchor="_Toc519088547" w:history="1">
            <w:r w:rsidRPr="00AF48AE">
              <w:rPr>
                <w:rStyle w:val="Hyperlink"/>
                <w:noProof/>
              </w:rPr>
              <w:t>2.1</w:t>
            </w:r>
            <w:r>
              <w:rPr>
                <w:rFonts w:eastAsiaTheme="minorEastAsia"/>
                <w:noProof/>
                <w:lang w:eastAsia="en-GB"/>
              </w:rPr>
              <w:tab/>
            </w:r>
            <w:r w:rsidRPr="00AF48AE">
              <w:rPr>
                <w:rStyle w:val="Hyperlink"/>
                <w:noProof/>
              </w:rPr>
              <w:t>Population</w:t>
            </w:r>
            <w:r>
              <w:rPr>
                <w:noProof/>
                <w:webHidden/>
              </w:rPr>
              <w:tab/>
            </w:r>
            <w:r>
              <w:rPr>
                <w:noProof/>
                <w:webHidden/>
              </w:rPr>
              <w:fldChar w:fldCharType="begin"/>
            </w:r>
            <w:r>
              <w:rPr>
                <w:noProof/>
                <w:webHidden/>
              </w:rPr>
              <w:instrText xml:space="preserve"> PAGEREF _Toc519088547 \h </w:instrText>
            </w:r>
            <w:r>
              <w:rPr>
                <w:noProof/>
                <w:webHidden/>
              </w:rPr>
            </w:r>
            <w:r>
              <w:rPr>
                <w:noProof/>
                <w:webHidden/>
              </w:rPr>
              <w:fldChar w:fldCharType="separate"/>
            </w:r>
            <w:r w:rsidR="00175103">
              <w:rPr>
                <w:noProof/>
                <w:webHidden/>
              </w:rPr>
              <w:t>7</w:t>
            </w:r>
            <w:r>
              <w:rPr>
                <w:noProof/>
                <w:webHidden/>
              </w:rPr>
              <w:fldChar w:fldCharType="end"/>
            </w:r>
          </w:hyperlink>
        </w:p>
        <w:p w14:paraId="466C8FE7" w14:textId="2DCEEEB3" w:rsidR="00F35C0D" w:rsidRDefault="00F35C0D" w:rsidP="00F35C0D">
          <w:pPr>
            <w:pStyle w:val="TOC2"/>
            <w:tabs>
              <w:tab w:val="left" w:pos="1100"/>
              <w:tab w:val="right" w:leader="dot" w:pos="9016"/>
            </w:tabs>
            <w:rPr>
              <w:rFonts w:eastAsiaTheme="minorEastAsia"/>
              <w:noProof/>
              <w:lang w:eastAsia="en-GB"/>
            </w:rPr>
          </w:pPr>
          <w:hyperlink w:anchor="_Toc519088548" w:history="1">
            <w:r w:rsidRPr="00AF48AE">
              <w:rPr>
                <w:rStyle w:val="Hyperlink"/>
                <w:noProof/>
              </w:rPr>
              <w:t>2.1.1</w:t>
            </w:r>
            <w:r>
              <w:rPr>
                <w:rFonts w:eastAsiaTheme="minorEastAsia"/>
                <w:noProof/>
                <w:lang w:eastAsia="en-GB"/>
              </w:rPr>
              <w:tab/>
            </w:r>
            <w:r w:rsidRPr="00AF48AE">
              <w:rPr>
                <w:rStyle w:val="Hyperlink"/>
                <w:noProof/>
              </w:rPr>
              <w:t>Population by neighbourhood</w:t>
            </w:r>
            <w:r>
              <w:rPr>
                <w:noProof/>
                <w:webHidden/>
              </w:rPr>
              <w:tab/>
            </w:r>
            <w:r>
              <w:rPr>
                <w:noProof/>
                <w:webHidden/>
              </w:rPr>
              <w:fldChar w:fldCharType="begin"/>
            </w:r>
            <w:r>
              <w:rPr>
                <w:noProof/>
                <w:webHidden/>
              </w:rPr>
              <w:instrText xml:space="preserve"> PAGEREF _Toc519088548 \h </w:instrText>
            </w:r>
            <w:r>
              <w:rPr>
                <w:noProof/>
                <w:webHidden/>
              </w:rPr>
            </w:r>
            <w:r>
              <w:rPr>
                <w:noProof/>
                <w:webHidden/>
              </w:rPr>
              <w:fldChar w:fldCharType="separate"/>
            </w:r>
            <w:r w:rsidR="00175103">
              <w:rPr>
                <w:noProof/>
                <w:webHidden/>
              </w:rPr>
              <w:t>7</w:t>
            </w:r>
            <w:r>
              <w:rPr>
                <w:noProof/>
                <w:webHidden/>
              </w:rPr>
              <w:fldChar w:fldCharType="end"/>
            </w:r>
          </w:hyperlink>
        </w:p>
        <w:p w14:paraId="4DD95DF2" w14:textId="276BDD12" w:rsidR="00F35C0D" w:rsidRDefault="00F35C0D" w:rsidP="00F35C0D">
          <w:pPr>
            <w:pStyle w:val="TOC2"/>
            <w:tabs>
              <w:tab w:val="left" w:pos="880"/>
              <w:tab w:val="right" w:leader="dot" w:pos="9016"/>
            </w:tabs>
            <w:rPr>
              <w:rFonts w:eastAsiaTheme="minorEastAsia"/>
              <w:noProof/>
              <w:lang w:eastAsia="en-GB"/>
            </w:rPr>
          </w:pPr>
          <w:hyperlink w:anchor="_Toc519088549" w:history="1">
            <w:r w:rsidRPr="00AF48AE">
              <w:rPr>
                <w:rStyle w:val="Hyperlink"/>
                <w:noProof/>
              </w:rPr>
              <w:t>2.2</w:t>
            </w:r>
            <w:r>
              <w:rPr>
                <w:rFonts w:eastAsiaTheme="minorEastAsia"/>
                <w:noProof/>
                <w:lang w:eastAsia="en-GB"/>
              </w:rPr>
              <w:tab/>
            </w:r>
            <w:r w:rsidRPr="00AF48AE">
              <w:rPr>
                <w:rStyle w:val="Hyperlink"/>
                <w:noProof/>
              </w:rPr>
              <w:t>Age and sex structure</w:t>
            </w:r>
            <w:r>
              <w:rPr>
                <w:noProof/>
                <w:webHidden/>
              </w:rPr>
              <w:tab/>
            </w:r>
            <w:r>
              <w:rPr>
                <w:noProof/>
                <w:webHidden/>
              </w:rPr>
              <w:fldChar w:fldCharType="begin"/>
            </w:r>
            <w:r>
              <w:rPr>
                <w:noProof/>
                <w:webHidden/>
              </w:rPr>
              <w:instrText xml:space="preserve"> PAGEREF _Toc519088549 \h </w:instrText>
            </w:r>
            <w:r>
              <w:rPr>
                <w:noProof/>
                <w:webHidden/>
              </w:rPr>
            </w:r>
            <w:r>
              <w:rPr>
                <w:noProof/>
                <w:webHidden/>
              </w:rPr>
              <w:fldChar w:fldCharType="separate"/>
            </w:r>
            <w:r w:rsidR="00175103">
              <w:rPr>
                <w:noProof/>
                <w:webHidden/>
              </w:rPr>
              <w:t>7</w:t>
            </w:r>
            <w:r>
              <w:rPr>
                <w:noProof/>
                <w:webHidden/>
              </w:rPr>
              <w:fldChar w:fldCharType="end"/>
            </w:r>
          </w:hyperlink>
        </w:p>
        <w:p w14:paraId="26F5DC44" w14:textId="3288F3C8" w:rsidR="00F35C0D" w:rsidRDefault="00F35C0D" w:rsidP="00F35C0D">
          <w:pPr>
            <w:pStyle w:val="TOC2"/>
            <w:tabs>
              <w:tab w:val="left" w:pos="1100"/>
              <w:tab w:val="right" w:leader="dot" w:pos="9016"/>
            </w:tabs>
            <w:rPr>
              <w:rFonts w:eastAsiaTheme="minorEastAsia"/>
              <w:noProof/>
              <w:lang w:eastAsia="en-GB"/>
            </w:rPr>
          </w:pPr>
          <w:hyperlink w:anchor="_Toc519088550" w:history="1">
            <w:r w:rsidRPr="00AF48AE">
              <w:rPr>
                <w:rStyle w:val="Hyperlink"/>
                <w:rFonts w:eastAsia="Calibri" w:cs="Times New Roman"/>
                <w:noProof/>
              </w:rPr>
              <w:t>2.2.1</w:t>
            </w:r>
            <w:r>
              <w:rPr>
                <w:rFonts w:eastAsiaTheme="minorEastAsia"/>
                <w:noProof/>
                <w:lang w:eastAsia="en-GB"/>
              </w:rPr>
              <w:tab/>
            </w:r>
            <w:r w:rsidRPr="00AF48AE">
              <w:rPr>
                <w:rStyle w:val="Hyperlink"/>
                <w:rFonts w:eastAsia="Calibri" w:cs="Times New Roman"/>
                <w:noProof/>
              </w:rPr>
              <w:t>Age structure by neighbourhood</w:t>
            </w:r>
            <w:r>
              <w:rPr>
                <w:noProof/>
                <w:webHidden/>
              </w:rPr>
              <w:tab/>
            </w:r>
            <w:r>
              <w:rPr>
                <w:noProof/>
                <w:webHidden/>
              </w:rPr>
              <w:fldChar w:fldCharType="begin"/>
            </w:r>
            <w:r>
              <w:rPr>
                <w:noProof/>
                <w:webHidden/>
              </w:rPr>
              <w:instrText xml:space="preserve"> PAGEREF _Toc519088550 \h </w:instrText>
            </w:r>
            <w:r>
              <w:rPr>
                <w:noProof/>
                <w:webHidden/>
              </w:rPr>
            </w:r>
            <w:r>
              <w:rPr>
                <w:noProof/>
                <w:webHidden/>
              </w:rPr>
              <w:fldChar w:fldCharType="separate"/>
            </w:r>
            <w:r w:rsidR="00175103">
              <w:rPr>
                <w:noProof/>
                <w:webHidden/>
              </w:rPr>
              <w:t>9</w:t>
            </w:r>
            <w:r>
              <w:rPr>
                <w:noProof/>
                <w:webHidden/>
              </w:rPr>
              <w:fldChar w:fldCharType="end"/>
            </w:r>
          </w:hyperlink>
        </w:p>
        <w:p w14:paraId="410FDDE4" w14:textId="675296A4" w:rsidR="00F35C0D" w:rsidRDefault="00F35C0D" w:rsidP="00F35C0D">
          <w:pPr>
            <w:pStyle w:val="TOC2"/>
            <w:tabs>
              <w:tab w:val="left" w:pos="880"/>
              <w:tab w:val="right" w:leader="dot" w:pos="9016"/>
            </w:tabs>
            <w:rPr>
              <w:rFonts w:eastAsiaTheme="minorEastAsia"/>
              <w:noProof/>
              <w:lang w:eastAsia="en-GB"/>
            </w:rPr>
          </w:pPr>
          <w:hyperlink w:anchor="_Toc519088551" w:history="1">
            <w:r w:rsidRPr="00AF48AE">
              <w:rPr>
                <w:rStyle w:val="Hyperlink"/>
                <w:noProof/>
              </w:rPr>
              <w:t>2.3</w:t>
            </w:r>
            <w:r>
              <w:rPr>
                <w:rFonts w:eastAsiaTheme="minorEastAsia"/>
                <w:noProof/>
                <w:lang w:eastAsia="en-GB"/>
              </w:rPr>
              <w:tab/>
            </w:r>
            <w:r w:rsidRPr="00AF48AE">
              <w:rPr>
                <w:rStyle w:val="Hyperlink"/>
                <w:noProof/>
              </w:rPr>
              <w:t>Ethnic composition</w:t>
            </w:r>
            <w:r>
              <w:rPr>
                <w:noProof/>
                <w:webHidden/>
              </w:rPr>
              <w:tab/>
            </w:r>
            <w:r>
              <w:rPr>
                <w:noProof/>
                <w:webHidden/>
              </w:rPr>
              <w:fldChar w:fldCharType="begin"/>
            </w:r>
            <w:r>
              <w:rPr>
                <w:noProof/>
                <w:webHidden/>
              </w:rPr>
              <w:instrText xml:space="preserve"> PAGEREF _Toc519088551 \h </w:instrText>
            </w:r>
            <w:r>
              <w:rPr>
                <w:noProof/>
                <w:webHidden/>
              </w:rPr>
            </w:r>
            <w:r>
              <w:rPr>
                <w:noProof/>
                <w:webHidden/>
              </w:rPr>
              <w:fldChar w:fldCharType="separate"/>
            </w:r>
            <w:r w:rsidR="00175103">
              <w:rPr>
                <w:noProof/>
                <w:webHidden/>
              </w:rPr>
              <w:t>9</w:t>
            </w:r>
            <w:r>
              <w:rPr>
                <w:noProof/>
                <w:webHidden/>
              </w:rPr>
              <w:fldChar w:fldCharType="end"/>
            </w:r>
          </w:hyperlink>
        </w:p>
        <w:p w14:paraId="18C04EB8" w14:textId="08E674A2" w:rsidR="00F35C0D" w:rsidRDefault="00F35C0D" w:rsidP="00F35C0D">
          <w:pPr>
            <w:pStyle w:val="TOC2"/>
            <w:tabs>
              <w:tab w:val="left" w:pos="880"/>
              <w:tab w:val="right" w:leader="dot" w:pos="9016"/>
            </w:tabs>
            <w:rPr>
              <w:rFonts w:eastAsiaTheme="minorEastAsia"/>
              <w:noProof/>
              <w:lang w:eastAsia="en-GB"/>
            </w:rPr>
          </w:pPr>
          <w:hyperlink w:anchor="_Toc519088552" w:history="1">
            <w:r w:rsidRPr="00AF48AE">
              <w:rPr>
                <w:rStyle w:val="Hyperlink"/>
                <w:noProof/>
              </w:rPr>
              <w:t>2.4</w:t>
            </w:r>
            <w:r>
              <w:rPr>
                <w:rFonts w:eastAsiaTheme="minorEastAsia"/>
                <w:noProof/>
                <w:lang w:eastAsia="en-GB"/>
              </w:rPr>
              <w:tab/>
            </w:r>
            <w:r w:rsidRPr="00AF48AE">
              <w:rPr>
                <w:rStyle w:val="Hyperlink"/>
                <w:noProof/>
              </w:rPr>
              <w:t>Population change</w:t>
            </w:r>
            <w:r>
              <w:rPr>
                <w:noProof/>
                <w:webHidden/>
              </w:rPr>
              <w:tab/>
            </w:r>
            <w:r>
              <w:rPr>
                <w:noProof/>
                <w:webHidden/>
              </w:rPr>
              <w:fldChar w:fldCharType="begin"/>
            </w:r>
            <w:r>
              <w:rPr>
                <w:noProof/>
                <w:webHidden/>
              </w:rPr>
              <w:instrText xml:space="preserve"> PAGEREF _Toc519088552 \h </w:instrText>
            </w:r>
            <w:r>
              <w:rPr>
                <w:noProof/>
                <w:webHidden/>
              </w:rPr>
            </w:r>
            <w:r>
              <w:rPr>
                <w:noProof/>
                <w:webHidden/>
              </w:rPr>
              <w:fldChar w:fldCharType="separate"/>
            </w:r>
            <w:r w:rsidR="00175103">
              <w:rPr>
                <w:noProof/>
                <w:webHidden/>
              </w:rPr>
              <w:t>10</w:t>
            </w:r>
            <w:r>
              <w:rPr>
                <w:noProof/>
                <w:webHidden/>
              </w:rPr>
              <w:fldChar w:fldCharType="end"/>
            </w:r>
          </w:hyperlink>
        </w:p>
        <w:p w14:paraId="2498A8FC" w14:textId="20AF5466" w:rsidR="00F35C0D" w:rsidRDefault="00F35C0D" w:rsidP="00F35C0D">
          <w:pPr>
            <w:pStyle w:val="TOC2"/>
            <w:tabs>
              <w:tab w:val="left" w:pos="1100"/>
              <w:tab w:val="right" w:leader="dot" w:pos="9016"/>
            </w:tabs>
            <w:rPr>
              <w:rFonts w:eastAsiaTheme="minorEastAsia"/>
              <w:noProof/>
              <w:lang w:eastAsia="en-GB"/>
            </w:rPr>
          </w:pPr>
          <w:hyperlink w:anchor="_Toc519088553" w:history="1">
            <w:r w:rsidRPr="00AF48AE">
              <w:rPr>
                <w:rStyle w:val="Hyperlink"/>
                <w:noProof/>
              </w:rPr>
              <w:t>2.4.1</w:t>
            </w:r>
            <w:r>
              <w:rPr>
                <w:rFonts w:eastAsiaTheme="minorEastAsia"/>
                <w:noProof/>
                <w:lang w:eastAsia="en-GB"/>
              </w:rPr>
              <w:tab/>
            </w:r>
            <w:r w:rsidRPr="00AF48AE">
              <w:rPr>
                <w:rStyle w:val="Hyperlink"/>
                <w:noProof/>
              </w:rPr>
              <w:t>Population change by age group</w:t>
            </w:r>
            <w:r>
              <w:rPr>
                <w:noProof/>
                <w:webHidden/>
              </w:rPr>
              <w:tab/>
            </w:r>
            <w:r>
              <w:rPr>
                <w:noProof/>
                <w:webHidden/>
              </w:rPr>
              <w:fldChar w:fldCharType="begin"/>
            </w:r>
            <w:r>
              <w:rPr>
                <w:noProof/>
                <w:webHidden/>
              </w:rPr>
              <w:instrText xml:space="preserve"> PAGEREF _Toc519088553 \h </w:instrText>
            </w:r>
            <w:r>
              <w:rPr>
                <w:noProof/>
                <w:webHidden/>
              </w:rPr>
            </w:r>
            <w:r>
              <w:rPr>
                <w:noProof/>
                <w:webHidden/>
              </w:rPr>
              <w:fldChar w:fldCharType="separate"/>
            </w:r>
            <w:r w:rsidR="00175103">
              <w:rPr>
                <w:noProof/>
                <w:webHidden/>
              </w:rPr>
              <w:t>10</w:t>
            </w:r>
            <w:r>
              <w:rPr>
                <w:noProof/>
                <w:webHidden/>
              </w:rPr>
              <w:fldChar w:fldCharType="end"/>
            </w:r>
          </w:hyperlink>
        </w:p>
        <w:p w14:paraId="0F97919C" w14:textId="63356982" w:rsidR="00F35C0D" w:rsidRDefault="00F35C0D" w:rsidP="00F35C0D">
          <w:pPr>
            <w:pStyle w:val="TOC2"/>
            <w:tabs>
              <w:tab w:val="left" w:pos="880"/>
              <w:tab w:val="right" w:leader="dot" w:pos="9016"/>
            </w:tabs>
            <w:rPr>
              <w:rFonts w:eastAsiaTheme="minorEastAsia"/>
              <w:noProof/>
              <w:lang w:eastAsia="en-GB"/>
            </w:rPr>
          </w:pPr>
          <w:hyperlink w:anchor="_Toc519088554" w:history="1">
            <w:r w:rsidRPr="00AF48AE">
              <w:rPr>
                <w:rStyle w:val="Hyperlink"/>
                <w:noProof/>
              </w:rPr>
              <w:t>2.5</w:t>
            </w:r>
            <w:r>
              <w:rPr>
                <w:rFonts w:eastAsiaTheme="minorEastAsia"/>
                <w:noProof/>
                <w:lang w:eastAsia="en-GB"/>
              </w:rPr>
              <w:tab/>
            </w:r>
            <w:r w:rsidRPr="00AF48AE">
              <w:rPr>
                <w:rStyle w:val="Hyperlink"/>
                <w:noProof/>
              </w:rPr>
              <w:t>Components of population change</w:t>
            </w:r>
            <w:r>
              <w:rPr>
                <w:noProof/>
                <w:webHidden/>
              </w:rPr>
              <w:tab/>
            </w:r>
            <w:r>
              <w:rPr>
                <w:noProof/>
                <w:webHidden/>
              </w:rPr>
              <w:fldChar w:fldCharType="begin"/>
            </w:r>
            <w:r>
              <w:rPr>
                <w:noProof/>
                <w:webHidden/>
              </w:rPr>
              <w:instrText xml:space="preserve"> PAGEREF _Toc519088554 \h </w:instrText>
            </w:r>
            <w:r>
              <w:rPr>
                <w:noProof/>
                <w:webHidden/>
              </w:rPr>
            </w:r>
            <w:r>
              <w:rPr>
                <w:noProof/>
                <w:webHidden/>
              </w:rPr>
              <w:fldChar w:fldCharType="separate"/>
            </w:r>
            <w:r w:rsidR="00175103">
              <w:rPr>
                <w:noProof/>
                <w:webHidden/>
              </w:rPr>
              <w:t>11</w:t>
            </w:r>
            <w:r>
              <w:rPr>
                <w:noProof/>
                <w:webHidden/>
              </w:rPr>
              <w:fldChar w:fldCharType="end"/>
            </w:r>
          </w:hyperlink>
        </w:p>
        <w:p w14:paraId="44B9BAC7" w14:textId="6D1A38B9" w:rsidR="00F35C0D" w:rsidRDefault="00F35C0D" w:rsidP="00F35C0D">
          <w:pPr>
            <w:pStyle w:val="TOC2"/>
            <w:tabs>
              <w:tab w:val="left" w:pos="880"/>
              <w:tab w:val="right" w:leader="dot" w:pos="9016"/>
            </w:tabs>
            <w:rPr>
              <w:rFonts w:eastAsiaTheme="minorEastAsia"/>
              <w:noProof/>
              <w:lang w:eastAsia="en-GB"/>
            </w:rPr>
          </w:pPr>
          <w:hyperlink w:anchor="_Toc519088555" w:history="1">
            <w:r w:rsidRPr="00AF48AE">
              <w:rPr>
                <w:rStyle w:val="Hyperlink"/>
                <w:noProof/>
              </w:rPr>
              <w:t>2.6</w:t>
            </w:r>
            <w:r>
              <w:rPr>
                <w:rFonts w:eastAsiaTheme="minorEastAsia"/>
                <w:noProof/>
                <w:lang w:eastAsia="en-GB"/>
              </w:rPr>
              <w:tab/>
            </w:r>
            <w:r w:rsidRPr="00AF48AE">
              <w:rPr>
                <w:rStyle w:val="Hyperlink"/>
                <w:noProof/>
              </w:rPr>
              <w:t>Population projections</w:t>
            </w:r>
            <w:r>
              <w:rPr>
                <w:noProof/>
                <w:webHidden/>
              </w:rPr>
              <w:tab/>
            </w:r>
            <w:r>
              <w:rPr>
                <w:noProof/>
                <w:webHidden/>
              </w:rPr>
              <w:fldChar w:fldCharType="begin"/>
            </w:r>
            <w:r>
              <w:rPr>
                <w:noProof/>
                <w:webHidden/>
              </w:rPr>
              <w:instrText xml:space="preserve"> PAGEREF _Toc519088555 \h </w:instrText>
            </w:r>
            <w:r>
              <w:rPr>
                <w:noProof/>
                <w:webHidden/>
              </w:rPr>
            </w:r>
            <w:r>
              <w:rPr>
                <w:noProof/>
                <w:webHidden/>
              </w:rPr>
              <w:fldChar w:fldCharType="separate"/>
            </w:r>
            <w:r w:rsidR="00175103">
              <w:rPr>
                <w:noProof/>
                <w:webHidden/>
              </w:rPr>
              <w:t>13</w:t>
            </w:r>
            <w:r>
              <w:rPr>
                <w:noProof/>
                <w:webHidden/>
              </w:rPr>
              <w:fldChar w:fldCharType="end"/>
            </w:r>
          </w:hyperlink>
        </w:p>
        <w:p w14:paraId="243F4B79" w14:textId="4F2C7369" w:rsidR="00F35C0D" w:rsidRDefault="00F35C0D" w:rsidP="00F35C0D">
          <w:pPr>
            <w:pStyle w:val="TOC2"/>
            <w:tabs>
              <w:tab w:val="left" w:pos="880"/>
              <w:tab w:val="right" w:leader="dot" w:pos="9016"/>
            </w:tabs>
            <w:rPr>
              <w:rFonts w:eastAsiaTheme="minorEastAsia"/>
              <w:noProof/>
              <w:lang w:eastAsia="en-GB"/>
            </w:rPr>
          </w:pPr>
          <w:hyperlink w:anchor="_Toc519088556" w:history="1">
            <w:r w:rsidRPr="00AF48AE">
              <w:rPr>
                <w:rStyle w:val="Hyperlink"/>
                <w:noProof/>
              </w:rPr>
              <w:t>2.7</w:t>
            </w:r>
            <w:r>
              <w:rPr>
                <w:rFonts w:eastAsiaTheme="minorEastAsia"/>
                <w:noProof/>
                <w:lang w:eastAsia="en-GB"/>
              </w:rPr>
              <w:tab/>
            </w:r>
            <w:r w:rsidRPr="00AF48AE">
              <w:rPr>
                <w:rStyle w:val="Hyperlink"/>
                <w:noProof/>
              </w:rPr>
              <w:t>Population dependency ratio</w:t>
            </w:r>
            <w:r>
              <w:rPr>
                <w:noProof/>
                <w:webHidden/>
              </w:rPr>
              <w:tab/>
            </w:r>
            <w:r>
              <w:rPr>
                <w:noProof/>
                <w:webHidden/>
              </w:rPr>
              <w:fldChar w:fldCharType="begin"/>
            </w:r>
            <w:r>
              <w:rPr>
                <w:noProof/>
                <w:webHidden/>
              </w:rPr>
              <w:instrText xml:space="preserve"> PAGEREF _Toc519088556 \h </w:instrText>
            </w:r>
            <w:r>
              <w:rPr>
                <w:noProof/>
                <w:webHidden/>
              </w:rPr>
            </w:r>
            <w:r>
              <w:rPr>
                <w:noProof/>
                <w:webHidden/>
              </w:rPr>
              <w:fldChar w:fldCharType="separate"/>
            </w:r>
            <w:r w:rsidR="00175103">
              <w:rPr>
                <w:noProof/>
                <w:webHidden/>
              </w:rPr>
              <w:t>14</w:t>
            </w:r>
            <w:r>
              <w:rPr>
                <w:noProof/>
                <w:webHidden/>
              </w:rPr>
              <w:fldChar w:fldCharType="end"/>
            </w:r>
          </w:hyperlink>
        </w:p>
        <w:p w14:paraId="2B3F1901" w14:textId="7883381B" w:rsidR="00F35C0D" w:rsidRDefault="00F35C0D" w:rsidP="00F35C0D">
          <w:pPr>
            <w:pStyle w:val="TOC2"/>
            <w:tabs>
              <w:tab w:val="left" w:pos="880"/>
              <w:tab w:val="right" w:leader="dot" w:pos="9016"/>
            </w:tabs>
            <w:rPr>
              <w:rFonts w:eastAsiaTheme="minorEastAsia"/>
              <w:noProof/>
              <w:lang w:eastAsia="en-GB"/>
            </w:rPr>
          </w:pPr>
          <w:hyperlink w:anchor="_Toc519088557" w:history="1">
            <w:r w:rsidRPr="00AF48AE">
              <w:rPr>
                <w:rStyle w:val="Hyperlink"/>
                <w:noProof/>
              </w:rPr>
              <w:t>2.8</w:t>
            </w:r>
            <w:r>
              <w:rPr>
                <w:rFonts w:eastAsiaTheme="minorEastAsia"/>
                <w:noProof/>
                <w:lang w:eastAsia="en-GB"/>
              </w:rPr>
              <w:tab/>
            </w:r>
            <w:r w:rsidRPr="00AF48AE">
              <w:rPr>
                <w:rStyle w:val="Hyperlink"/>
                <w:noProof/>
              </w:rPr>
              <w:t>Births</w:t>
            </w:r>
            <w:r>
              <w:rPr>
                <w:noProof/>
                <w:webHidden/>
              </w:rPr>
              <w:tab/>
            </w:r>
            <w:r>
              <w:rPr>
                <w:noProof/>
                <w:webHidden/>
              </w:rPr>
              <w:fldChar w:fldCharType="begin"/>
            </w:r>
            <w:r>
              <w:rPr>
                <w:noProof/>
                <w:webHidden/>
              </w:rPr>
              <w:instrText xml:space="preserve"> PAGEREF _Toc519088557 \h </w:instrText>
            </w:r>
            <w:r>
              <w:rPr>
                <w:noProof/>
                <w:webHidden/>
              </w:rPr>
            </w:r>
            <w:r>
              <w:rPr>
                <w:noProof/>
                <w:webHidden/>
              </w:rPr>
              <w:fldChar w:fldCharType="separate"/>
            </w:r>
            <w:r w:rsidR="00175103">
              <w:rPr>
                <w:noProof/>
                <w:webHidden/>
              </w:rPr>
              <w:t>15</w:t>
            </w:r>
            <w:r>
              <w:rPr>
                <w:noProof/>
                <w:webHidden/>
              </w:rPr>
              <w:fldChar w:fldCharType="end"/>
            </w:r>
          </w:hyperlink>
        </w:p>
        <w:p w14:paraId="2EAF101C" w14:textId="3F6B5894" w:rsidR="00F35C0D" w:rsidRDefault="00F35C0D" w:rsidP="00F35C0D">
          <w:pPr>
            <w:pStyle w:val="TOC2"/>
            <w:tabs>
              <w:tab w:val="left" w:pos="880"/>
              <w:tab w:val="right" w:leader="dot" w:pos="9016"/>
            </w:tabs>
            <w:rPr>
              <w:rFonts w:eastAsiaTheme="minorEastAsia"/>
              <w:noProof/>
              <w:lang w:eastAsia="en-GB"/>
            </w:rPr>
          </w:pPr>
          <w:hyperlink w:anchor="_Toc519088558" w:history="1">
            <w:r w:rsidRPr="00AF48AE">
              <w:rPr>
                <w:rStyle w:val="Hyperlink"/>
                <w:noProof/>
              </w:rPr>
              <w:t>2.9</w:t>
            </w:r>
            <w:r>
              <w:rPr>
                <w:rFonts w:eastAsiaTheme="minorEastAsia"/>
                <w:noProof/>
                <w:lang w:eastAsia="en-GB"/>
              </w:rPr>
              <w:tab/>
            </w:r>
            <w:r w:rsidRPr="00AF48AE">
              <w:rPr>
                <w:rStyle w:val="Hyperlink"/>
                <w:noProof/>
              </w:rPr>
              <w:t>Deaths</w:t>
            </w:r>
            <w:r>
              <w:rPr>
                <w:noProof/>
                <w:webHidden/>
              </w:rPr>
              <w:tab/>
            </w:r>
            <w:r>
              <w:rPr>
                <w:noProof/>
                <w:webHidden/>
              </w:rPr>
              <w:fldChar w:fldCharType="begin"/>
            </w:r>
            <w:r>
              <w:rPr>
                <w:noProof/>
                <w:webHidden/>
              </w:rPr>
              <w:instrText xml:space="preserve"> PAGEREF _Toc519088558 \h </w:instrText>
            </w:r>
            <w:r>
              <w:rPr>
                <w:noProof/>
                <w:webHidden/>
              </w:rPr>
            </w:r>
            <w:r>
              <w:rPr>
                <w:noProof/>
                <w:webHidden/>
              </w:rPr>
              <w:fldChar w:fldCharType="separate"/>
            </w:r>
            <w:r w:rsidR="00175103">
              <w:rPr>
                <w:noProof/>
                <w:webHidden/>
              </w:rPr>
              <w:t>16</w:t>
            </w:r>
            <w:r>
              <w:rPr>
                <w:noProof/>
                <w:webHidden/>
              </w:rPr>
              <w:fldChar w:fldCharType="end"/>
            </w:r>
          </w:hyperlink>
        </w:p>
        <w:p w14:paraId="0D09C65C" w14:textId="5CE591F4" w:rsidR="00F35C0D" w:rsidRDefault="00F35C0D" w:rsidP="00F35C0D">
          <w:pPr>
            <w:pStyle w:val="TOC2"/>
            <w:tabs>
              <w:tab w:val="left" w:pos="880"/>
              <w:tab w:val="right" w:leader="dot" w:pos="9016"/>
            </w:tabs>
            <w:rPr>
              <w:rFonts w:eastAsiaTheme="minorEastAsia"/>
              <w:noProof/>
              <w:lang w:eastAsia="en-GB"/>
            </w:rPr>
          </w:pPr>
          <w:hyperlink w:anchor="_Toc519088559" w:history="1">
            <w:r w:rsidRPr="00AF48AE">
              <w:rPr>
                <w:rStyle w:val="Hyperlink"/>
                <w:noProof/>
              </w:rPr>
              <w:t>2.10</w:t>
            </w:r>
            <w:r>
              <w:rPr>
                <w:rFonts w:eastAsiaTheme="minorEastAsia"/>
                <w:noProof/>
                <w:lang w:eastAsia="en-GB"/>
              </w:rPr>
              <w:tab/>
            </w:r>
            <w:r w:rsidRPr="00AF48AE">
              <w:rPr>
                <w:rStyle w:val="Hyperlink"/>
                <w:noProof/>
              </w:rPr>
              <w:t>Life expectancy</w:t>
            </w:r>
            <w:r>
              <w:rPr>
                <w:noProof/>
                <w:webHidden/>
              </w:rPr>
              <w:tab/>
            </w:r>
            <w:r>
              <w:rPr>
                <w:noProof/>
                <w:webHidden/>
              </w:rPr>
              <w:fldChar w:fldCharType="begin"/>
            </w:r>
            <w:r>
              <w:rPr>
                <w:noProof/>
                <w:webHidden/>
              </w:rPr>
              <w:instrText xml:space="preserve"> PAGEREF _Toc519088559 \h </w:instrText>
            </w:r>
            <w:r>
              <w:rPr>
                <w:noProof/>
                <w:webHidden/>
              </w:rPr>
            </w:r>
            <w:r>
              <w:rPr>
                <w:noProof/>
                <w:webHidden/>
              </w:rPr>
              <w:fldChar w:fldCharType="separate"/>
            </w:r>
            <w:r w:rsidR="00175103">
              <w:rPr>
                <w:noProof/>
                <w:webHidden/>
              </w:rPr>
              <w:t>18</w:t>
            </w:r>
            <w:r>
              <w:rPr>
                <w:noProof/>
                <w:webHidden/>
              </w:rPr>
              <w:fldChar w:fldCharType="end"/>
            </w:r>
          </w:hyperlink>
        </w:p>
        <w:p w14:paraId="4B0B7623" w14:textId="6FBE1CF6" w:rsidR="00F35C0D" w:rsidRDefault="00F35C0D" w:rsidP="00F35C0D">
          <w:pPr>
            <w:pStyle w:val="TOC2"/>
            <w:tabs>
              <w:tab w:val="left" w:pos="1100"/>
              <w:tab w:val="right" w:leader="dot" w:pos="9016"/>
            </w:tabs>
            <w:rPr>
              <w:rFonts w:eastAsiaTheme="minorEastAsia"/>
              <w:noProof/>
              <w:lang w:eastAsia="en-GB"/>
            </w:rPr>
          </w:pPr>
          <w:hyperlink w:anchor="_Toc519088560" w:history="1">
            <w:r w:rsidRPr="00AF48AE">
              <w:rPr>
                <w:rStyle w:val="Hyperlink"/>
                <w:noProof/>
              </w:rPr>
              <w:t>2.10.1</w:t>
            </w:r>
            <w:r>
              <w:rPr>
                <w:rFonts w:eastAsiaTheme="minorEastAsia"/>
                <w:noProof/>
                <w:lang w:eastAsia="en-GB"/>
              </w:rPr>
              <w:tab/>
            </w:r>
            <w:r w:rsidRPr="00AF48AE">
              <w:rPr>
                <w:rStyle w:val="Hyperlink"/>
                <w:noProof/>
              </w:rPr>
              <w:t>Healthy Life Expectancy:</w:t>
            </w:r>
            <w:r>
              <w:rPr>
                <w:noProof/>
                <w:webHidden/>
              </w:rPr>
              <w:tab/>
            </w:r>
            <w:r>
              <w:rPr>
                <w:noProof/>
                <w:webHidden/>
              </w:rPr>
              <w:fldChar w:fldCharType="begin"/>
            </w:r>
            <w:r>
              <w:rPr>
                <w:noProof/>
                <w:webHidden/>
              </w:rPr>
              <w:instrText xml:space="preserve"> PAGEREF _Toc519088560 \h </w:instrText>
            </w:r>
            <w:r>
              <w:rPr>
                <w:noProof/>
                <w:webHidden/>
              </w:rPr>
            </w:r>
            <w:r>
              <w:rPr>
                <w:noProof/>
                <w:webHidden/>
              </w:rPr>
              <w:fldChar w:fldCharType="separate"/>
            </w:r>
            <w:r w:rsidR="00175103">
              <w:rPr>
                <w:noProof/>
                <w:webHidden/>
              </w:rPr>
              <w:t>20</w:t>
            </w:r>
            <w:r>
              <w:rPr>
                <w:noProof/>
                <w:webHidden/>
              </w:rPr>
              <w:fldChar w:fldCharType="end"/>
            </w:r>
          </w:hyperlink>
        </w:p>
        <w:p w14:paraId="11BFF7D5" w14:textId="5C884899" w:rsidR="00F35C0D" w:rsidRDefault="00F35C0D" w:rsidP="00F35C0D">
          <w:pPr>
            <w:pStyle w:val="TOC2"/>
            <w:tabs>
              <w:tab w:val="left" w:pos="880"/>
              <w:tab w:val="right" w:leader="dot" w:pos="9016"/>
            </w:tabs>
            <w:rPr>
              <w:rFonts w:eastAsiaTheme="minorEastAsia"/>
              <w:noProof/>
              <w:lang w:eastAsia="en-GB"/>
            </w:rPr>
          </w:pPr>
          <w:hyperlink w:anchor="_Toc519088561" w:history="1">
            <w:r w:rsidRPr="00AF48AE">
              <w:rPr>
                <w:rStyle w:val="Hyperlink"/>
                <w:noProof/>
              </w:rPr>
              <w:t>2.11</w:t>
            </w:r>
            <w:r>
              <w:rPr>
                <w:rFonts w:eastAsiaTheme="minorEastAsia"/>
                <w:noProof/>
                <w:lang w:eastAsia="en-GB"/>
              </w:rPr>
              <w:tab/>
            </w:r>
            <w:r w:rsidRPr="00AF48AE">
              <w:rPr>
                <w:rStyle w:val="Hyperlink"/>
                <w:noProof/>
              </w:rPr>
              <w:t>Households</w:t>
            </w:r>
            <w:r>
              <w:rPr>
                <w:noProof/>
                <w:webHidden/>
              </w:rPr>
              <w:tab/>
            </w:r>
            <w:r>
              <w:rPr>
                <w:noProof/>
                <w:webHidden/>
              </w:rPr>
              <w:fldChar w:fldCharType="begin"/>
            </w:r>
            <w:r>
              <w:rPr>
                <w:noProof/>
                <w:webHidden/>
              </w:rPr>
              <w:instrText xml:space="preserve"> PAGEREF _Toc519088561 \h </w:instrText>
            </w:r>
            <w:r>
              <w:rPr>
                <w:noProof/>
                <w:webHidden/>
              </w:rPr>
            </w:r>
            <w:r>
              <w:rPr>
                <w:noProof/>
                <w:webHidden/>
              </w:rPr>
              <w:fldChar w:fldCharType="separate"/>
            </w:r>
            <w:r w:rsidR="00175103">
              <w:rPr>
                <w:noProof/>
                <w:webHidden/>
              </w:rPr>
              <w:t>21</w:t>
            </w:r>
            <w:r>
              <w:rPr>
                <w:noProof/>
                <w:webHidden/>
              </w:rPr>
              <w:fldChar w:fldCharType="end"/>
            </w:r>
          </w:hyperlink>
        </w:p>
        <w:p w14:paraId="0C935510" w14:textId="43980ADA" w:rsidR="00F35C0D" w:rsidRDefault="00F35C0D" w:rsidP="00F35C0D">
          <w:pPr>
            <w:pStyle w:val="TOC2"/>
            <w:tabs>
              <w:tab w:val="left" w:pos="1100"/>
              <w:tab w:val="right" w:leader="dot" w:pos="9016"/>
            </w:tabs>
            <w:rPr>
              <w:rFonts w:eastAsiaTheme="minorEastAsia"/>
              <w:noProof/>
              <w:lang w:eastAsia="en-GB"/>
            </w:rPr>
          </w:pPr>
          <w:hyperlink w:anchor="_Toc519088562" w:history="1">
            <w:r w:rsidRPr="00AF48AE">
              <w:rPr>
                <w:rStyle w:val="Hyperlink"/>
                <w:noProof/>
              </w:rPr>
              <w:t>2.11.1</w:t>
            </w:r>
            <w:r>
              <w:rPr>
                <w:rFonts w:eastAsiaTheme="minorEastAsia"/>
                <w:noProof/>
                <w:lang w:eastAsia="en-GB"/>
              </w:rPr>
              <w:tab/>
            </w:r>
            <w:r w:rsidRPr="00AF48AE">
              <w:rPr>
                <w:rStyle w:val="Hyperlink"/>
                <w:noProof/>
              </w:rPr>
              <w:t>Household size</w:t>
            </w:r>
            <w:r>
              <w:rPr>
                <w:noProof/>
                <w:webHidden/>
              </w:rPr>
              <w:tab/>
            </w:r>
            <w:r>
              <w:rPr>
                <w:noProof/>
                <w:webHidden/>
              </w:rPr>
              <w:fldChar w:fldCharType="begin"/>
            </w:r>
            <w:r>
              <w:rPr>
                <w:noProof/>
                <w:webHidden/>
              </w:rPr>
              <w:instrText xml:space="preserve"> PAGEREF _Toc519088562 \h </w:instrText>
            </w:r>
            <w:r>
              <w:rPr>
                <w:noProof/>
                <w:webHidden/>
              </w:rPr>
            </w:r>
            <w:r>
              <w:rPr>
                <w:noProof/>
                <w:webHidden/>
              </w:rPr>
              <w:fldChar w:fldCharType="separate"/>
            </w:r>
            <w:r w:rsidR="00175103">
              <w:rPr>
                <w:noProof/>
                <w:webHidden/>
              </w:rPr>
              <w:t>21</w:t>
            </w:r>
            <w:r>
              <w:rPr>
                <w:noProof/>
                <w:webHidden/>
              </w:rPr>
              <w:fldChar w:fldCharType="end"/>
            </w:r>
          </w:hyperlink>
        </w:p>
        <w:p w14:paraId="0B330083" w14:textId="06C936E8" w:rsidR="00F35C0D" w:rsidRDefault="00F35C0D" w:rsidP="00F35C0D">
          <w:pPr>
            <w:pStyle w:val="TOC2"/>
            <w:tabs>
              <w:tab w:val="left" w:pos="1100"/>
              <w:tab w:val="right" w:leader="dot" w:pos="9016"/>
            </w:tabs>
            <w:rPr>
              <w:rFonts w:eastAsiaTheme="minorEastAsia"/>
              <w:noProof/>
              <w:lang w:eastAsia="en-GB"/>
            </w:rPr>
          </w:pPr>
          <w:hyperlink w:anchor="_Toc519088563" w:history="1">
            <w:r w:rsidRPr="00AF48AE">
              <w:rPr>
                <w:rStyle w:val="Hyperlink"/>
                <w:noProof/>
              </w:rPr>
              <w:t>2.11.2</w:t>
            </w:r>
            <w:r>
              <w:rPr>
                <w:rFonts w:eastAsiaTheme="minorEastAsia"/>
                <w:noProof/>
                <w:lang w:eastAsia="en-GB"/>
              </w:rPr>
              <w:tab/>
            </w:r>
            <w:r w:rsidRPr="00AF48AE">
              <w:rPr>
                <w:rStyle w:val="Hyperlink"/>
                <w:noProof/>
              </w:rPr>
              <w:t>Household projections</w:t>
            </w:r>
            <w:r>
              <w:rPr>
                <w:noProof/>
                <w:webHidden/>
              </w:rPr>
              <w:tab/>
            </w:r>
            <w:r>
              <w:rPr>
                <w:noProof/>
                <w:webHidden/>
              </w:rPr>
              <w:fldChar w:fldCharType="begin"/>
            </w:r>
            <w:r>
              <w:rPr>
                <w:noProof/>
                <w:webHidden/>
              </w:rPr>
              <w:instrText xml:space="preserve"> PAGEREF _Toc519088563 \h </w:instrText>
            </w:r>
            <w:r>
              <w:rPr>
                <w:noProof/>
                <w:webHidden/>
              </w:rPr>
            </w:r>
            <w:r>
              <w:rPr>
                <w:noProof/>
                <w:webHidden/>
              </w:rPr>
              <w:fldChar w:fldCharType="separate"/>
            </w:r>
            <w:r w:rsidR="00175103">
              <w:rPr>
                <w:noProof/>
                <w:webHidden/>
              </w:rPr>
              <w:t>21</w:t>
            </w:r>
            <w:r>
              <w:rPr>
                <w:noProof/>
                <w:webHidden/>
              </w:rPr>
              <w:fldChar w:fldCharType="end"/>
            </w:r>
          </w:hyperlink>
        </w:p>
        <w:p w14:paraId="3EA74FD2" w14:textId="331C3771" w:rsidR="00F35C0D" w:rsidRDefault="00F35C0D" w:rsidP="00F35C0D">
          <w:pPr>
            <w:pStyle w:val="TOC2"/>
            <w:tabs>
              <w:tab w:val="left" w:pos="1100"/>
              <w:tab w:val="right" w:leader="dot" w:pos="9016"/>
            </w:tabs>
            <w:rPr>
              <w:rFonts w:eastAsiaTheme="minorEastAsia"/>
              <w:noProof/>
              <w:lang w:eastAsia="en-GB"/>
            </w:rPr>
          </w:pPr>
          <w:hyperlink w:anchor="_Toc519088564" w:history="1">
            <w:r w:rsidRPr="00AF48AE">
              <w:rPr>
                <w:rStyle w:val="Hyperlink"/>
                <w:noProof/>
              </w:rPr>
              <w:t>2.11.3</w:t>
            </w:r>
            <w:r>
              <w:rPr>
                <w:rFonts w:eastAsiaTheme="minorEastAsia"/>
                <w:noProof/>
                <w:lang w:eastAsia="en-GB"/>
              </w:rPr>
              <w:tab/>
            </w:r>
            <w:r w:rsidRPr="00AF48AE">
              <w:rPr>
                <w:rStyle w:val="Hyperlink"/>
                <w:noProof/>
              </w:rPr>
              <w:t>Household projections by age group of Household Reference Person</w:t>
            </w:r>
            <w:r>
              <w:rPr>
                <w:noProof/>
                <w:webHidden/>
              </w:rPr>
              <w:tab/>
            </w:r>
            <w:r>
              <w:rPr>
                <w:noProof/>
                <w:webHidden/>
              </w:rPr>
              <w:fldChar w:fldCharType="begin"/>
            </w:r>
            <w:r>
              <w:rPr>
                <w:noProof/>
                <w:webHidden/>
              </w:rPr>
              <w:instrText xml:space="preserve"> PAGEREF _Toc519088564 \h </w:instrText>
            </w:r>
            <w:r>
              <w:rPr>
                <w:noProof/>
                <w:webHidden/>
              </w:rPr>
            </w:r>
            <w:r>
              <w:rPr>
                <w:noProof/>
                <w:webHidden/>
              </w:rPr>
              <w:fldChar w:fldCharType="separate"/>
            </w:r>
            <w:r w:rsidR="00175103">
              <w:rPr>
                <w:noProof/>
                <w:webHidden/>
              </w:rPr>
              <w:t>22</w:t>
            </w:r>
            <w:r>
              <w:rPr>
                <w:noProof/>
                <w:webHidden/>
              </w:rPr>
              <w:fldChar w:fldCharType="end"/>
            </w:r>
          </w:hyperlink>
        </w:p>
        <w:p w14:paraId="33AE07E7" w14:textId="5D286DE2" w:rsidR="00F35C0D" w:rsidRDefault="00F35C0D" w:rsidP="00F35C0D">
          <w:pPr>
            <w:pStyle w:val="TOC1"/>
            <w:tabs>
              <w:tab w:val="left" w:pos="440"/>
              <w:tab w:val="right" w:leader="dot" w:pos="9016"/>
            </w:tabs>
            <w:rPr>
              <w:rFonts w:eastAsiaTheme="minorEastAsia"/>
              <w:noProof/>
              <w:lang w:eastAsia="en-GB"/>
            </w:rPr>
          </w:pPr>
          <w:hyperlink w:anchor="_Toc519088565" w:history="1">
            <w:r w:rsidRPr="00AF48AE">
              <w:rPr>
                <w:rStyle w:val="Hyperlink"/>
                <w:noProof/>
              </w:rPr>
              <w:t>3.</w:t>
            </w:r>
            <w:r>
              <w:rPr>
                <w:rFonts w:eastAsiaTheme="minorEastAsia"/>
                <w:noProof/>
                <w:lang w:eastAsia="en-GB"/>
              </w:rPr>
              <w:tab/>
            </w:r>
            <w:r w:rsidRPr="00F35C0D">
              <w:rPr>
                <w:rStyle w:val="Hyperlink"/>
                <w:b/>
                <w:noProof/>
                <w:color w:val="CC0066"/>
              </w:rPr>
              <w:t>Children</w:t>
            </w:r>
            <w:r>
              <w:rPr>
                <w:noProof/>
                <w:webHidden/>
              </w:rPr>
              <w:tab/>
            </w:r>
            <w:r>
              <w:rPr>
                <w:noProof/>
                <w:webHidden/>
              </w:rPr>
              <w:fldChar w:fldCharType="begin"/>
            </w:r>
            <w:r>
              <w:rPr>
                <w:noProof/>
                <w:webHidden/>
              </w:rPr>
              <w:instrText xml:space="preserve"> PAGEREF _Toc519088565 \h </w:instrText>
            </w:r>
            <w:r>
              <w:rPr>
                <w:noProof/>
                <w:webHidden/>
              </w:rPr>
            </w:r>
            <w:r>
              <w:rPr>
                <w:noProof/>
                <w:webHidden/>
              </w:rPr>
              <w:fldChar w:fldCharType="separate"/>
            </w:r>
            <w:r w:rsidR="00175103">
              <w:rPr>
                <w:noProof/>
                <w:webHidden/>
              </w:rPr>
              <w:t>23</w:t>
            </w:r>
            <w:r>
              <w:rPr>
                <w:noProof/>
                <w:webHidden/>
              </w:rPr>
              <w:fldChar w:fldCharType="end"/>
            </w:r>
          </w:hyperlink>
        </w:p>
        <w:p w14:paraId="3671EFE0" w14:textId="39FA45B1" w:rsidR="00F35C0D" w:rsidRDefault="00F35C0D" w:rsidP="00F35C0D">
          <w:pPr>
            <w:pStyle w:val="TOC2"/>
            <w:tabs>
              <w:tab w:val="left" w:pos="880"/>
              <w:tab w:val="right" w:leader="dot" w:pos="9016"/>
            </w:tabs>
            <w:rPr>
              <w:rFonts w:eastAsiaTheme="minorEastAsia"/>
              <w:noProof/>
              <w:lang w:eastAsia="en-GB"/>
            </w:rPr>
          </w:pPr>
          <w:hyperlink w:anchor="_Toc519088566" w:history="1">
            <w:r w:rsidRPr="00AF48AE">
              <w:rPr>
                <w:rStyle w:val="Hyperlink"/>
                <w:noProof/>
              </w:rPr>
              <w:t>3.1</w:t>
            </w:r>
            <w:r>
              <w:rPr>
                <w:rFonts w:eastAsiaTheme="minorEastAsia"/>
                <w:noProof/>
                <w:lang w:eastAsia="en-GB"/>
              </w:rPr>
              <w:tab/>
            </w:r>
            <w:r w:rsidRPr="00AF48AE">
              <w:rPr>
                <w:rStyle w:val="Hyperlink"/>
                <w:noProof/>
              </w:rPr>
              <w:t>Overview – number of children by smaller age groups.</w:t>
            </w:r>
            <w:r>
              <w:rPr>
                <w:noProof/>
                <w:webHidden/>
              </w:rPr>
              <w:tab/>
            </w:r>
            <w:r>
              <w:rPr>
                <w:noProof/>
                <w:webHidden/>
              </w:rPr>
              <w:fldChar w:fldCharType="begin"/>
            </w:r>
            <w:r>
              <w:rPr>
                <w:noProof/>
                <w:webHidden/>
              </w:rPr>
              <w:instrText xml:space="preserve"> PAGEREF _Toc519088566 \h </w:instrText>
            </w:r>
            <w:r>
              <w:rPr>
                <w:noProof/>
                <w:webHidden/>
              </w:rPr>
            </w:r>
            <w:r>
              <w:rPr>
                <w:noProof/>
                <w:webHidden/>
              </w:rPr>
              <w:fldChar w:fldCharType="separate"/>
            </w:r>
            <w:r w:rsidR="00175103">
              <w:rPr>
                <w:noProof/>
                <w:webHidden/>
              </w:rPr>
              <w:t>23</w:t>
            </w:r>
            <w:r>
              <w:rPr>
                <w:noProof/>
                <w:webHidden/>
              </w:rPr>
              <w:fldChar w:fldCharType="end"/>
            </w:r>
          </w:hyperlink>
        </w:p>
        <w:p w14:paraId="4C0C3EBD" w14:textId="12626E2C" w:rsidR="00F35C0D" w:rsidRDefault="00F35C0D" w:rsidP="00F35C0D">
          <w:pPr>
            <w:pStyle w:val="TOC2"/>
            <w:tabs>
              <w:tab w:val="left" w:pos="880"/>
              <w:tab w:val="right" w:leader="dot" w:pos="9016"/>
            </w:tabs>
            <w:rPr>
              <w:rFonts w:eastAsiaTheme="minorEastAsia"/>
              <w:noProof/>
              <w:lang w:eastAsia="en-GB"/>
            </w:rPr>
          </w:pPr>
          <w:hyperlink w:anchor="_Toc519088567" w:history="1">
            <w:r w:rsidRPr="00AF48AE">
              <w:rPr>
                <w:rStyle w:val="Hyperlink"/>
                <w:noProof/>
              </w:rPr>
              <w:t>3.2</w:t>
            </w:r>
            <w:r>
              <w:rPr>
                <w:rFonts w:eastAsiaTheme="minorEastAsia"/>
                <w:noProof/>
                <w:lang w:eastAsia="en-GB"/>
              </w:rPr>
              <w:tab/>
            </w:r>
            <w:r w:rsidRPr="00AF48AE">
              <w:rPr>
                <w:rStyle w:val="Hyperlink"/>
                <w:noProof/>
              </w:rPr>
              <w:t>Looked after children</w:t>
            </w:r>
            <w:r>
              <w:rPr>
                <w:noProof/>
                <w:webHidden/>
              </w:rPr>
              <w:tab/>
            </w:r>
            <w:r>
              <w:rPr>
                <w:noProof/>
                <w:webHidden/>
              </w:rPr>
              <w:fldChar w:fldCharType="begin"/>
            </w:r>
            <w:r>
              <w:rPr>
                <w:noProof/>
                <w:webHidden/>
              </w:rPr>
              <w:instrText xml:space="preserve"> PAGEREF _Toc519088567 \h </w:instrText>
            </w:r>
            <w:r>
              <w:rPr>
                <w:noProof/>
                <w:webHidden/>
              </w:rPr>
            </w:r>
            <w:r>
              <w:rPr>
                <w:noProof/>
                <w:webHidden/>
              </w:rPr>
              <w:fldChar w:fldCharType="separate"/>
            </w:r>
            <w:r w:rsidR="00175103">
              <w:rPr>
                <w:noProof/>
                <w:webHidden/>
              </w:rPr>
              <w:t>24</w:t>
            </w:r>
            <w:r>
              <w:rPr>
                <w:noProof/>
                <w:webHidden/>
              </w:rPr>
              <w:fldChar w:fldCharType="end"/>
            </w:r>
          </w:hyperlink>
        </w:p>
        <w:p w14:paraId="0CCFB4C0" w14:textId="7C08CECB" w:rsidR="00F35C0D" w:rsidRDefault="00F35C0D" w:rsidP="00F35C0D">
          <w:pPr>
            <w:pStyle w:val="TOC2"/>
            <w:tabs>
              <w:tab w:val="left" w:pos="1100"/>
              <w:tab w:val="right" w:leader="dot" w:pos="9016"/>
            </w:tabs>
            <w:rPr>
              <w:rFonts w:eastAsiaTheme="minorEastAsia"/>
              <w:noProof/>
              <w:lang w:eastAsia="en-GB"/>
            </w:rPr>
          </w:pPr>
          <w:hyperlink w:anchor="_Toc519088568" w:history="1">
            <w:r w:rsidRPr="00AF48AE">
              <w:rPr>
                <w:rStyle w:val="Hyperlink"/>
                <w:noProof/>
              </w:rPr>
              <w:t>3.2.1</w:t>
            </w:r>
            <w:r>
              <w:rPr>
                <w:rFonts w:eastAsiaTheme="minorEastAsia"/>
                <w:noProof/>
                <w:lang w:eastAsia="en-GB"/>
              </w:rPr>
              <w:tab/>
            </w:r>
            <w:r w:rsidRPr="00AF48AE">
              <w:rPr>
                <w:rStyle w:val="Hyperlink"/>
                <w:noProof/>
              </w:rPr>
              <w:t>Educational outcomes for looked after children</w:t>
            </w:r>
            <w:r>
              <w:rPr>
                <w:noProof/>
                <w:webHidden/>
              </w:rPr>
              <w:tab/>
            </w:r>
            <w:r>
              <w:rPr>
                <w:noProof/>
                <w:webHidden/>
              </w:rPr>
              <w:fldChar w:fldCharType="begin"/>
            </w:r>
            <w:r>
              <w:rPr>
                <w:noProof/>
                <w:webHidden/>
              </w:rPr>
              <w:instrText xml:space="preserve"> PAGEREF _Toc519088568 \h </w:instrText>
            </w:r>
            <w:r>
              <w:rPr>
                <w:noProof/>
                <w:webHidden/>
              </w:rPr>
            </w:r>
            <w:r>
              <w:rPr>
                <w:noProof/>
                <w:webHidden/>
              </w:rPr>
              <w:fldChar w:fldCharType="separate"/>
            </w:r>
            <w:r w:rsidR="00175103">
              <w:rPr>
                <w:noProof/>
                <w:webHidden/>
              </w:rPr>
              <w:t>25</w:t>
            </w:r>
            <w:r>
              <w:rPr>
                <w:noProof/>
                <w:webHidden/>
              </w:rPr>
              <w:fldChar w:fldCharType="end"/>
            </w:r>
          </w:hyperlink>
        </w:p>
        <w:p w14:paraId="1755E64B" w14:textId="7F5D6A17" w:rsidR="00F35C0D" w:rsidRDefault="00F35C0D" w:rsidP="00F35C0D">
          <w:pPr>
            <w:pStyle w:val="TOC2"/>
            <w:tabs>
              <w:tab w:val="left" w:pos="880"/>
              <w:tab w:val="right" w:leader="dot" w:pos="9016"/>
            </w:tabs>
            <w:rPr>
              <w:rFonts w:eastAsiaTheme="minorEastAsia"/>
              <w:noProof/>
              <w:lang w:eastAsia="en-GB"/>
            </w:rPr>
          </w:pPr>
          <w:hyperlink w:anchor="_Toc519088569" w:history="1">
            <w:r w:rsidRPr="00AF48AE">
              <w:rPr>
                <w:rStyle w:val="Hyperlink"/>
                <w:noProof/>
              </w:rPr>
              <w:t>3.3</w:t>
            </w:r>
            <w:r>
              <w:rPr>
                <w:rFonts w:eastAsiaTheme="minorEastAsia"/>
                <w:noProof/>
                <w:lang w:eastAsia="en-GB"/>
              </w:rPr>
              <w:tab/>
            </w:r>
            <w:r w:rsidRPr="00AF48AE">
              <w:rPr>
                <w:rStyle w:val="Hyperlink"/>
                <w:noProof/>
              </w:rPr>
              <w:t>Child protection</w:t>
            </w:r>
            <w:r>
              <w:rPr>
                <w:noProof/>
                <w:webHidden/>
              </w:rPr>
              <w:tab/>
            </w:r>
            <w:r>
              <w:rPr>
                <w:noProof/>
                <w:webHidden/>
              </w:rPr>
              <w:fldChar w:fldCharType="begin"/>
            </w:r>
            <w:r>
              <w:rPr>
                <w:noProof/>
                <w:webHidden/>
              </w:rPr>
              <w:instrText xml:space="preserve"> PAGEREF _Toc519088569 \h </w:instrText>
            </w:r>
            <w:r>
              <w:rPr>
                <w:noProof/>
                <w:webHidden/>
              </w:rPr>
            </w:r>
            <w:r>
              <w:rPr>
                <w:noProof/>
                <w:webHidden/>
              </w:rPr>
              <w:fldChar w:fldCharType="separate"/>
            </w:r>
            <w:r w:rsidR="00175103">
              <w:rPr>
                <w:noProof/>
                <w:webHidden/>
              </w:rPr>
              <w:t>26</w:t>
            </w:r>
            <w:r>
              <w:rPr>
                <w:noProof/>
                <w:webHidden/>
              </w:rPr>
              <w:fldChar w:fldCharType="end"/>
            </w:r>
          </w:hyperlink>
        </w:p>
        <w:p w14:paraId="55709C18" w14:textId="70A74C6A" w:rsidR="00F35C0D" w:rsidRDefault="00F35C0D" w:rsidP="00F35C0D">
          <w:pPr>
            <w:pStyle w:val="TOC2"/>
            <w:tabs>
              <w:tab w:val="left" w:pos="880"/>
              <w:tab w:val="right" w:leader="dot" w:pos="9016"/>
            </w:tabs>
            <w:rPr>
              <w:rFonts w:eastAsiaTheme="minorEastAsia"/>
              <w:noProof/>
              <w:lang w:eastAsia="en-GB"/>
            </w:rPr>
          </w:pPr>
          <w:hyperlink w:anchor="_Toc519088570" w:history="1">
            <w:r w:rsidRPr="00AF48AE">
              <w:rPr>
                <w:rStyle w:val="Hyperlink"/>
                <w:noProof/>
              </w:rPr>
              <w:t>3.4</w:t>
            </w:r>
            <w:r>
              <w:rPr>
                <w:rFonts w:eastAsiaTheme="minorEastAsia"/>
                <w:noProof/>
                <w:lang w:eastAsia="en-GB"/>
              </w:rPr>
              <w:tab/>
            </w:r>
            <w:r w:rsidRPr="00AF48AE">
              <w:rPr>
                <w:rStyle w:val="Hyperlink"/>
                <w:noProof/>
              </w:rPr>
              <w:t>Children and mental health services</w:t>
            </w:r>
            <w:r>
              <w:rPr>
                <w:noProof/>
                <w:webHidden/>
              </w:rPr>
              <w:tab/>
            </w:r>
            <w:r>
              <w:rPr>
                <w:noProof/>
                <w:webHidden/>
              </w:rPr>
              <w:fldChar w:fldCharType="begin"/>
            </w:r>
            <w:r>
              <w:rPr>
                <w:noProof/>
                <w:webHidden/>
              </w:rPr>
              <w:instrText xml:space="preserve"> PAGEREF _Toc519088570 \h </w:instrText>
            </w:r>
            <w:r>
              <w:rPr>
                <w:noProof/>
                <w:webHidden/>
              </w:rPr>
            </w:r>
            <w:r>
              <w:rPr>
                <w:noProof/>
                <w:webHidden/>
              </w:rPr>
              <w:fldChar w:fldCharType="separate"/>
            </w:r>
            <w:r w:rsidR="00175103">
              <w:rPr>
                <w:noProof/>
                <w:webHidden/>
              </w:rPr>
              <w:t>27</w:t>
            </w:r>
            <w:r>
              <w:rPr>
                <w:noProof/>
                <w:webHidden/>
              </w:rPr>
              <w:fldChar w:fldCharType="end"/>
            </w:r>
          </w:hyperlink>
        </w:p>
        <w:p w14:paraId="5C211E2F" w14:textId="67B488EE" w:rsidR="00F35C0D" w:rsidRDefault="00F35C0D" w:rsidP="00F35C0D">
          <w:pPr>
            <w:pStyle w:val="TOC2"/>
            <w:tabs>
              <w:tab w:val="left" w:pos="880"/>
              <w:tab w:val="right" w:leader="dot" w:pos="9016"/>
            </w:tabs>
            <w:rPr>
              <w:rFonts w:eastAsiaTheme="minorEastAsia"/>
              <w:noProof/>
              <w:lang w:eastAsia="en-GB"/>
            </w:rPr>
          </w:pPr>
          <w:hyperlink w:anchor="_Toc519088571" w:history="1">
            <w:r w:rsidRPr="00AF48AE">
              <w:rPr>
                <w:rStyle w:val="Hyperlink"/>
                <w:noProof/>
              </w:rPr>
              <w:t>3.5</w:t>
            </w:r>
            <w:r>
              <w:rPr>
                <w:rFonts w:eastAsiaTheme="minorEastAsia"/>
                <w:noProof/>
                <w:lang w:eastAsia="en-GB"/>
              </w:rPr>
              <w:tab/>
            </w:r>
            <w:r w:rsidRPr="00AF48AE">
              <w:rPr>
                <w:rStyle w:val="Hyperlink"/>
                <w:noProof/>
              </w:rPr>
              <w:t>Wellbeing</w:t>
            </w:r>
            <w:r>
              <w:rPr>
                <w:noProof/>
                <w:webHidden/>
              </w:rPr>
              <w:tab/>
            </w:r>
            <w:r>
              <w:rPr>
                <w:noProof/>
                <w:webHidden/>
              </w:rPr>
              <w:fldChar w:fldCharType="begin"/>
            </w:r>
            <w:r>
              <w:rPr>
                <w:noProof/>
                <w:webHidden/>
              </w:rPr>
              <w:instrText xml:space="preserve"> PAGEREF _Toc519088571 \h </w:instrText>
            </w:r>
            <w:r>
              <w:rPr>
                <w:noProof/>
                <w:webHidden/>
              </w:rPr>
            </w:r>
            <w:r>
              <w:rPr>
                <w:noProof/>
                <w:webHidden/>
              </w:rPr>
              <w:fldChar w:fldCharType="separate"/>
            </w:r>
            <w:r w:rsidR="00175103">
              <w:rPr>
                <w:noProof/>
                <w:webHidden/>
              </w:rPr>
              <w:t>28</w:t>
            </w:r>
            <w:r>
              <w:rPr>
                <w:noProof/>
                <w:webHidden/>
              </w:rPr>
              <w:fldChar w:fldCharType="end"/>
            </w:r>
          </w:hyperlink>
        </w:p>
        <w:p w14:paraId="7D8FC644" w14:textId="5F3D17B3" w:rsidR="00F35C0D" w:rsidRDefault="00F35C0D" w:rsidP="00F35C0D">
          <w:pPr>
            <w:pStyle w:val="TOC2"/>
            <w:tabs>
              <w:tab w:val="left" w:pos="880"/>
              <w:tab w:val="right" w:leader="dot" w:pos="9016"/>
            </w:tabs>
            <w:rPr>
              <w:rFonts w:eastAsiaTheme="minorEastAsia"/>
              <w:noProof/>
              <w:lang w:eastAsia="en-GB"/>
            </w:rPr>
          </w:pPr>
          <w:hyperlink w:anchor="_Toc519088572" w:history="1">
            <w:r w:rsidRPr="00AF48AE">
              <w:rPr>
                <w:rStyle w:val="Hyperlink"/>
                <w:noProof/>
              </w:rPr>
              <w:t>3.6</w:t>
            </w:r>
            <w:r>
              <w:rPr>
                <w:rFonts w:eastAsiaTheme="minorEastAsia"/>
                <w:noProof/>
                <w:lang w:eastAsia="en-GB"/>
              </w:rPr>
              <w:tab/>
            </w:r>
            <w:r w:rsidRPr="00AF48AE">
              <w:rPr>
                <w:rStyle w:val="Hyperlink"/>
                <w:noProof/>
              </w:rPr>
              <w:t>Early learning and childcare provision</w:t>
            </w:r>
            <w:r>
              <w:rPr>
                <w:noProof/>
                <w:webHidden/>
              </w:rPr>
              <w:tab/>
            </w:r>
            <w:r>
              <w:rPr>
                <w:noProof/>
                <w:webHidden/>
              </w:rPr>
              <w:fldChar w:fldCharType="begin"/>
            </w:r>
            <w:r>
              <w:rPr>
                <w:noProof/>
                <w:webHidden/>
              </w:rPr>
              <w:instrText xml:space="preserve"> PAGEREF _Toc519088572 \h </w:instrText>
            </w:r>
            <w:r>
              <w:rPr>
                <w:noProof/>
                <w:webHidden/>
              </w:rPr>
            </w:r>
            <w:r>
              <w:rPr>
                <w:noProof/>
                <w:webHidden/>
              </w:rPr>
              <w:fldChar w:fldCharType="separate"/>
            </w:r>
            <w:r w:rsidR="00175103">
              <w:rPr>
                <w:noProof/>
                <w:webHidden/>
              </w:rPr>
              <w:t>28</w:t>
            </w:r>
            <w:r>
              <w:rPr>
                <w:noProof/>
                <w:webHidden/>
              </w:rPr>
              <w:fldChar w:fldCharType="end"/>
            </w:r>
          </w:hyperlink>
        </w:p>
        <w:p w14:paraId="0FB60CB3" w14:textId="68AF632F" w:rsidR="00F35C0D" w:rsidRDefault="00F35C0D" w:rsidP="00F35C0D">
          <w:pPr>
            <w:pStyle w:val="TOC2"/>
            <w:tabs>
              <w:tab w:val="left" w:pos="880"/>
              <w:tab w:val="right" w:leader="dot" w:pos="9016"/>
            </w:tabs>
            <w:rPr>
              <w:rFonts w:eastAsiaTheme="minorEastAsia"/>
              <w:noProof/>
              <w:lang w:eastAsia="en-GB"/>
            </w:rPr>
          </w:pPr>
          <w:hyperlink w:anchor="_Toc519088573" w:history="1">
            <w:r w:rsidRPr="00AF48AE">
              <w:rPr>
                <w:rStyle w:val="Hyperlink"/>
                <w:noProof/>
              </w:rPr>
              <w:t>3.7</w:t>
            </w:r>
            <w:r>
              <w:rPr>
                <w:rFonts w:eastAsiaTheme="minorEastAsia"/>
                <w:noProof/>
                <w:lang w:eastAsia="en-GB"/>
              </w:rPr>
              <w:tab/>
            </w:r>
            <w:r w:rsidRPr="00AF48AE">
              <w:rPr>
                <w:rStyle w:val="Hyperlink"/>
                <w:noProof/>
              </w:rPr>
              <w:t>Education - Schools</w:t>
            </w:r>
            <w:r>
              <w:rPr>
                <w:noProof/>
                <w:webHidden/>
              </w:rPr>
              <w:tab/>
            </w:r>
            <w:r>
              <w:rPr>
                <w:noProof/>
                <w:webHidden/>
              </w:rPr>
              <w:fldChar w:fldCharType="begin"/>
            </w:r>
            <w:r>
              <w:rPr>
                <w:noProof/>
                <w:webHidden/>
              </w:rPr>
              <w:instrText xml:space="preserve"> PAGEREF _Toc519088573 \h </w:instrText>
            </w:r>
            <w:r>
              <w:rPr>
                <w:noProof/>
                <w:webHidden/>
              </w:rPr>
            </w:r>
            <w:r>
              <w:rPr>
                <w:noProof/>
                <w:webHidden/>
              </w:rPr>
              <w:fldChar w:fldCharType="separate"/>
            </w:r>
            <w:r w:rsidR="00175103">
              <w:rPr>
                <w:noProof/>
                <w:webHidden/>
              </w:rPr>
              <w:t>29</w:t>
            </w:r>
            <w:r>
              <w:rPr>
                <w:noProof/>
                <w:webHidden/>
              </w:rPr>
              <w:fldChar w:fldCharType="end"/>
            </w:r>
          </w:hyperlink>
        </w:p>
        <w:p w14:paraId="5611FB61" w14:textId="7590D22D" w:rsidR="00F35C0D" w:rsidRDefault="00F35C0D" w:rsidP="00F35C0D">
          <w:pPr>
            <w:pStyle w:val="TOC2"/>
            <w:tabs>
              <w:tab w:val="left" w:pos="1100"/>
              <w:tab w:val="right" w:leader="dot" w:pos="9016"/>
            </w:tabs>
            <w:rPr>
              <w:rFonts w:eastAsiaTheme="minorEastAsia"/>
              <w:noProof/>
              <w:lang w:eastAsia="en-GB"/>
            </w:rPr>
          </w:pPr>
          <w:hyperlink w:anchor="_Toc519088574" w:history="1">
            <w:r w:rsidRPr="00AF48AE">
              <w:rPr>
                <w:rStyle w:val="Hyperlink"/>
                <w:rFonts w:cs="Calibri"/>
                <w:noProof/>
              </w:rPr>
              <w:t>3.7.1</w:t>
            </w:r>
            <w:r>
              <w:rPr>
                <w:rFonts w:eastAsiaTheme="minorEastAsia"/>
                <w:noProof/>
                <w:lang w:eastAsia="en-GB"/>
              </w:rPr>
              <w:tab/>
            </w:r>
            <w:r w:rsidRPr="00AF48AE">
              <w:rPr>
                <w:rStyle w:val="Hyperlink"/>
                <w:rFonts w:cs="Calibri"/>
                <w:noProof/>
              </w:rPr>
              <w:t>Attendance and exclusions</w:t>
            </w:r>
            <w:r>
              <w:rPr>
                <w:noProof/>
                <w:webHidden/>
              </w:rPr>
              <w:tab/>
            </w:r>
            <w:r>
              <w:rPr>
                <w:noProof/>
                <w:webHidden/>
              </w:rPr>
              <w:fldChar w:fldCharType="begin"/>
            </w:r>
            <w:r>
              <w:rPr>
                <w:noProof/>
                <w:webHidden/>
              </w:rPr>
              <w:instrText xml:space="preserve"> PAGEREF _Toc519088574 \h </w:instrText>
            </w:r>
            <w:r>
              <w:rPr>
                <w:noProof/>
                <w:webHidden/>
              </w:rPr>
            </w:r>
            <w:r>
              <w:rPr>
                <w:noProof/>
                <w:webHidden/>
              </w:rPr>
              <w:fldChar w:fldCharType="separate"/>
            </w:r>
            <w:r w:rsidR="00175103">
              <w:rPr>
                <w:noProof/>
                <w:webHidden/>
              </w:rPr>
              <w:t>29</w:t>
            </w:r>
            <w:r>
              <w:rPr>
                <w:noProof/>
                <w:webHidden/>
              </w:rPr>
              <w:fldChar w:fldCharType="end"/>
            </w:r>
          </w:hyperlink>
        </w:p>
        <w:p w14:paraId="0AE5959A" w14:textId="48A82ABB" w:rsidR="00F35C0D" w:rsidRDefault="00F35C0D" w:rsidP="00F35C0D">
          <w:pPr>
            <w:pStyle w:val="TOC2"/>
            <w:tabs>
              <w:tab w:val="left" w:pos="1100"/>
              <w:tab w:val="right" w:leader="dot" w:pos="9016"/>
            </w:tabs>
            <w:rPr>
              <w:rFonts w:eastAsiaTheme="minorEastAsia"/>
              <w:noProof/>
              <w:lang w:eastAsia="en-GB"/>
            </w:rPr>
          </w:pPr>
          <w:hyperlink w:anchor="_Toc519088575" w:history="1">
            <w:r w:rsidRPr="00AF48AE">
              <w:rPr>
                <w:rStyle w:val="Hyperlink"/>
                <w:rFonts w:cs="Calibri"/>
                <w:noProof/>
              </w:rPr>
              <w:t>3.7.2</w:t>
            </w:r>
            <w:r>
              <w:rPr>
                <w:rFonts w:eastAsiaTheme="minorEastAsia"/>
                <w:noProof/>
                <w:lang w:eastAsia="en-GB"/>
              </w:rPr>
              <w:tab/>
            </w:r>
            <w:r w:rsidRPr="00AF48AE">
              <w:rPr>
                <w:rStyle w:val="Hyperlink"/>
                <w:rFonts w:cs="Calibri"/>
                <w:noProof/>
              </w:rPr>
              <w:t>Attainment – Curriculum for Excellence</w:t>
            </w:r>
            <w:r>
              <w:rPr>
                <w:noProof/>
                <w:webHidden/>
              </w:rPr>
              <w:tab/>
            </w:r>
            <w:r>
              <w:rPr>
                <w:noProof/>
                <w:webHidden/>
              </w:rPr>
              <w:fldChar w:fldCharType="begin"/>
            </w:r>
            <w:r>
              <w:rPr>
                <w:noProof/>
                <w:webHidden/>
              </w:rPr>
              <w:instrText xml:space="preserve"> PAGEREF _Toc519088575 \h </w:instrText>
            </w:r>
            <w:r>
              <w:rPr>
                <w:noProof/>
                <w:webHidden/>
              </w:rPr>
            </w:r>
            <w:r>
              <w:rPr>
                <w:noProof/>
                <w:webHidden/>
              </w:rPr>
              <w:fldChar w:fldCharType="separate"/>
            </w:r>
            <w:r w:rsidR="00175103">
              <w:rPr>
                <w:noProof/>
                <w:webHidden/>
              </w:rPr>
              <w:t>30</w:t>
            </w:r>
            <w:r>
              <w:rPr>
                <w:noProof/>
                <w:webHidden/>
              </w:rPr>
              <w:fldChar w:fldCharType="end"/>
            </w:r>
          </w:hyperlink>
        </w:p>
        <w:p w14:paraId="24A8F4DC" w14:textId="10A1B7B4" w:rsidR="00F35C0D" w:rsidRDefault="00F35C0D" w:rsidP="00F35C0D">
          <w:pPr>
            <w:pStyle w:val="TOC2"/>
            <w:tabs>
              <w:tab w:val="left" w:pos="1100"/>
              <w:tab w:val="right" w:leader="dot" w:pos="9016"/>
            </w:tabs>
            <w:rPr>
              <w:rFonts w:eastAsiaTheme="minorEastAsia"/>
              <w:noProof/>
              <w:lang w:eastAsia="en-GB"/>
            </w:rPr>
          </w:pPr>
          <w:hyperlink w:anchor="_Toc519088576" w:history="1">
            <w:r w:rsidRPr="00AF48AE">
              <w:rPr>
                <w:rStyle w:val="Hyperlink"/>
                <w:rFonts w:cs="Calibri"/>
                <w:noProof/>
              </w:rPr>
              <w:t>3.7.3</w:t>
            </w:r>
            <w:r>
              <w:rPr>
                <w:rFonts w:eastAsiaTheme="minorEastAsia"/>
                <w:noProof/>
                <w:lang w:eastAsia="en-GB"/>
              </w:rPr>
              <w:tab/>
            </w:r>
            <w:r w:rsidRPr="00AF48AE">
              <w:rPr>
                <w:rStyle w:val="Hyperlink"/>
                <w:rFonts w:cs="Calibri"/>
                <w:noProof/>
              </w:rPr>
              <w:t>Positive destinations/participation</w:t>
            </w:r>
            <w:r>
              <w:rPr>
                <w:noProof/>
                <w:webHidden/>
              </w:rPr>
              <w:tab/>
            </w:r>
            <w:r>
              <w:rPr>
                <w:noProof/>
                <w:webHidden/>
              </w:rPr>
              <w:fldChar w:fldCharType="begin"/>
            </w:r>
            <w:r>
              <w:rPr>
                <w:noProof/>
                <w:webHidden/>
              </w:rPr>
              <w:instrText xml:space="preserve"> PAGEREF _Toc519088576 \h </w:instrText>
            </w:r>
            <w:r>
              <w:rPr>
                <w:noProof/>
                <w:webHidden/>
              </w:rPr>
            </w:r>
            <w:r>
              <w:rPr>
                <w:noProof/>
                <w:webHidden/>
              </w:rPr>
              <w:fldChar w:fldCharType="separate"/>
            </w:r>
            <w:r w:rsidR="00175103">
              <w:rPr>
                <w:noProof/>
                <w:webHidden/>
              </w:rPr>
              <w:t>32</w:t>
            </w:r>
            <w:r>
              <w:rPr>
                <w:noProof/>
                <w:webHidden/>
              </w:rPr>
              <w:fldChar w:fldCharType="end"/>
            </w:r>
          </w:hyperlink>
        </w:p>
        <w:p w14:paraId="00C67371" w14:textId="591EF6B7" w:rsidR="00F35C0D" w:rsidRDefault="00F35C0D" w:rsidP="00F35C0D">
          <w:pPr>
            <w:pStyle w:val="TOC2"/>
            <w:tabs>
              <w:tab w:val="left" w:pos="880"/>
              <w:tab w:val="right" w:leader="dot" w:pos="9016"/>
            </w:tabs>
            <w:rPr>
              <w:rFonts w:eastAsiaTheme="minorEastAsia"/>
              <w:noProof/>
              <w:lang w:eastAsia="en-GB"/>
            </w:rPr>
          </w:pPr>
          <w:hyperlink w:anchor="_Toc519088577" w:history="1">
            <w:r w:rsidRPr="00AF48AE">
              <w:rPr>
                <w:rStyle w:val="Hyperlink"/>
                <w:noProof/>
              </w:rPr>
              <w:t>3.8</w:t>
            </w:r>
            <w:r>
              <w:rPr>
                <w:rFonts w:eastAsiaTheme="minorEastAsia"/>
                <w:noProof/>
                <w:lang w:eastAsia="en-GB"/>
              </w:rPr>
              <w:tab/>
            </w:r>
            <w:r w:rsidRPr="00AF48AE">
              <w:rPr>
                <w:rStyle w:val="Hyperlink"/>
                <w:noProof/>
              </w:rPr>
              <w:t>Free School Meals</w:t>
            </w:r>
            <w:r>
              <w:rPr>
                <w:noProof/>
                <w:webHidden/>
              </w:rPr>
              <w:tab/>
            </w:r>
            <w:r>
              <w:rPr>
                <w:noProof/>
                <w:webHidden/>
              </w:rPr>
              <w:fldChar w:fldCharType="begin"/>
            </w:r>
            <w:r>
              <w:rPr>
                <w:noProof/>
                <w:webHidden/>
              </w:rPr>
              <w:instrText xml:space="preserve"> PAGEREF _Toc519088577 \h </w:instrText>
            </w:r>
            <w:r>
              <w:rPr>
                <w:noProof/>
                <w:webHidden/>
              </w:rPr>
            </w:r>
            <w:r>
              <w:rPr>
                <w:noProof/>
                <w:webHidden/>
              </w:rPr>
              <w:fldChar w:fldCharType="separate"/>
            </w:r>
            <w:r w:rsidR="00175103">
              <w:rPr>
                <w:noProof/>
                <w:webHidden/>
              </w:rPr>
              <w:t>34</w:t>
            </w:r>
            <w:r>
              <w:rPr>
                <w:noProof/>
                <w:webHidden/>
              </w:rPr>
              <w:fldChar w:fldCharType="end"/>
            </w:r>
          </w:hyperlink>
        </w:p>
        <w:p w14:paraId="58476F85" w14:textId="53142390" w:rsidR="00F35C0D" w:rsidRDefault="00F35C0D" w:rsidP="00F35C0D">
          <w:pPr>
            <w:pStyle w:val="TOC2"/>
            <w:tabs>
              <w:tab w:val="left" w:pos="880"/>
              <w:tab w:val="right" w:leader="dot" w:pos="9016"/>
            </w:tabs>
            <w:rPr>
              <w:rFonts w:eastAsiaTheme="minorEastAsia"/>
              <w:noProof/>
              <w:lang w:eastAsia="en-GB"/>
            </w:rPr>
          </w:pPr>
          <w:hyperlink w:anchor="_Toc519088578" w:history="1">
            <w:r w:rsidRPr="00AF48AE">
              <w:rPr>
                <w:rStyle w:val="Hyperlink"/>
                <w:noProof/>
              </w:rPr>
              <w:t>3.9</w:t>
            </w:r>
            <w:r>
              <w:rPr>
                <w:rFonts w:eastAsiaTheme="minorEastAsia"/>
                <w:noProof/>
                <w:lang w:eastAsia="en-GB"/>
              </w:rPr>
              <w:tab/>
            </w:r>
            <w:r w:rsidRPr="00AF48AE">
              <w:rPr>
                <w:rStyle w:val="Hyperlink"/>
                <w:noProof/>
              </w:rPr>
              <w:t>Child heath</w:t>
            </w:r>
            <w:r>
              <w:rPr>
                <w:noProof/>
                <w:webHidden/>
              </w:rPr>
              <w:tab/>
            </w:r>
            <w:r>
              <w:rPr>
                <w:noProof/>
                <w:webHidden/>
              </w:rPr>
              <w:fldChar w:fldCharType="begin"/>
            </w:r>
            <w:r>
              <w:rPr>
                <w:noProof/>
                <w:webHidden/>
              </w:rPr>
              <w:instrText xml:space="preserve"> PAGEREF _Toc519088578 \h </w:instrText>
            </w:r>
            <w:r>
              <w:rPr>
                <w:noProof/>
                <w:webHidden/>
              </w:rPr>
            </w:r>
            <w:r>
              <w:rPr>
                <w:noProof/>
                <w:webHidden/>
              </w:rPr>
              <w:fldChar w:fldCharType="separate"/>
            </w:r>
            <w:r w:rsidR="00175103">
              <w:rPr>
                <w:noProof/>
                <w:webHidden/>
              </w:rPr>
              <w:t>35</w:t>
            </w:r>
            <w:r>
              <w:rPr>
                <w:noProof/>
                <w:webHidden/>
              </w:rPr>
              <w:fldChar w:fldCharType="end"/>
            </w:r>
          </w:hyperlink>
        </w:p>
        <w:p w14:paraId="478E275F" w14:textId="492A53DB" w:rsidR="00F35C0D" w:rsidRDefault="00F35C0D" w:rsidP="00F35C0D">
          <w:pPr>
            <w:pStyle w:val="TOC2"/>
            <w:tabs>
              <w:tab w:val="left" w:pos="1100"/>
              <w:tab w:val="right" w:leader="dot" w:pos="9016"/>
            </w:tabs>
            <w:rPr>
              <w:rFonts w:eastAsiaTheme="minorEastAsia"/>
              <w:noProof/>
              <w:lang w:eastAsia="en-GB"/>
            </w:rPr>
          </w:pPr>
          <w:hyperlink w:anchor="_Toc519088579" w:history="1">
            <w:r w:rsidRPr="00AF48AE">
              <w:rPr>
                <w:rStyle w:val="Hyperlink"/>
                <w:noProof/>
              </w:rPr>
              <w:t>3.9.1</w:t>
            </w:r>
            <w:r>
              <w:rPr>
                <w:rFonts w:eastAsiaTheme="minorEastAsia"/>
                <w:noProof/>
                <w:lang w:eastAsia="en-GB"/>
              </w:rPr>
              <w:tab/>
            </w:r>
            <w:r w:rsidRPr="00AF48AE">
              <w:rPr>
                <w:rStyle w:val="Hyperlink"/>
                <w:noProof/>
              </w:rPr>
              <w:t>Breast feeding</w:t>
            </w:r>
            <w:r>
              <w:rPr>
                <w:noProof/>
                <w:webHidden/>
              </w:rPr>
              <w:tab/>
            </w:r>
            <w:r>
              <w:rPr>
                <w:noProof/>
                <w:webHidden/>
              </w:rPr>
              <w:fldChar w:fldCharType="begin"/>
            </w:r>
            <w:r>
              <w:rPr>
                <w:noProof/>
                <w:webHidden/>
              </w:rPr>
              <w:instrText xml:space="preserve"> PAGEREF _Toc519088579 \h </w:instrText>
            </w:r>
            <w:r>
              <w:rPr>
                <w:noProof/>
                <w:webHidden/>
              </w:rPr>
            </w:r>
            <w:r>
              <w:rPr>
                <w:noProof/>
                <w:webHidden/>
              </w:rPr>
              <w:fldChar w:fldCharType="separate"/>
            </w:r>
            <w:r w:rsidR="00175103">
              <w:rPr>
                <w:noProof/>
                <w:webHidden/>
              </w:rPr>
              <w:t>35</w:t>
            </w:r>
            <w:r>
              <w:rPr>
                <w:noProof/>
                <w:webHidden/>
              </w:rPr>
              <w:fldChar w:fldCharType="end"/>
            </w:r>
          </w:hyperlink>
        </w:p>
        <w:p w14:paraId="33893597" w14:textId="61AB584F" w:rsidR="00F35C0D" w:rsidRDefault="00F35C0D" w:rsidP="00F35C0D">
          <w:pPr>
            <w:pStyle w:val="TOC2"/>
            <w:tabs>
              <w:tab w:val="left" w:pos="1100"/>
              <w:tab w:val="right" w:leader="dot" w:pos="9016"/>
            </w:tabs>
            <w:rPr>
              <w:rFonts w:eastAsiaTheme="minorEastAsia"/>
              <w:noProof/>
              <w:lang w:eastAsia="en-GB"/>
            </w:rPr>
          </w:pPr>
          <w:hyperlink w:anchor="_Toc519088580" w:history="1">
            <w:r w:rsidRPr="00AF48AE">
              <w:rPr>
                <w:rStyle w:val="Hyperlink"/>
                <w:noProof/>
              </w:rPr>
              <w:t>3.9.2</w:t>
            </w:r>
            <w:r>
              <w:rPr>
                <w:rFonts w:eastAsiaTheme="minorEastAsia"/>
                <w:noProof/>
                <w:lang w:eastAsia="en-GB"/>
              </w:rPr>
              <w:tab/>
            </w:r>
            <w:r w:rsidRPr="00AF48AE">
              <w:rPr>
                <w:rStyle w:val="Hyperlink"/>
                <w:noProof/>
              </w:rPr>
              <w:t>Immunisation</w:t>
            </w:r>
            <w:r>
              <w:rPr>
                <w:noProof/>
                <w:webHidden/>
              </w:rPr>
              <w:tab/>
            </w:r>
            <w:r>
              <w:rPr>
                <w:noProof/>
                <w:webHidden/>
              </w:rPr>
              <w:fldChar w:fldCharType="begin"/>
            </w:r>
            <w:r>
              <w:rPr>
                <w:noProof/>
                <w:webHidden/>
              </w:rPr>
              <w:instrText xml:space="preserve"> PAGEREF _Toc519088580 \h </w:instrText>
            </w:r>
            <w:r>
              <w:rPr>
                <w:noProof/>
                <w:webHidden/>
              </w:rPr>
            </w:r>
            <w:r>
              <w:rPr>
                <w:noProof/>
                <w:webHidden/>
              </w:rPr>
              <w:fldChar w:fldCharType="separate"/>
            </w:r>
            <w:r w:rsidR="00175103">
              <w:rPr>
                <w:noProof/>
                <w:webHidden/>
              </w:rPr>
              <w:t>35</w:t>
            </w:r>
            <w:r>
              <w:rPr>
                <w:noProof/>
                <w:webHidden/>
              </w:rPr>
              <w:fldChar w:fldCharType="end"/>
            </w:r>
          </w:hyperlink>
        </w:p>
        <w:p w14:paraId="31D99FAC" w14:textId="78A1DACC" w:rsidR="00F35C0D" w:rsidRDefault="00F35C0D" w:rsidP="00F35C0D">
          <w:pPr>
            <w:pStyle w:val="TOC2"/>
            <w:tabs>
              <w:tab w:val="left" w:pos="1100"/>
              <w:tab w:val="right" w:leader="dot" w:pos="9016"/>
            </w:tabs>
            <w:rPr>
              <w:rFonts w:eastAsiaTheme="minorEastAsia"/>
              <w:noProof/>
              <w:lang w:eastAsia="en-GB"/>
            </w:rPr>
          </w:pPr>
          <w:hyperlink w:anchor="_Toc519088581" w:history="1">
            <w:r w:rsidRPr="00AF48AE">
              <w:rPr>
                <w:rStyle w:val="Hyperlink"/>
                <w:noProof/>
              </w:rPr>
              <w:t>3.9.3</w:t>
            </w:r>
            <w:r>
              <w:rPr>
                <w:rFonts w:eastAsiaTheme="minorEastAsia"/>
                <w:noProof/>
                <w:lang w:eastAsia="en-GB"/>
              </w:rPr>
              <w:tab/>
            </w:r>
            <w:r w:rsidRPr="00AF48AE">
              <w:rPr>
                <w:rStyle w:val="Hyperlink"/>
                <w:noProof/>
              </w:rPr>
              <w:t>Healthy weight</w:t>
            </w:r>
            <w:r>
              <w:rPr>
                <w:noProof/>
                <w:webHidden/>
              </w:rPr>
              <w:tab/>
            </w:r>
            <w:r>
              <w:rPr>
                <w:noProof/>
                <w:webHidden/>
              </w:rPr>
              <w:fldChar w:fldCharType="begin"/>
            </w:r>
            <w:r>
              <w:rPr>
                <w:noProof/>
                <w:webHidden/>
              </w:rPr>
              <w:instrText xml:space="preserve"> PAGEREF _Toc519088581 \h </w:instrText>
            </w:r>
            <w:r>
              <w:rPr>
                <w:noProof/>
                <w:webHidden/>
              </w:rPr>
            </w:r>
            <w:r>
              <w:rPr>
                <w:noProof/>
                <w:webHidden/>
              </w:rPr>
              <w:fldChar w:fldCharType="separate"/>
            </w:r>
            <w:r w:rsidR="00175103">
              <w:rPr>
                <w:noProof/>
                <w:webHidden/>
              </w:rPr>
              <w:t>36</w:t>
            </w:r>
            <w:r>
              <w:rPr>
                <w:noProof/>
                <w:webHidden/>
              </w:rPr>
              <w:fldChar w:fldCharType="end"/>
            </w:r>
          </w:hyperlink>
        </w:p>
        <w:p w14:paraId="04CF5DB5" w14:textId="4A5A5CEF" w:rsidR="00F35C0D" w:rsidRDefault="00F35C0D" w:rsidP="00F35C0D">
          <w:pPr>
            <w:pStyle w:val="TOC2"/>
            <w:tabs>
              <w:tab w:val="left" w:pos="1100"/>
              <w:tab w:val="right" w:leader="dot" w:pos="9016"/>
            </w:tabs>
            <w:rPr>
              <w:rFonts w:eastAsiaTheme="minorEastAsia"/>
              <w:noProof/>
              <w:lang w:eastAsia="en-GB"/>
            </w:rPr>
          </w:pPr>
          <w:hyperlink w:anchor="_Toc519088582" w:history="1">
            <w:r w:rsidRPr="00AF48AE">
              <w:rPr>
                <w:rStyle w:val="Hyperlink"/>
                <w:noProof/>
              </w:rPr>
              <w:t>3.9.4</w:t>
            </w:r>
            <w:r>
              <w:rPr>
                <w:rFonts w:eastAsiaTheme="minorEastAsia"/>
                <w:noProof/>
                <w:lang w:eastAsia="en-GB"/>
              </w:rPr>
              <w:tab/>
            </w:r>
            <w:r w:rsidRPr="00AF48AE">
              <w:rPr>
                <w:rStyle w:val="Hyperlink"/>
                <w:noProof/>
              </w:rPr>
              <w:t>Dental health</w:t>
            </w:r>
            <w:r>
              <w:rPr>
                <w:noProof/>
                <w:webHidden/>
              </w:rPr>
              <w:tab/>
            </w:r>
            <w:r>
              <w:rPr>
                <w:noProof/>
                <w:webHidden/>
              </w:rPr>
              <w:fldChar w:fldCharType="begin"/>
            </w:r>
            <w:r>
              <w:rPr>
                <w:noProof/>
                <w:webHidden/>
              </w:rPr>
              <w:instrText xml:space="preserve"> PAGEREF _Toc519088582 \h </w:instrText>
            </w:r>
            <w:r>
              <w:rPr>
                <w:noProof/>
                <w:webHidden/>
              </w:rPr>
            </w:r>
            <w:r>
              <w:rPr>
                <w:noProof/>
                <w:webHidden/>
              </w:rPr>
              <w:fldChar w:fldCharType="separate"/>
            </w:r>
            <w:r w:rsidR="00175103">
              <w:rPr>
                <w:noProof/>
                <w:webHidden/>
              </w:rPr>
              <w:t>37</w:t>
            </w:r>
            <w:r>
              <w:rPr>
                <w:noProof/>
                <w:webHidden/>
              </w:rPr>
              <w:fldChar w:fldCharType="end"/>
            </w:r>
          </w:hyperlink>
        </w:p>
        <w:p w14:paraId="224AA287" w14:textId="6F3091F6" w:rsidR="00F35C0D" w:rsidRDefault="00F35C0D" w:rsidP="00F35C0D">
          <w:pPr>
            <w:pStyle w:val="TOC2"/>
            <w:tabs>
              <w:tab w:val="left" w:pos="1100"/>
              <w:tab w:val="right" w:leader="dot" w:pos="9016"/>
            </w:tabs>
            <w:rPr>
              <w:rFonts w:eastAsiaTheme="minorEastAsia"/>
              <w:noProof/>
              <w:lang w:eastAsia="en-GB"/>
            </w:rPr>
          </w:pPr>
          <w:hyperlink w:anchor="_Toc519088583" w:history="1">
            <w:r w:rsidRPr="00AF48AE">
              <w:rPr>
                <w:rStyle w:val="Hyperlink"/>
                <w:noProof/>
              </w:rPr>
              <w:t>3.9.5</w:t>
            </w:r>
            <w:r>
              <w:rPr>
                <w:rFonts w:eastAsiaTheme="minorEastAsia"/>
                <w:noProof/>
                <w:lang w:eastAsia="en-GB"/>
              </w:rPr>
              <w:tab/>
            </w:r>
            <w:r w:rsidRPr="00AF48AE">
              <w:rPr>
                <w:rStyle w:val="Hyperlink"/>
                <w:noProof/>
              </w:rPr>
              <w:t>Smoking</w:t>
            </w:r>
            <w:r>
              <w:rPr>
                <w:noProof/>
                <w:webHidden/>
              </w:rPr>
              <w:tab/>
            </w:r>
            <w:r>
              <w:rPr>
                <w:noProof/>
                <w:webHidden/>
              </w:rPr>
              <w:fldChar w:fldCharType="begin"/>
            </w:r>
            <w:r>
              <w:rPr>
                <w:noProof/>
                <w:webHidden/>
              </w:rPr>
              <w:instrText xml:space="preserve"> PAGEREF _Toc519088583 \h </w:instrText>
            </w:r>
            <w:r>
              <w:rPr>
                <w:noProof/>
                <w:webHidden/>
              </w:rPr>
            </w:r>
            <w:r>
              <w:rPr>
                <w:noProof/>
                <w:webHidden/>
              </w:rPr>
              <w:fldChar w:fldCharType="separate"/>
            </w:r>
            <w:r w:rsidR="00175103">
              <w:rPr>
                <w:noProof/>
                <w:webHidden/>
              </w:rPr>
              <w:t>38</w:t>
            </w:r>
            <w:r>
              <w:rPr>
                <w:noProof/>
                <w:webHidden/>
              </w:rPr>
              <w:fldChar w:fldCharType="end"/>
            </w:r>
          </w:hyperlink>
        </w:p>
        <w:p w14:paraId="2449CA3E" w14:textId="3AAFCF9D" w:rsidR="00F35C0D" w:rsidRDefault="00F35C0D" w:rsidP="00F35C0D">
          <w:pPr>
            <w:pStyle w:val="TOC2"/>
            <w:tabs>
              <w:tab w:val="left" w:pos="1100"/>
              <w:tab w:val="right" w:leader="dot" w:pos="9016"/>
            </w:tabs>
            <w:rPr>
              <w:rFonts w:eastAsiaTheme="minorEastAsia"/>
              <w:noProof/>
              <w:lang w:eastAsia="en-GB"/>
            </w:rPr>
          </w:pPr>
          <w:hyperlink w:anchor="_Toc519088584" w:history="1">
            <w:r w:rsidRPr="00AF48AE">
              <w:rPr>
                <w:rStyle w:val="Hyperlink"/>
                <w:noProof/>
              </w:rPr>
              <w:t>3.9.6</w:t>
            </w:r>
            <w:r>
              <w:rPr>
                <w:rFonts w:eastAsiaTheme="minorEastAsia"/>
                <w:noProof/>
                <w:lang w:eastAsia="en-GB"/>
              </w:rPr>
              <w:tab/>
            </w:r>
            <w:r w:rsidRPr="00AF48AE">
              <w:rPr>
                <w:rStyle w:val="Hyperlink"/>
                <w:noProof/>
              </w:rPr>
              <w:t>Alcohol and drugs – hospital admissions 11-25 years</w:t>
            </w:r>
            <w:r>
              <w:rPr>
                <w:noProof/>
                <w:webHidden/>
              </w:rPr>
              <w:tab/>
            </w:r>
            <w:r>
              <w:rPr>
                <w:noProof/>
                <w:webHidden/>
              </w:rPr>
              <w:fldChar w:fldCharType="begin"/>
            </w:r>
            <w:r>
              <w:rPr>
                <w:noProof/>
                <w:webHidden/>
              </w:rPr>
              <w:instrText xml:space="preserve"> PAGEREF _Toc519088584 \h </w:instrText>
            </w:r>
            <w:r>
              <w:rPr>
                <w:noProof/>
                <w:webHidden/>
              </w:rPr>
            </w:r>
            <w:r>
              <w:rPr>
                <w:noProof/>
                <w:webHidden/>
              </w:rPr>
              <w:fldChar w:fldCharType="separate"/>
            </w:r>
            <w:r w:rsidR="00175103">
              <w:rPr>
                <w:noProof/>
                <w:webHidden/>
              </w:rPr>
              <w:t>38</w:t>
            </w:r>
            <w:r>
              <w:rPr>
                <w:noProof/>
                <w:webHidden/>
              </w:rPr>
              <w:fldChar w:fldCharType="end"/>
            </w:r>
          </w:hyperlink>
        </w:p>
        <w:p w14:paraId="3DE08504" w14:textId="2DC6F274" w:rsidR="00F35C0D" w:rsidRDefault="00F35C0D" w:rsidP="00F35C0D">
          <w:pPr>
            <w:pStyle w:val="TOC2"/>
            <w:tabs>
              <w:tab w:val="left" w:pos="1100"/>
              <w:tab w:val="right" w:leader="dot" w:pos="9016"/>
            </w:tabs>
            <w:rPr>
              <w:rFonts w:eastAsiaTheme="minorEastAsia"/>
              <w:noProof/>
              <w:lang w:eastAsia="en-GB"/>
            </w:rPr>
          </w:pPr>
          <w:hyperlink w:anchor="_Toc519088585" w:history="1">
            <w:r w:rsidRPr="00AF48AE">
              <w:rPr>
                <w:rStyle w:val="Hyperlink"/>
                <w:noProof/>
              </w:rPr>
              <w:t>3.9.7</w:t>
            </w:r>
            <w:r>
              <w:rPr>
                <w:rFonts w:eastAsiaTheme="minorEastAsia"/>
                <w:noProof/>
                <w:lang w:eastAsia="en-GB"/>
              </w:rPr>
              <w:tab/>
            </w:r>
            <w:r w:rsidRPr="00AF48AE">
              <w:rPr>
                <w:rStyle w:val="Hyperlink"/>
                <w:noProof/>
              </w:rPr>
              <w:t>Teenage pregnancies</w:t>
            </w:r>
            <w:r>
              <w:rPr>
                <w:noProof/>
                <w:webHidden/>
              </w:rPr>
              <w:tab/>
            </w:r>
            <w:r>
              <w:rPr>
                <w:noProof/>
                <w:webHidden/>
              </w:rPr>
              <w:fldChar w:fldCharType="begin"/>
            </w:r>
            <w:r>
              <w:rPr>
                <w:noProof/>
                <w:webHidden/>
              </w:rPr>
              <w:instrText xml:space="preserve"> PAGEREF _Toc519088585 \h </w:instrText>
            </w:r>
            <w:r>
              <w:rPr>
                <w:noProof/>
                <w:webHidden/>
              </w:rPr>
            </w:r>
            <w:r>
              <w:rPr>
                <w:noProof/>
                <w:webHidden/>
              </w:rPr>
              <w:fldChar w:fldCharType="separate"/>
            </w:r>
            <w:r w:rsidR="00175103">
              <w:rPr>
                <w:noProof/>
                <w:webHidden/>
              </w:rPr>
              <w:t>39</w:t>
            </w:r>
            <w:r>
              <w:rPr>
                <w:noProof/>
                <w:webHidden/>
              </w:rPr>
              <w:fldChar w:fldCharType="end"/>
            </w:r>
          </w:hyperlink>
        </w:p>
        <w:p w14:paraId="695BB1C8" w14:textId="51A2C1CB" w:rsidR="00F35C0D" w:rsidRDefault="00F35C0D" w:rsidP="00F35C0D">
          <w:pPr>
            <w:pStyle w:val="TOC2"/>
            <w:tabs>
              <w:tab w:val="left" w:pos="880"/>
              <w:tab w:val="right" w:leader="dot" w:pos="9016"/>
            </w:tabs>
            <w:rPr>
              <w:rFonts w:eastAsiaTheme="minorEastAsia"/>
              <w:noProof/>
              <w:lang w:eastAsia="en-GB"/>
            </w:rPr>
          </w:pPr>
          <w:hyperlink w:anchor="_Toc519088586" w:history="1">
            <w:r w:rsidRPr="00AF48AE">
              <w:rPr>
                <w:rStyle w:val="Hyperlink"/>
                <w:noProof/>
              </w:rPr>
              <w:t>3.10</w:t>
            </w:r>
            <w:r>
              <w:rPr>
                <w:rFonts w:eastAsiaTheme="minorEastAsia"/>
                <w:noProof/>
                <w:lang w:eastAsia="en-GB"/>
              </w:rPr>
              <w:tab/>
            </w:r>
            <w:r w:rsidRPr="00AF48AE">
              <w:rPr>
                <w:rStyle w:val="Hyperlink"/>
                <w:noProof/>
              </w:rPr>
              <w:t>Child poverty</w:t>
            </w:r>
            <w:r>
              <w:rPr>
                <w:noProof/>
                <w:webHidden/>
              </w:rPr>
              <w:tab/>
            </w:r>
            <w:r>
              <w:rPr>
                <w:noProof/>
                <w:webHidden/>
              </w:rPr>
              <w:fldChar w:fldCharType="begin"/>
            </w:r>
            <w:r>
              <w:rPr>
                <w:noProof/>
                <w:webHidden/>
              </w:rPr>
              <w:instrText xml:space="preserve"> PAGEREF _Toc519088586 \h </w:instrText>
            </w:r>
            <w:r>
              <w:rPr>
                <w:noProof/>
                <w:webHidden/>
              </w:rPr>
            </w:r>
            <w:r>
              <w:rPr>
                <w:noProof/>
                <w:webHidden/>
              </w:rPr>
              <w:fldChar w:fldCharType="separate"/>
            </w:r>
            <w:r w:rsidR="00175103">
              <w:rPr>
                <w:noProof/>
                <w:webHidden/>
              </w:rPr>
              <w:t>40</w:t>
            </w:r>
            <w:r>
              <w:rPr>
                <w:noProof/>
                <w:webHidden/>
              </w:rPr>
              <w:fldChar w:fldCharType="end"/>
            </w:r>
          </w:hyperlink>
        </w:p>
        <w:p w14:paraId="7DC042DC" w14:textId="29D25E76" w:rsidR="00F35C0D" w:rsidRDefault="00F35C0D" w:rsidP="00F35C0D">
          <w:pPr>
            <w:pStyle w:val="TOC2"/>
            <w:tabs>
              <w:tab w:val="left" w:pos="880"/>
              <w:tab w:val="right" w:leader="dot" w:pos="9016"/>
            </w:tabs>
            <w:rPr>
              <w:rFonts w:eastAsiaTheme="minorEastAsia"/>
              <w:noProof/>
              <w:lang w:eastAsia="en-GB"/>
            </w:rPr>
          </w:pPr>
          <w:hyperlink w:anchor="_Toc519088587" w:history="1">
            <w:r w:rsidRPr="00AF48AE">
              <w:rPr>
                <w:rStyle w:val="Hyperlink"/>
                <w:noProof/>
              </w:rPr>
              <w:t>3.11</w:t>
            </w:r>
            <w:r>
              <w:rPr>
                <w:rFonts w:eastAsiaTheme="minorEastAsia"/>
                <w:noProof/>
                <w:lang w:eastAsia="en-GB"/>
              </w:rPr>
              <w:tab/>
            </w:r>
            <w:r w:rsidRPr="00AF48AE">
              <w:rPr>
                <w:rStyle w:val="Hyperlink"/>
                <w:noProof/>
              </w:rPr>
              <w:t>Play and recreation</w:t>
            </w:r>
            <w:r>
              <w:rPr>
                <w:noProof/>
                <w:webHidden/>
              </w:rPr>
              <w:tab/>
            </w:r>
            <w:r>
              <w:rPr>
                <w:noProof/>
                <w:webHidden/>
              </w:rPr>
              <w:fldChar w:fldCharType="begin"/>
            </w:r>
            <w:r>
              <w:rPr>
                <w:noProof/>
                <w:webHidden/>
              </w:rPr>
              <w:instrText xml:space="preserve"> PAGEREF _Toc519088587 \h </w:instrText>
            </w:r>
            <w:r>
              <w:rPr>
                <w:noProof/>
                <w:webHidden/>
              </w:rPr>
            </w:r>
            <w:r>
              <w:rPr>
                <w:noProof/>
                <w:webHidden/>
              </w:rPr>
              <w:fldChar w:fldCharType="separate"/>
            </w:r>
            <w:r w:rsidR="00175103">
              <w:rPr>
                <w:noProof/>
                <w:webHidden/>
              </w:rPr>
              <w:t>41</w:t>
            </w:r>
            <w:r>
              <w:rPr>
                <w:noProof/>
                <w:webHidden/>
              </w:rPr>
              <w:fldChar w:fldCharType="end"/>
            </w:r>
          </w:hyperlink>
        </w:p>
        <w:p w14:paraId="53D1DFC4" w14:textId="451266A6" w:rsidR="00F35C0D" w:rsidRDefault="00F35C0D" w:rsidP="00F35C0D">
          <w:pPr>
            <w:pStyle w:val="TOC1"/>
            <w:tabs>
              <w:tab w:val="left" w:pos="440"/>
              <w:tab w:val="right" w:leader="dot" w:pos="9016"/>
            </w:tabs>
            <w:rPr>
              <w:rFonts w:eastAsiaTheme="minorEastAsia"/>
              <w:noProof/>
              <w:lang w:eastAsia="en-GB"/>
            </w:rPr>
          </w:pPr>
          <w:hyperlink w:anchor="_Toc519088588" w:history="1">
            <w:r w:rsidRPr="00AF48AE">
              <w:rPr>
                <w:rStyle w:val="Hyperlink"/>
                <w:noProof/>
              </w:rPr>
              <w:t>4.</w:t>
            </w:r>
            <w:r>
              <w:rPr>
                <w:rFonts w:eastAsiaTheme="minorEastAsia"/>
                <w:noProof/>
                <w:lang w:eastAsia="en-GB"/>
              </w:rPr>
              <w:tab/>
            </w:r>
            <w:r w:rsidRPr="00F35C0D">
              <w:rPr>
                <w:rStyle w:val="Hyperlink"/>
                <w:b/>
                <w:noProof/>
                <w:color w:val="CC0066"/>
              </w:rPr>
              <w:t>Adults</w:t>
            </w:r>
            <w:r>
              <w:rPr>
                <w:noProof/>
                <w:webHidden/>
              </w:rPr>
              <w:tab/>
            </w:r>
            <w:r>
              <w:rPr>
                <w:noProof/>
                <w:webHidden/>
              </w:rPr>
              <w:fldChar w:fldCharType="begin"/>
            </w:r>
            <w:r>
              <w:rPr>
                <w:noProof/>
                <w:webHidden/>
              </w:rPr>
              <w:instrText xml:space="preserve"> PAGEREF _Toc519088588 \h </w:instrText>
            </w:r>
            <w:r>
              <w:rPr>
                <w:noProof/>
                <w:webHidden/>
              </w:rPr>
            </w:r>
            <w:r>
              <w:rPr>
                <w:noProof/>
                <w:webHidden/>
              </w:rPr>
              <w:fldChar w:fldCharType="separate"/>
            </w:r>
            <w:r w:rsidR="00175103">
              <w:rPr>
                <w:noProof/>
                <w:webHidden/>
              </w:rPr>
              <w:t>42</w:t>
            </w:r>
            <w:r>
              <w:rPr>
                <w:noProof/>
                <w:webHidden/>
              </w:rPr>
              <w:fldChar w:fldCharType="end"/>
            </w:r>
          </w:hyperlink>
        </w:p>
        <w:p w14:paraId="35824722" w14:textId="7E1CEE59" w:rsidR="00F35C0D" w:rsidRDefault="00F35C0D" w:rsidP="00F35C0D">
          <w:pPr>
            <w:pStyle w:val="TOC2"/>
            <w:tabs>
              <w:tab w:val="left" w:pos="880"/>
              <w:tab w:val="right" w:leader="dot" w:pos="9016"/>
            </w:tabs>
            <w:rPr>
              <w:rFonts w:eastAsiaTheme="minorEastAsia"/>
              <w:noProof/>
              <w:lang w:eastAsia="en-GB"/>
            </w:rPr>
          </w:pPr>
          <w:hyperlink w:anchor="_Toc519088589" w:history="1">
            <w:r w:rsidRPr="00AF48AE">
              <w:rPr>
                <w:rStyle w:val="Hyperlink"/>
                <w:noProof/>
              </w:rPr>
              <w:t>4.1</w:t>
            </w:r>
            <w:r>
              <w:rPr>
                <w:rFonts w:eastAsiaTheme="minorEastAsia"/>
                <w:noProof/>
                <w:lang w:eastAsia="en-GB"/>
              </w:rPr>
              <w:tab/>
            </w:r>
            <w:r w:rsidRPr="00AF48AE">
              <w:rPr>
                <w:rStyle w:val="Hyperlink"/>
                <w:noProof/>
              </w:rPr>
              <w:t>Health behaviours</w:t>
            </w:r>
            <w:r>
              <w:rPr>
                <w:noProof/>
                <w:webHidden/>
              </w:rPr>
              <w:tab/>
            </w:r>
            <w:r>
              <w:rPr>
                <w:noProof/>
                <w:webHidden/>
              </w:rPr>
              <w:fldChar w:fldCharType="begin"/>
            </w:r>
            <w:r>
              <w:rPr>
                <w:noProof/>
                <w:webHidden/>
              </w:rPr>
              <w:instrText xml:space="preserve"> PAGEREF _Toc519088589 \h </w:instrText>
            </w:r>
            <w:r>
              <w:rPr>
                <w:noProof/>
                <w:webHidden/>
              </w:rPr>
            </w:r>
            <w:r>
              <w:rPr>
                <w:noProof/>
                <w:webHidden/>
              </w:rPr>
              <w:fldChar w:fldCharType="separate"/>
            </w:r>
            <w:r w:rsidR="00175103">
              <w:rPr>
                <w:noProof/>
                <w:webHidden/>
              </w:rPr>
              <w:t>42</w:t>
            </w:r>
            <w:r>
              <w:rPr>
                <w:noProof/>
                <w:webHidden/>
              </w:rPr>
              <w:fldChar w:fldCharType="end"/>
            </w:r>
          </w:hyperlink>
        </w:p>
        <w:p w14:paraId="61EFB087" w14:textId="4F61EFD3" w:rsidR="00F35C0D" w:rsidRDefault="00F35C0D" w:rsidP="00F35C0D">
          <w:pPr>
            <w:pStyle w:val="TOC2"/>
            <w:tabs>
              <w:tab w:val="left" w:pos="1100"/>
              <w:tab w:val="right" w:leader="dot" w:pos="9016"/>
            </w:tabs>
            <w:rPr>
              <w:rFonts w:eastAsiaTheme="minorEastAsia"/>
              <w:noProof/>
              <w:lang w:eastAsia="en-GB"/>
            </w:rPr>
          </w:pPr>
          <w:hyperlink w:anchor="_Toc519088590" w:history="1">
            <w:r w:rsidRPr="00AF48AE">
              <w:rPr>
                <w:rStyle w:val="Hyperlink"/>
                <w:noProof/>
              </w:rPr>
              <w:t>4.1.1</w:t>
            </w:r>
            <w:r>
              <w:rPr>
                <w:rFonts w:eastAsiaTheme="minorEastAsia"/>
                <w:noProof/>
                <w:lang w:eastAsia="en-GB"/>
              </w:rPr>
              <w:tab/>
            </w:r>
            <w:r w:rsidRPr="00AF48AE">
              <w:rPr>
                <w:rStyle w:val="Hyperlink"/>
                <w:noProof/>
              </w:rPr>
              <w:t>Smoking</w:t>
            </w:r>
            <w:r>
              <w:rPr>
                <w:noProof/>
                <w:webHidden/>
              </w:rPr>
              <w:tab/>
            </w:r>
            <w:r>
              <w:rPr>
                <w:noProof/>
                <w:webHidden/>
              </w:rPr>
              <w:fldChar w:fldCharType="begin"/>
            </w:r>
            <w:r>
              <w:rPr>
                <w:noProof/>
                <w:webHidden/>
              </w:rPr>
              <w:instrText xml:space="preserve"> PAGEREF _Toc519088590 \h </w:instrText>
            </w:r>
            <w:r>
              <w:rPr>
                <w:noProof/>
                <w:webHidden/>
              </w:rPr>
            </w:r>
            <w:r>
              <w:rPr>
                <w:noProof/>
                <w:webHidden/>
              </w:rPr>
              <w:fldChar w:fldCharType="separate"/>
            </w:r>
            <w:r w:rsidR="00175103">
              <w:rPr>
                <w:noProof/>
                <w:webHidden/>
              </w:rPr>
              <w:t>42</w:t>
            </w:r>
            <w:r>
              <w:rPr>
                <w:noProof/>
                <w:webHidden/>
              </w:rPr>
              <w:fldChar w:fldCharType="end"/>
            </w:r>
          </w:hyperlink>
        </w:p>
        <w:p w14:paraId="43540854" w14:textId="08FB7518" w:rsidR="00F35C0D" w:rsidRDefault="00F35C0D" w:rsidP="00F35C0D">
          <w:pPr>
            <w:pStyle w:val="TOC2"/>
            <w:tabs>
              <w:tab w:val="left" w:pos="1100"/>
              <w:tab w:val="right" w:leader="dot" w:pos="9016"/>
            </w:tabs>
            <w:rPr>
              <w:rFonts w:eastAsiaTheme="minorEastAsia"/>
              <w:noProof/>
              <w:lang w:eastAsia="en-GB"/>
            </w:rPr>
          </w:pPr>
          <w:hyperlink w:anchor="_Toc519088591" w:history="1">
            <w:r w:rsidRPr="00AF48AE">
              <w:rPr>
                <w:rStyle w:val="Hyperlink"/>
                <w:noProof/>
              </w:rPr>
              <w:t>4.1.2</w:t>
            </w:r>
            <w:r>
              <w:rPr>
                <w:rFonts w:eastAsiaTheme="minorEastAsia"/>
                <w:noProof/>
                <w:lang w:eastAsia="en-GB"/>
              </w:rPr>
              <w:tab/>
            </w:r>
            <w:r w:rsidRPr="00AF48AE">
              <w:rPr>
                <w:rStyle w:val="Hyperlink"/>
                <w:noProof/>
              </w:rPr>
              <w:t>Alcohol</w:t>
            </w:r>
            <w:r>
              <w:rPr>
                <w:noProof/>
                <w:webHidden/>
              </w:rPr>
              <w:tab/>
            </w:r>
            <w:r>
              <w:rPr>
                <w:noProof/>
                <w:webHidden/>
              </w:rPr>
              <w:fldChar w:fldCharType="begin"/>
            </w:r>
            <w:r>
              <w:rPr>
                <w:noProof/>
                <w:webHidden/>
              </w:rPr>
              <w:instrText xml:space="preserve"> PAGEREF _Toc519088591 \h </w:instrText>
            </w:r>
            <w:r>
              <w:rPr>
                <w:noProof/>
                <w:webHidden/>
              </w:rPr>
            </w:r>
            <w:r>
              <w:rPr>
                <w:noProof/>
                <w:webHidden/>
              </w:rPr>
              <w:fldChar w:fldCharType="separate"/>
            </w:r>
            <w:r w:rsidR="00175103">
              <w:rPr>
                <w:noProof/>
                <w:webHidden/>
              </w:rPr>
              <w:t>42</w:t>
            </w:r>
            <w:r>
              <w:rPr>
                <w:noProof/>
                <w:webHidden/>
              </w:rPr>
              <w:fldChar w:fldCharType="end"/>
            </w:r>
          </w:hyperlink>
        </w:p>
        <w:p w14:paraId="09D05DD4" w14:textId="56D322F5" w:rsidR="00F35C0D" w:rsidRDefault="00F35C0D" w:rsidP="00F35C0D">
          <w:pPr>
            <w:pStyle w:val="TOC2"/>
            <w:tabs>
              <w:tab w:val="left" w:pos="1100"/>
              <w:tab w:val="right" w:leader="dot" w:pos="9016"/>
            </w:tabs>
            <w:rPr>
              <w:rFonts w:eastAsiaTheme="minorEastAsia"/>
              <w:noProof/>
              <w:lang w:eastAsia="en-GB"/>
            </w:rPr>
          </w:pPr>
          <w:hyperlink w:anchor="_Toc519088592" w:history="1">
            <w:r w:rsidRPr="00AF48AE">
              <w:rPr>
                <w:rStyle w:val="Hyperlink"/>
                <w:noProof/>
              </w:rPr>
              <w:t>4.1.3</w:t>
            </w:r>
            <w:r>
              <w:rPr>
                <w:rFonts w:eastAsiaTheme="minorEastAsia"/>
                <w:noProof/>
                <w:lang w:eastAsia="en-GB"/>
              </w:rPr>
              <w:tab/>
            </w:r>
            <w:r w:rsidRPr="00AF48AE">
              <w:rPr>
                <w:rStyle w:val="Hyperlink"/>
                <w:noProof/>
              </w:rPr>
              <w:t>Drug use</w:t>
            </w:r>
            <w:r>
              <w:rPr>
                <w:noProof/>
                <w:webHidden/>
              </w:rPr>
              <w:tab/>
            </w:r>
            <w:r>
              <w:rPr>
                <w:noProof/>
                <w:webHidden/>
              </w:rPr>
              <w:fldChar w:fldCharType="begin"/>
            </w:r>
            <w:r>
              <w:rPr>
                <w:noProof/>
                <w:webHidden/>
              </w:rPr>
              <w:instrText xml:space="preserve"> PAGEREF _Toc519088592 \h </w:instrText>
            </w:r>
            <w:r>
              <w:rPr>
                <w:noProof/>
                <w:webHidden/>
              </w:rPr>
            </w:r>
            <w:r>
              <w:rPr>
                <w:noProof/>
                <w:webHidden/>
              </w:rPr>
              <w:fldChar w:fldCharType="separate"/>
            </w:r>
            <w:r w:rsidR="00175103">
              <w:rPr>
                <w:noProof/>
                <w:webHidden/>
              </w:rPr>
              <w:t>45</w:t>
            </w:r>
            <w:r>
              <w:rPr>
                <w:noProof/>
                <w:webHidden/>
              </w:rPr>
              <w:fldChar w:fldCharType="end"/>
            </w:r>
          </w:hyperlink>
        </w:p>
        <w:p w14:paraId="19AC434B" w14:textId="4562049E" w:rsidR="00F35C0D" w:rsidRDefault="00F35C0D" w:rsidP="00F35C0D">
          <w:pPr>
            <w:pStyle w:val="TOC2"/>
            <w:tabs>
              <w:tab w:val="left" w:pos="1100"/>
              <w:tab w:val="right" w:leader="dot" w:pos="9016"/>
            </w:tabs>
            <w:rPr>
              <w:rFonts w:eastAsiaTheme="minorEastAsia"/>
              <w:noProof/>
              <w:lang w:eastAsia="en-GB"/>
            </w:rPr>
          </w:pPr>
          <w:hyperlink w:anchor="_Toc519088593" w:history="1">
            <w:r w:rsidRPr="00AF48AE">
              <w:rPr>
                <w:rStyle w:val="Hyperlink"/>
                <w:noProof/>
              </w:rPr>
              <w:t>4.1.4</w:t>
            </w:r>
            <w:r>
              <w:rPr>
                <w:rFonts w:eastAsiaTheme="minorEastAsia"/>
                <w:noProof/>
                <w:lang w:eastAsia="en-GB"/>
              </w:rPr>
              <w:tab/>
            </w:r>
            <w:r w:rsidRPr="00AF48AE">
              <w:rPr>
                <w:rStyle w:val="Hyperlink"/>
                <w:noProof/>
              </w:rPr>
              <w:t>Lifestyle</w:t>
            </w:r>
            <w:r>
              <w:rPr>
                <w:noProof/>
                <w:webHidden/>
              </w:rPr>
              <w:tab/>
            </w:r>
            <w:r>
              <w:rPr>
                <w:noProof/>
                <w:webHidden/>
              </w:rPr>
              <w:fldChar w:fldCharType="begin"/>
            </w:r>
            <w:r>
              <w:rPr>
                <w:noProof/>
                <w:webHidden/>
              </w:rPr>
              <w:instrText xml:space="preserve"> PAGEREF _Toc519088593 \h </w:instrText>
            </w:r>
            <w:r>
              <w:rPr>
                <w:noProof/>
                <w:webHidden/>
              </w:rPr>
            </w:r>
            <w:r>
              <w:rPr>
                <w:noProof/>
                <w:webHidden/>
              </w:rPr>
              <w:fldChar w:fldCharType="separate"/>
            </w:r>
            <w:r w:rsidR="00175103">
              <w:rPr>
                <w:noProof/>
                <w:webHidden/>
              </w:rPr>
              <w:t>47</w:t>
            </w:r>
            <w:r>
              <w:rPr>
                <w:noProof/>
                <w:webHidden/>
              </w:rPr>
              <w:fldChar w:fldCharType="end"/>
            </w:r>
          </w:hyperlink>
        </w:p>
        <w:p w14:paraId="009E4D58" w14:textId="375698EF" w:rsidR="00F35C0D" w:rsidRDefault="00F35C0D" w:rsidP="00F35C0D">
          <w:pPr>
            <w:pStyle w:val="TOC2"/>
            <w:tabs>
              <w:tab w:val="left" w:pos="880"/>
              <w:tab w:val="right" w:leader="dot" w:pos="9016"/>
            </w:tabs>
            <w:rPr>
              <w:rFonts w:eastAsiaTheme="minorEastAsia"/>
              <w:noProof/>
              <w:lang w:eastAsia="en-GB"/>
            </w:rPr>
          </w:pPr>
          <w:hyperlink w:anchor="_Toc519088594" w:history="1">
            <w:r w:rsidRPr="00AF48AE">
              <w:rPr>
                <w:rStyle w:val="Hyperlink"/>
                <w:noProof/>
              </w:rPr>
              <w:t>4.2</w:t>
            </w:r>
            <w:r>
              <w:rPr>
                <w:rFonts w:eastAsiaTheme="minorEastAsia"/>
                <w:noProof/>
                <w:lang w:eastAsia="en-GB"/>
              </w:rPr>
              <w:tab/>
            </w:r>
            <w:r w:rsidRPr="00AF48AE">
              <w:rPr>
                <w:rStyle w:val="Hyperlink"/>
                <w:noProof/>
              </w:rPr>
              <w:t>Health</w:t>
            </w:r>
            <w:r>
              <w:rPr>
                <w:noProof/>
                <w:webHidden/>
              </w:rPr>
              <w:tab/>
            </w:r>
            <w:r>
              <w:rPr>
                <w:noProof/>
                <w:webHidden/>
              </w:rPr>
              <w:fldChar w:fldCharType="begin"/>
            </w:r>
            <w:r>
              <w:rPr>
                <w:noProof/>
                <w:webHidden/>
              </w:rPr>
              <w:instrText xml:space="preserve"> PAGEREF _Toc519088594 \h </w:instrText>
            </w:r>
            <w:r>
              <w:rPr>
                <w:noProof/>
                <w:webHidden/>
              </w:rPr>
            </w:r>
            <w:r>
              <w:rPr>
                <w:noProof/>
                <w:webHidden/>
              </w:rPr>
              <w:fldChar w:fldCharType="separate"/>
            </w:r>
            <w:r w:rsidR="00175103">
              <w:rPr>
                <w:noProof/>
                <w:webHidden/>
              </w:rPr>
              <w:t>49</w:t>
            </w:r>
            <w:r>
              <w:rPr>
                <w:noProof/>
                <w:webHidden/>
              </w:rPr>
              <w:fldChar w:fldCharType="end"/>
            </w:r>
          </w:hyperlink>
        </w:p>
        <w:p w14:paraId="5409EC2E" w14:textId="7EE09E71" w:rsidR="00F35C0D" w:rsidRDefault="00F35C0D" w:rsidP="00F35C0D">
          <w:pPr>
            <w:pStyle w:val="TOC2"/>
            <w:tabs>
              <w:tab w:val="left" w:pos="1100"/>
              <w:tab w:val="right" w:leader="dot" w:pos="9016"/>
            </w:tabs>
            <w:rPr>
              <w:rFonts w:eastAsiaTheme="minorEastAsia"/>
              <w:noProof/>
              <w:lang w:eastAsia="en-GB"/>
            </w:rPr>
          </w:pPr>
          <w:hyperlink w:anchor="_Toc519088595" w:history="1">
            <w:r w:rsidRPr="00AF48AE">
              <w:rPr>
                <w:rStyle w:val="Hyperlink"/>
                <w:noProof/>
              </w:rPr>
              <w:t>4.2.1</w:t>
            </w:r>
            <w:r>
              <w:rPr>
                <w:rFonts w:eastAsiaTheme="minorEastAsia"/>
                <w:noProof/>
                <w:lang w:eastAsia="en-GB"/>
              </w:rPr>
              <w:tab/>
            </w:r>
            <w:r w:rsidRPr="00AF48AE">
              <w:rPr>
                <w:rStyle w:val="Hyperlink"/>
                <w:noProof/>
              </w:rPr>
              <w:t>General health</w:t>
            </w:r>
            <w:r>
              <w:rPr>
                <w:noProof/>
                <w:webHidden/>
              </w:rPr>
              <w:tab/>
            </w:r>
            <w:r>
              <w:rPr>
                <w:noProof/>
                <w:webHidden/>
              </w:rPr>
              <w:fldChar w:fldCharType="begin"/>
            </w:r>
            <w:r>
              <w:rPr>
                <w:noProof/>
                <w:webHidden/>
              </w:rPr>
              <w:instrText xml:space="preserve"> PAGEREF _Toc519088595 \h </w:instrText>
            </w:r>
            <w:r>
              <w:rPr>
                <w:noProof/>
                <w:webHidden/>
              </w:rPr>
            </w:r>
            <w:r>
              <w:rPr>
                <w:noProof/>
                <w:webHidden/>
              </w:rPr>
              <w:fldChar w:fldCharType="separate"/>
            </w:r>
            <w:r w:rsidR="00175103">
              <w:rPr>
                <w:noProof/>
                <w:webHidden/>
              </w:rPr>
              <w:t>49</w:t>
            </w:r>
            <w:r>
              <w:rPr>
                <w:noProof/>
                <w:webHidden/>
              </w:rPr>
              <w:fldChar w:fldCharType="end"/>
            </w:r>
          </w:hyperlink>
        </w:p>
        <w:p w14:paraId="1BB677EE" w14:textId="3C8663F2" w:rsidR="00F35C0D" w:rsidRDefault="00F35C0D" w:rsidP="00F35C0D">
          <w:pPr>
            <w:pStyle w:val="TOC2"/>
            <w:tabs>
              <w:tab w:val="left" w:pos="1100"/>
              <w:tab w:val="right" w:leader="dot" w:pos="9016"/>
            </w:tabs>
            <w:rPr>
              <w:rFonts w:eastAsiaTheme="minorEastAsia"/>
              <w:noProof/>
              <w:lang w:eastAsia="en-GB"/>
            </w:rPr>
          </w:pPr>
          <w:hyperlink w:anchor="_Toc519088596" w:history="1">
            <w:r w:rsidRPr="00AF48AE">
              <w:rPr>
                <w:rStyle w:val="Hyperlink"/>
                <w:noProof/>
              </w:rPr>
              <w:t>4.2.2</w:t>
            </w:r>
            <w:r>
              <w:rPr>
                <w:rFonts w:eastAsiaTheme="minorEastAsia"/>
                <w:noProof/>
                <w:lang w:eastAsia="en-GB"/>
              </w:rPr>
              <w:tab/>
            </w:r>
            <w:r w:rsidRPr="00AF48AE">
              <w:rPr>
                <w:rStyle w:val="Hyperlink"/>
                <w:noProof/>
              </w:rPr>
              <w:t>Mental health</w:t>
            </w:r>
            <w:r>
              <w:rPr>
                <w:noProof/>
                <w:webHidden/>
              </w:rPr>
              <w:tab/>
            </w:r>
            <w:r>
              <w:rPr>
                <w:noProof/>
                <w:webHidden/>
              </w:rPr>
              <w:fldChar w:fldCharType="begin"/>
            </w:r>
            <w:r>
              <w:rPr>
                <w:noProof/>
                <w:webHidden/>
              </w:rPr>
              <w:instrText xml:space="preserve"> PAGEREF _Toc519088596 \h </w:instrText>
            </w:r>
            <w:r>
              <w:rPr>
                <w:noProof/>
                <w:webHidden/>
              </w:rPr>
            </w:r>
            <w:r>
              <w:rPr>
                <w:noProof/>
                <w:webHidden/>
              </w:rPr>
              <w:fldChar w:fldCharType="separate"/>
            </w:r>
            <w:r w:rsidR="00175103">
              <w:rPr>
                <w:noProof/>
                <w:webHidden/>
              </w:rPr>
              <w:t>49</w:t>
            </w:r>
            <w:r>
              <w:rPr>
                <w:noProof/>
                <w:webHidden/>
              </w:rPr>
              <w:fldChar w:fldCharType="end"/>
            </w:r>
          </w:hyperlink>
        </w:p>
        <w:p w14:paraId="4223B4E3" w14:textId="5F182B39" w:rsidR="00F35C0D" w:rsidRDefault="00F35C0D" w:rsidP="00F35C0D">
          <w:pPr>
            <w:pStyle w:val="TOC2"/>
            <w:tabs>
              <w:tab w:val="left" w:pos="1100"/>
              <w:tab w:val="right" w:leader="dot" w:pos="9016"/>
            </w:tabs>
            <w:rPr>
              <w:rFonts w:eastAsiaTheme="minorEastAsia"/>
              <w:noProof/>
              <w:lang w:eastAsia="en-GB"/>
            </w:rPr>
          </w:pPr>
          <w:hyperlink w:anchor="_Toc519088597" w:history="1">
            <w:r w:rsidRPr="00AF48AE">
              <w:rPr>
                <w:rStyle w:val="Hyperlink"/>
                <w:noProof/>
              </w:rPr>
              <w:t>4.2.3</w:t>
            </w:r>
            <w:r>
              <w:rPr>
                <w:rFonts w:eastAsiaTheme="minorEastAsia"/>
                <w:noProof/>
                <w:lang w:eastAsia="en-GB"/>
              </w:rPr>
              <w:tab/>
            </w:r>
            <w:r w:rsidRPr="00AF48AE">
              <w:rPr>
                <w:rStyle w:val="Hyperlink"/>
                <w:noProof/>
              </w:rPr>
              <w:t>Key diseases</w:t>
            </w:r>
            <w:r>
              <w:rPr>
                <w:noProof/>
                <w:webHidden/>
              </w:rPr>
              <w:tab/>
            </w:r>
            <w:r>
              <w:rPr>
                <w:noProof/>
                <w:webHidden/>
              </w:rPr>
              <w:fldChar w:fldCharType="begin"/>
            </w:r>
            <w:r>
              <w:rPr>
                <w:noProof/>
                <w:webHidden/>
              </w:rPr>
              <w:instrText xml:space="preserve"> PAGEREF _Toc519088597 \h </w:instrText>
            </w:r>
            <w:r>
              <w:rPr>
                <w:noProof/>
                <w:webHidden/>
              </w:rPr>
            </w:r>
            <w:r>
              <w:rPr>
                <w:noProof/>
                <w:webHidden/>
              </w:rPr>
              <w:fldChar w:fldCharType="separate"/>
            </w:r>
            <w:r w:rsidR="00175103">
              <w:rPr>
                <w:noProof/>
                <w:webHidden/>
              </w:rPr>
              <w:t>53</w:t>
            </w:r>
            <w:r>
              <w:rPr>
                <w:noProof/>
                <w:webHidden/>
              </w:rPr>
              <w:fldChar w:fldCharType="end"/>
            </w:r>
          </w:hyperlink>
        </w:p>
        <w:p w14:paraId="6EDF309E" w14:textId="3A3D8C92" w:rsidR="00F35C0D" w:rsidRDefault="00F35C0D" w:rsidP="00F35C0D">
          <w:pPr>
            <w:pStyle w:val="TOC2"/>
            <w:tabs>
              <w:tab w:val="left" w:pos="1100"/>
              <w:tab w:val="right" w:leader="dot" w:pos="9016"/>
            </w:tabs>
            <w:rPr>
              <w:rFonts w:eastAsiaTheme="minorEastAsia"/>
              <w:noProof/>
              <w:lang w:eastAsia="en-GB"/>
            </w:rPr>
          </w:pPr>
          <w:hyperlink w:anchor="_Toc519088598" w:history="1">
            <w:r w:rsidRPr="00AF48AE">
              <w:rPr>
                <w:rStyle w:val="Hyperlink"/>
                <w:noProof/>
              </w:rPr>
              <w:t>4.2.4</w:t>
            </w:r>
            <w:r>
              <w:rPr>
                <w:rFonts w:eastAsiaTheme="minorEastAsia"/>
                <w:noProof/>
                <w:lang w:eastAsia="en-GB"/>
              </w:rPr>
              <w:tab/>
            </w:r>
            <w:r w:rsidRPr="00AF48AE">
              <w:rPr>
                <w:rStyle w:val="Hyperlink"/>
                <w:noProof/>
              </w:rPr>
              <w:t>Hospitalisations</w:t>
            </w:r>
            <w:r>
              <w:rPr>
                <w:noProof/>
                <w:webHidden/>
              </w:rPr>
              <w:tab/>
            </w:r>
            <w:r>
              <w:rPr>
                <w:noProof/>
                <w:webHidden/>
              </w:rPr>
              <w:fldChar w:fldCharType="begin"/>
            </w:r>
            <w:r>
              <w:rPr>
                <w:noProof/>
                <w:webHidden/>
              </w:rPr>
              <w:instrText xml:space="preserve"> PAGEREF _Toc519088598 \h </w:instrText>
            </w:r>
            <w:r>
              <w:rPr>
                <w:noProof/>
                <w:webHidden/>
              </w:rPr>
            </w:r>
            <w:r>
              <w:rPr>
                <w:noProof/>
                <w:webHidden/>
              </w:rPr>
              <w:fldChar w:fldCharType="separate"/>
            </w:r>
            <w:r w:rsidR="00175103">
              <w:rPr>
                <w:noProof/>
                <w:webHidden/>
              </w:rPr>
              <w:t>56</w:t>
            </w:r>
            <w:r>
              <w:rPr>
                <w:noProof/>
                <w:webHidden/>
              </w:rPr>
              <w:fldChar w:fldCharType="end"/>
            </w:r>
          </w:hyperlink>
        </w:p>
        <w:p w14:paraId="03591A88" w14:textId="3942D383" w:rsidR="00F35C0D" w:rsidRDefault="00F35C0D" w:rsidP="00F35C0D">
          <w:pPr>
            <w:pStyle w:val="TOC2"/>
            <w:tabs>
              <w:tab w:val="left" w:pos="880"/>
              <w:tab w:val="right" w:leader="dot" w:pos="9016"/>
            </w:tabs>
            <w:rPr>
              <w:rFonts w:eastAsiaTheme="minorEastAsia"/>
              <w:noProof/>
              <w:lang w:eastAsia="en-GB"/>
            </w:rPr>
          </w:pPr>
          <w:hyperlink w:anchor="_Toc519088599" w:history="1">
            <w:r w:rsidRPr="00AF48AE">
              <w:rPr>
                <w:rStyle w:val="Hyperlink"/>
                <w:noProof/>
              </w:rPr>
              <w:t>4.3</w:t>
            </w:r>
            <w:r>
              <w:rPr>
                <w:rFonts w:eastAsiaTheme="minorEastAsia"/>
                <w:noProof/>
                <w:lang w:eastAsia="en-GB"/>
              </w:rPr>
              <w:tab/>
            </w:r>
            <w:r w:rsidRPr="00AF48AE">
              <w:rPr>
                <w:rStyle w:val="Hyperlink"/>
                <w:noProof/>
              </w:rPr>
              <w:t>Wellbeing</w:t>
            </w:r>
            <w:r>
              <w:rPr>
                <w:noProof/>
                <w:webHidden/>
              </w:rPr>
              <w:tab/>
            </w:r>
            <w:r>
              <w:rPr>
                <w:noProof/>
                <w:webHidden/>
              </w:rPr>
              <w:fldChar w:fldCharType="begin"/>
            </w:r>
            <w:r>
              <w:rPr>
                <w:noProof/>
                <w:webHidden/>
              </w:rPr>
              <w:instrText xml:space="preserve"> PAGEREF _Toc519088599 \h </w:instrText>
            </w:r>
            <w:r>
              <w:rPr>
                <w:noProof/>
                <w:webHidden/>
              </w:rPr>
            </w:r>
            <w:r>
              <w:rPr>
                <w:noProof/>
                <w:webHidden/>
              </w:rPr>
              <w:fldChar w:fldCharType="separate"/>
            </w:r>
            <w:r w:rsidR="00175103">
              <w:rPr>
                <w:noProof/>
                <w:webHidden/>
              </w:rPr>
              <w:t>58</w:t>
            </w:r>
            <w:r>
              <w:rPr>
                <w:noProof/>
                <w:webHidden/>
              </w:rPr>
              <w:fldChar w:fldCharType="end"/>
            </w:r>
          </w:hyperlink>
        </w:p>
        <w:p w14:paraId="0C5B9413" w14:textId="7E3A20D9" w:rsidR="00F35C0D" w:rsidRDefault="00F35C0D" w:rsidP="00F35C0D">
          <w:pPr>
            <w:pStyle w:val="TOC2"/>
            <w:tabs>
              <w:tab w:val="left" w:pos="880"/>
              <w:tab w:val="right" w:leader="dot" w:pos="9016"/>
            </w:tabs>
            <w:rPr>
              <w:rFonts w:eastAsiaTheme="minorEastAsia"/>
              <w:noProof/>
              <w:lang w:eastAsia="en-GB"/>
            </w:rPr>
          </w:pPr>
          <w:hyperlink w:anchor="_Toc519088600" w:history="1">
            <w:r w:rsidRPr="00AF48AE">
              <w:rPr>
                <w:rStyle w:val="Hyperlink"/>
                <w:noProof/>
              </w:rPr>
              <w:t>4.4</w:t>
            </w:r>
            <w:r>
              <w:rPr>
                <w:rFonts w:eastAsiaTheme="minorEastAsia"/>
                <w:noProof/>
                <w:lang w:eastAsia="en-GB"/>
              </w:rPr>
              <w:tab/>
            </w:r>
            <w:r w:rsidRPr="00AF48AE">
              <w:rPr>
                <w:rStyle w:val="Hyperlink"/>
                <w:noProof/>
              </w:rPr>
              <w:t>Social care</w:t>
            </w:r>
            <w:r>
              <w:rPr>
                <w:noProof/>
                <w:webHidden/>
              </w:rPr>
              <w:tab/>
            </w:r>
            <w:r>
              <w:rPr>
                <w:noProof/>
                <w:webHidden/>
              </w:rPr>
              <w:fldChar w:fldCharType="begin"/>
            </w:r>
            <w:r>
              <w:rPr>
                <w:noProof/>
                <w:webHidden/>
              </w:rPr>
              <w:instrText xml:space="preserve"> PAGEREF _Toc519088600 \h </w:instrText>
            </w:r>
            <w:r>
              <w:rPr>
                <w:noProof/>
                <w:webHidden/>
              </w:rPr>
            </w:r>
            <w:r>
              <w:rPr>
                <w:noProof/>
                <w:webHidden/>
              </w:rPr>
              <w:fldChar w:fldCharType="separate"/>
            </w:r>
            <w:r w:rsidR="00175103">
              <w:rPr>
                <w:noProof/>
                <w:webHidden/>
              </w:rPr>
              <w:t>58</w:t>
            </w:r>
            <w:r>
              <w:rPr>
                <w:noProof/>
                <w:webHidden/>
              </w:rPr>
              <w:fldChar w:fldCharType="end"/>
            </w:r>
          </w:hyperlink>
        </w:p>
        <w:p w14:paraId="304C4703" w14:textId="2139C05C" w:rsidR="00F35C0D" w:rsidRDefault="00F35C0D" w:rsidP="00F35C0D">
          <w:pPr>
            <w:pStyle w:val="TOC2"/>
            <w:tabs>
              <w:tab w:val="left" w:pos="880"/>
              <w:tab w:val="right" w:leader="dot" w:pos="9016"/>
            </w:tabs>
            <w:rPr>
              <w:rFonts w:eastAsiaTheme="minorEastAsia"/>
              <w:noProof/>
              <w:lang w:eastAsia="en-GB"/>
            </w:rPr>
          </w:pPr>
          <w:hyperlink w:anchor="_Toc519088601" w:history="1">
            <w:r w:rsidRPr="00AF48AE">
              <w:rPr>
                <w:rStyle w:val="Hyperlink"/>
                <w:noProof/>
              </w:rPr>
              <w:t>4.5</w:t>
            </w:r>
            <w:r>
              <w:rPr>
                <w:rFonts w:eastAsiaTheme="minorEastAsia"/>
                <w:noProof/>
                <w:lang w:eastAsia="en-GB"/>
              </w:rPr>
              <w:tab/>
            </w:r>
            <w:r w:rsidRPr="00AF48AE">
              <w:rPr>
                <w:rStyle w:val="Hyperlink"/>
                <w:noProof/>
              </w:rPr>
              <w:t>Groups with special needs</w:t>
            </w:r>
            <w:r>
              <w:rPr>
                <w:noProof/>
                <w:webHidden/>
              </w:rPr>
              <w:tab/>
            </w:r>
            <w:r>
              <w:rPr>
                <w:noProof/>
                <w:webHidden/>
              </w:rPr>
              <w:fldChar w:fldCharType="begin"/>
            </w:r>
            <w:r>
              <w:rPr>
                <w:noProof/>
                <w:webHidden/>
              </w:rPr>
              <w:instrText xml:space="preserve"> PAGEREF _Toc519088601 \h </w:instrText>
            </w:r>
            <w:r>
              <w:rPr>
                <w:noProof/>
                <w:webHidden/>
              </w:rPr>
            </w:r>
            <w:r>
              <w:rPr>
                <w:noProof/>
                <w:webHidden/>
              </w:rPr>
              <w:fldChar w:fldCharType="separate"/>
            </w:r>
            <w:r w:rsidR="00175103">
              <w:rPr>
                <w:noProof/>
                <w:webHidden/>
              </w:rPr>
              <w:t>59</w:t>
            </w:r>
            <w:r>
              <w:rPr>
                <w:noProof/>
                <w:webHidden/>
              </w:rPr>
              <w:fldChar w:fldCharType="end"/>
            </w:r>
          </w:hyperlink>
        </w:p>
        <w:p w14:paraId="794D1B13" w14:textId="607579DD" w:rsidR="00F35C0D" w:rsidRDefault="00F35C0D" w:rsidP="00F35C0D">
          <w:pPr>
            <w:pStyle w:val="TOC2"/>
            <w:tabs>
              <w:tab w:val="left" w:pos="1100"/>
              <w:tab w:val="right" w:leader="dot" w:pos="9016"/>
            </w:tabs>
            <w:rPr>
              <w:rFonts w:eastAsiaTheme="minorEastAsia"/>
              <w:noProof/>
              <w:lang w:eastAsia="en-GB"/>
            </w:rPr>
          </w:pPr>
          <w:hyperlink w:anchor="_Toc519088602" w:history="1">
            <w:r w:rsidRPr="00AF48AE">
              <w:rPr>
                <w:rStyle w:val="Hyperlink"/>
                <w:noProof/>
              </w:rPr>
              <w:t>4.5.1</w:t>
            </w:r>
            <w:r>
              <w:rPr>
                <w:rFonts w:eastAsiaTheme="minorEastAsia"/>
                <w:noProof/>
                <w:lang w:eastAsia="en-GB"/>
              </w:rPr>
              <w:tab/>
            </w:r>
            <w:r w:rsidRPr="00AF48AE">
              <w:rPr>
                <w:rStyle w:val="Hyperlink"/>
                <w:noProof/>
              </w:rPr>
              <w:t>Volunteering</w:t>
            </w:r>
            <w:r>
              <w:rPr>
                <w:noProof/>
                <w:webHidden/>
              </w:rPr>
              <w:tab/>
            </w:r>
            <w:r>
              <w:rPr>
                <w:noProof/>
                <w:webHidden/>
              </w:rPr>
              <w:fldChar w:fldCharType="begin"/>
            </w:r>
            <w:r>
              <w:rPr>
                <w:noProof/>
                <w:webHidden/>
              </w:rPr>
              <w:instrText xml:space="preserve"> PAGEREF _Toc519088602 \h </w:instrText>
            </w:r>
            <w:r>
              <w:rPr>
                <w:noProof/>
                <w:webHidden/>
              </w:rPr>
            </w:r>
            <w:r>
              <w:rPr>
                <w:noProof/>
                <w:webHidden/>
              </w:rPr>
              <w:fldChar w:fldCharType="separate"/>
            </w:r>
            <w:r w:rsidR="00175103">
              <w:rPr>
                <w:noProof/>
                <w:webHidden/>
              </w:rPr>
              <w:t>59</w:t>
            </w:r>
            <w:r>
              <w:rPr>
                <w:noProof/>
                <w:webHidden/>
              </w:rPr>
              <w:fldChar w:fldCharType="end"/>
            </w:r>
          </w:hyperlink>
        </w:p>
        <w:p w14:paraId="1E1491B4" w14:textId="0F10E92A" w:rsidR="00F35C0D" w:rsidRDefault="00F35C0D" w:rsidP="00F35C0D">
          <w:pPr>
            <w:pStyle w:val="TOC2"/>
            <w:tabs>
              <w:tab w:val="left" w:pos="1100"/>
              <w:tab w:val="right" w:leader="dot" w:pos="9016"/>
            </w:tabs>
            <w:rPr>
              <w:rFonts w:eastAsiaTheme="minorEastAsia"/>
              <w:noProof/>
              <w:lang w:eastAsia="en-GB"/>
            </w:rPr>
          </w:pPr>
          <w:hyperlink w:anchor="_Toc519088603" w:history="1">
            <w:r w:rsidRPr="00AF48AE">
              <w:rPr>
                <w:rStyle w:val="Hyperlink"/>
                <w:noProof/>
              </w:rPr>
              <w:t>4.5.2</w:t>
            </w:r>
            <w:r>
              <w:rPr>
                <w:rFonts w:eastAsiaTheme="minorEastAsia"/>
                <w:noProof/>
                <w:lang w:eastAsia="en-GB"/>
              </w:rPr>
              <w:tab/>
            </w:r>
            <w:r w:rsidRPr="00AF48AE">
              <w:rPr>
                <w:rStyle w:val="Hyperlink"/>
                <w:noProof/>
              </w:rPr>
              <w:t>Carers</w:t>
            </w:r>
            <w:r>
              <w:rPr>
                <w:noProof/>
                <w:webHidden/>
              </w:rPr>
              <w:tab/>
            </w:r>
            <w:r>
              <w:rPr>
                <w:noProof/>
                <w:webHidden/>
              </w:rPr>
              <w:fldChar w:fldCharType="begin"/>
            </w:r>
            <w:r>
              <w:rPr>
                <w:noProof/>
                <w:webHidden/>
              </w:rPr>
              <w:instrText xml:space="preserve"> PAGEREF _Toc519088603 \h </w:instrText>
            </w:r>
            <w:r>
              <w:rPr>
                <w:noProof/>
                <w:webHidden/>
              </w:rPr>
            </w:r>
            <w:r>
              <w:rPr>
                <w:noProof/>
                <w:webHidden/>
              </w:rPr>
              <w:fldChar w:fldCharType="separate"/>
            </w:r>
            <w:r w:rsidR="00175103">
              <w:rPr>
                <w:noProof/>
                <w:webHidden/>
              </w:rPr>
              <w:t>59</w:t>
            </w:r>
            <w:r>
              <w:rPr>
                <w:noProof/>
                <w:webHidden/>
              </w:rPr>
              <w:fldChar w:fldCharType="end"/>
            </w:r>
          </w:hyperlink>
        </w:p>
        <w:p w14:paraId="16266C27" w14:textId="6CEC33FD" w:rsidR="00F35C0D" w:rsidRDefault="00F35C0D" w:rsidP="00F35C0D">
          <w:pPr>
            <w:pStyle w:val="TOC2"/>
            <w:tabs>
              <w:tab w:val="left" w:pos="1100"/>
              <w:tab w:val="right" w:leader="dot" w:pos="9016"/>
            </w:tabs>
            <w:rPr>
              <w:noProof/>
            </w:rPr>
          </w:pPr>
          <w:hyperlink w:anchor="_Toc519088604" w:history="1">
            <w:r w:rsidRPr="00AF48AE">
              <w:rPr>
                <w:rStyle w:val="Hyperlink"/>
                <w:noProof/>
              </w:rPr>
              <w:t>4.5.3</w:t>
            </w:r>
            <w:r>
              <w:rPr>
                <w:rFonts w:eastAsiaTheme="minorEastAsia"/>
                <w:noProof/>
                <w:lang w:eastAsia="en-GB"/>
              </w:rPr>
              <w:tab/>
            </w:r>
            <w:r w:rsidRPr="00AF48AE">
              <w:rPr>
                <w:rStyle w:val="Hyperlink"/>
                <w:noProof/>
              </w:rPr>
              <w:t>Adult learners</w:t>
            </w:r>
            <w:r>
              <w:rPr>
                <w:noProof/>
                <w:webHidden/>
              </w:rPr>
              <w:tab/>
            </w:r>
            <w:r>
              <w:rPr>
                <w:noProof/>
                <w:webHidden/>
              </w:rPr>
              <w:fldChar w:fldCharType="begin"/>
            </w:r>
            <w:r>
              <w:rPr>
                <w:noProof/>
                <w:webHidden/>
              </w:rPr>
              <w:instrText xml:space="preserve"> PAGEREF _Toc519088604 \h </w:instrText>
            </w:r>
            <w:r>
              <w:rPr>
                <w:noProof/>
                <w:webHidden/>
              </w:rPr>
            </w:r>
            <w:r>
              <w:rPr>
                <w:noProof/>
                <w:webHidden/>
              </w:rPr>
              <w:fldChar w:fldCharType="separate"/>
            </w:r>
            <w:r w:rsidR="00175103">
              <w:rPr>
                <w:noProof/>
                <w:webHidden/>
              </w:rPr>
              <w:t>59</w:t>
            </w:r>
            <w:r>
              <w:rPr>
                <w:noProof/>
                <w:webHidden/>
              </w:rPr>
              <w:fldChar w:fldCharType="end"/>
            </w:r>
          </w:hyperlink>
        </w:p>
        <w:p w14:paraId="5B0FCBC3" w14:textId="77777777" w:rsidR="00F35C0D" w:rsidRDefault="00F35C0D" w:rsidP="00F35C0D"/>
        <w:p w14:paraId="0808EF81" w14:textId="77777777" w:rsidR="00F35C0D" w:rsidRPr="00AF77BB" w:rsidRDefault="00F35C0D" w:rsidP="00F35C0D">
          <w:pPr>
            <w:ind w:hanging="862"/>
            <w:rPr>
              <w:b/>
              <w:color w:val="00B050"/>
              <w:sz w:val="28"/>
              <w:szCs w:val="28"/>
            </w:rPr>
          </w:pPr>
          <w:r w:rsidRPr="00AF77BB">
            <w:rPr>
              <w:b/>
              <w:color w:val="00B050"/>
              <w:sz w:val="28"/>
              <w:szCs w:val="28"/>
            </w:rPr>
            <w:lastRenderedPageBreak/>
            <w:t>OUR PLACE</w:t>
          </w:r>
        </w:p>
        <w:p w14:paraId="59D8DE69" w14:textId="77777777" w:rsidR="00F35C0D" w:rsidRPr="00F35C0D" w:rsidRDefault="00F35C0D" w:rsidP="00F35C0D">
          <w:pPr>
            <w:rPr>
              <w:sz w:val="16"/>
              <w:szCs w:val="16"/>
            </w:rPr>
          </w:pPr>
        </w:p>
        <w:p w14:paraId="6FD944F9" w14:textId="7D1431F9" w:rsidR="00F35C0D" w:rsidRDefault="00F35C0D" w:rsidP="00F35C0D">
          <w:pPr>
            <w:pStyle w:val="TOC1"/>
            <w:tabs>
              <w:tab w:val="left" w:pos="440"/>
              <w:tab w:val="right" w:leader="dot" w:pos="9016"/>
            </w:tabs>
            <w:rPr>
              <w:rFonts w:eastAsiaTheme="minorEastAsia"/>
              <w:noProof/>
              <w:lang w:eastAsia="en-GB"/>
            </w:rPr>
          </w:pPr>
          <w:hyperlink w:anchor="_Toc519088605" w:history="1">
            <w:r w:rsidRPr="00F35C0D">
              <w:rPr>
                <w:rStyle w:val="Hyperlink"/>
                <w:b/>
                <w:noProof/>
                <w:color w:val="00B050"/>
              </w:rPr>
              <w:t>5.</w:t>
            </w:r>
            <w:r w:rsidRPr="00F35C0D">
              <w:rPr>
                <w:rFonts w:eastAsiaTheme="minorEastAsia"/>
                <w:b/>
                <w:noProof/>
                <w:color w:val="00B050"/>
                <w:lang w:eastAsia="en-GB"/>
              </w:rPr>
              <w:tab/>
            </w:r>
            <w:r w:rsidRPr="00F35C0D">
              <w:rPr>
                <w:rStyle w:val="Hyperlink"/>
                <w:b/>
                <w:noProof/>
                <w:color w:val="00B050"/>
              </w:rPr>
              <w:t>Place</w:t>
            </w:r>
            <w:r>
              <w:rPr>
                <w:noProof/>
                <w:webHidden/>
              </w:rPr>
              <w:tab/>
            </w:r>
            <w:r>
              <w:rPr>
                <w:noProof/>
                <w:webHidden/>
              </w:rPr>
              <w:fldChar w:fldCharType="begin"/>
            </w:r>
            <w:r>
              <w:rPr>
                <w:noProof/>
                <w:webHidden/>
              </w:rPr>
              <w:instrText xml:space="preserve"> PAGEREF _Toc519088605 \h </w:instrText>
            </w:r>
            <w:r>
              <w:rPr>
                <w:noProof/>
                <w:webHidden/>
              </w:rPr>
            </w:r>
            <w:r>
              <w:rPr>
                <w:noProof/>
                <w:webHidden/>
              </w:rPr>
              <w:fldChar w:fldCharType="separate"/>
            </w:r>
            <w:r w:rsidR="00175103">
              <w:rPr>
                <w:noProof/>
                <w:webHidden/>
              </w:rPr>
              <w:t>60</w:t>
            </w:r>
            <w:r>
              <w:rPr>
                <w:noProof/>
                <w:webHidden/>
              </w:rPr>
              <w:fldChar w:fldCharType="end"/>
            </w:r>
          </w:hyperlink>
        </w:p>
        <w:p w14:paraId="7D37F4B2" w14:textId="219F3F59" w:rsidR="00F35C0D" w:rsidRDefault="00F35C0D" w:rsidP="00F35C0D">
          <w:pPr>
            <w:pStyle w:val="TOC2"/>
            <w:tabs>
              <w:tab w:val="left" w:pos="880"/>
              <w:tab w:val="right" w:leader="dot" w:pos="9016"/>
            </w:tabs>
            <w:rPr>
              <w:rFonts w:eastAsiaTheme="minorEastAsia"/>
              <w:noProof/>
              <w:lang w:eastAsia="en-GB"/>
            </w:rPr>
          </w:pPr>
          <w:hyperlink w:anchor="_Toc519088606" w:history="1">
            <w:r w:rsidRPr="00AF48AE">
              <w:rPr>
                <w:rStyle w:val="Hyperlink"/>
                <w:noProof/>
              </w:rPr>
              <w:t>5.1</w:t>
            </w:r>
            <w:r>
              <w:rPr>
                <w:rFonts w:eastAsiaTheme="minorEastAsia"/>
                <w:noProof/>
                <w:lang w:eastAsia="en-GB"/>
              </w:rPr>
              <w:tab/>
            </w:r>
            <w:r w:rsidRPr="00AF48AE">
              <w:rPr>
                <w:rStyle w:val="Hyperlink"/>
                <w:noProof/>
              </w:rPr>
              <w:t>Geography of Aberdeen</w:t>
            </w:r>
            <w:r>
              <w:rPr>
                <w:noProof/>
                <w:webHidden/>
              </w:rPr>
              <w:tab/>
            </w:r>
            <w:r>
              <w:rPr>
                <w:noProof/>
                <w:webHidden/>
              </w:rPr>
              <w:fldChar w:fldCharType="begin"/>
            </w:r>
            <w:r>
              <w:rPr>
                <w:noProof/>
                <w:webHidden/>
              </w:rPr>
              <w:instrText xml:space="preserve"> PAGEREF _Toc519088606 \h </w:instrText>
            </w:r>
            <w:r>
              <w:rPr>
                <w:noProof/>
                <w:webHidden/>
              </w:rPr>
            </w:r>
            <w:r>
              <w:rPr>
                <w:noProof/>
                <w:webHidden/>
              </w:rPr>
              <w:fldChar w:fldCharType="separate"/>
            </w:r>
            <w:r w:rsidR="00175103">
              <w:rPr>
                <w:noProof/>
                <w:webHidden/>
              </w:rPr>
              <w:t>60</w:t>
            </w:r>
            <w:r>
              <w:rPr>
                <w:noProof/>
                <w:webHidden/>
              </w:rPr>
              <w:fldChar w:fldCharType="end"/>
            </w:r>
          </w:hyperlink>
        </w:p>
        <w:p w14:paraId="66B354C3" w14:textId="497FB300" w:rsidR="00F35C0D" w:rsidRDefault="00F35C0D" w:rsidP="00F35C0D">
          <w:pPr>
            <w:pStyle w:val="TOC2"/>
            <w:tabs>
              <w:tab w:val="left" w:pos="1100"/>
              <w:tab w:val="right" w:leader="dot" w:pos="9016"/>
            </w:tabs>
            <w:rPr>
              <w:rFonts w:eastAsiaTheme="minorEastAsia"/>
              <w:noProof/>
              <w:lang w:eastAsia="en-GB"/>
            </w:rPr>
          </w:pPr>
          <w:hyperlink w:anchor="_Toc519088607" w:history="1">
            <w:r w:rsidRPr="00AF48AE">
              <w:rPr>
                <w:rStyle w:val="Hyperlink"/>
                <w:noProof/>
              </w:rPr>
              <w:t>5.1.1</w:t>
            </w:r>
            <w:r>
              <w:rPr>
                <w:rFonts w:eastAsiaTheme="minorEastAsia"/>
                <w:noProof/>
                <w:lang w:eastAsia="en-GB"/>
              </w:rPr>
              <w:tab/>
            </w:r>
            <w:r w:rsidRPr="00AF48AE">
              <w:rPr>
                <w:rStyle w:val="Hyperlink"/>
                <w:noProof/>
              </w:rPr>
              <w:t>Communities</w:t>
            </w:r>
            <w:r>
              <w:rPr>
                <w:noProof/>
                <w:webHidden/>
              </w:rPr>
              <w:tab/>
            </w:r>
            <w:r>
              <w:rPr>
                <w:noProof/>
                <w:webHidden/>
              </w:rPr>
              <w:fldChar w:fldCharType="begin"/>
            </w:r>
            <w:r>
              <w:rPr>
                <w:noProof/>
                <w:webHidden/>
              </w:rPr>
              <w:instrText xml:space="preserve"> PAGEREF _Toc519088607 \h </w:instrText>
            </w:r>
            <w:r>
              <w:rPr>
                <w:noProof/>
                <w:webHidden/>
              </w:rPr>
            </w:r>
            <w:r>
              <w:rPr>
                <w:noProof/>
                <w:webHidden/>
              </w:rPr>
              <w:fldChar w:fldCharType="separate"/>
            </w:r>
            <w:r w:rsidR="00175103">
              <w:rPr>
                <w:noProof/>
                <w:webHidden/>
              </w:rPr>
              <w:t>60</w:t>
            </w:r>
            <w:r>
              <w:rPr>
                <w:noProof/>
                <w:webHidden/>
              </w:rPr>
              <w:fldChar w:fldCharType="end"/>
            </w:r>
          </w:hyperlink>
        </w:p>
        <w:p w14:paraId="08C79FAD" w14:textId="6108234F" w:rsidR="00F35C0D" w:rsidRDefault="00F35C0D" w:rsidP="00F35C0D">
          <w:pPr>
            <w:pStyle w:val="TOC2"/>
            <w:tabs>
              <w:tab w:val="left" w:pos="880"/>
              <w:tab w:val="right" w:leader="dot" w:pos="9016"/>
            </w:tabs>
            <w:rPr>
              <w:rFonts w:eastAsiaTheme="minorEastAsia"/>
              <w:noProof/>
              <w:lang w:eastAsia="en-GB"/>
            </w:rPr>
          </w:pPr>
          <w:hyperlink w:anchor="_Toc519088608" w:history="1">
            <w:r w:rsidRPr="00AF48AE">
              <w:rPr>
                <w:rStyle w:val="Hyperlink"/>
                <w:noProof/>
              </w:rPr>
              <w:t>5.2</w:t>
            </w:r>
            <w:r>
              <w:rPr>
                <w:rFonts w:eastAsiaTheme="minorEastAsia"/>
                <w:noProof/>
                <w:lang w:eastAsia="en-GB"/>
              </w:rPr>
              <w:tab/>
            </w:r>
            <w:r w:rsidRPr="00AF48AE">
              <w:rPr>
                <w:rStyle w:val="Hyperlink"/>
                <w:noProof/>
              </w:rPr>
              <w:t>Dwellings</w:t>
            </w:r>
            <w:r>
              <w:rPr>
                <w:noProof/>
                <w:webHidden/>
              </w:rPr>
              <w:tab/>
            </w:r>
            <w:r>
              <w:rPr>
                <w:noProof/>
                <w:webHidden/>
              </w:rPr>
              <w:fldChar w:fldCharType="begin"/>
            </w:r>
            <w:r>
              <w:rPr>
                <w:noProof/>
                <w:webHidden/>
              </w:rPr>
              <w:instrText xml:space="preserve"> PAGEREF _Toc519088608 \h </w:instrText>
            </w:r>
            <w:r>
              <w:rPr>
                <w:noProof/>
                <w:webHidden/>
              </w:rPr>
            </w:r>
            <w:r>
              <w:rPr>
                <w:noProof/>
                <w:webHidden/>
              </w:rPr>
              <w:fldChar w:fldCharType="separate"/>
            </w:r>
            <w:r w:rsidR="00175103">
              <w:rPr>
                <w:noProof/>
                <w:webHidden/>
              </w:rPr>
              <w:t>60</w:t>
            </w:r>
            <w:r>
              <w:rPr>
                <w:noProof/>
                <w:webHidden/>
              </w:rPr>
              <w:fldChar w:fldCharType="end"/>
            </w:r>
          </w:hyperlink>
        </w:p>
        <w:p w14:paraId="6D45535C" w14:textId="6F0041EF" w:rsidR="00F35C0D" w:rsidRDefault="00F35C0D" w:rsidP="00F35C0D">
          <w:pPr>
            <w:pStyle w:val="TOC2"/>
            <w:tabs>
              <w:tab w:val="left" w:pos="1100"/>
              <w:tab w:val="right" w:leader="dot" w:pos="9016"/>
            </w:tabs>
            <w:rPr>
              <w:rFonts w:eastAsiaTheme="minorEastAsia"/>
              <w:noProof/>
              <w:lang w:eastAsia="en-GB"/>
            </w:rPr>
          </w:pPr>
          <w:hyperlink w:anchor="_Toc519088609" w:history="1">
            <w:r w:rsidRPr="00AF48AE">
              <w:rPr>
                <w:rStyle w:val="Hyperlink"/>
                <w:noProof/>
              </w:rPr>
              <w:t>5.2.1</w:t>
            </w:r>
            <w:r>
              <w:rPr>
                <w:rFonts w:eastAsiaTheme="minorEastAsia"/>
                <w:noProof/>
                <w:lang w:eastAsia="en-GB"/>
              </w:rPr>
              <w:tab/>
            </w:r>
            <w:r w:rsidRPr="00AF48AE">
              <w:rPr>
                <w:rStyle w:val="Hyperlink"/>
                <w:noProof/>
              </w:rPr>
              <w:t>Council tax band</w:t>
            </w:r>
            <w:r>
              <w:rPr>
                <w:noProof/>
                <w:webHidden/>
              </w:rPr>
              <w:tab/>
            </w:r>
            <w:r>
              <w:rPr>
                <w:noProof/>
                <w:webHidden/>
              </w:rPr>
              <w:fldChar w:fldCharType="begin"/>
            </w:r>
            <w:r>
              <w:rPr>
                <w:noProof/>
                <w:webHidden/>
              </w:rPr>
              <w:instrText xml:space="preserve"> PAGEREF _Toc519088609 \h </w:instrText>
            </w:r>
            <w:r>
              <w:rPr>
                <w:noProof/>
                <w:webHidden/>
              </w:rPr>
            </w:r>
            <w:r>
              <w:rPr>
                <w:noProof/>
                <w:webHidden/>
              </w:rPr>
              <w:fldChar w:fldCharType="separate"/>
            </w:r>
            <w:r w:rsidR="00175103">
              <w:rPr>
                <w:noProof/>
                <w:webHidden/>
              </w:rPr>
              <w:t>61</w:t>
            </w:r>
            <w:r>
              <w:rPr>
                <w:noProof/>
                <w:webHidden/>
              </w:rPr>
              <w:fldChar w:fldCharType="end"/>
            </w:r>
          </w:hyperlink>
        </w:p>
        <w:p w14:paraId="179BF460" w14:textId="113F1173" w:rsidR="00F35C0D" w:rsidRDefault="00F35C0D" w:rsidP="00F35C0D">
          <w:pPr>
            <w:pStyle w:val="TOC2"/>
            <w:tabs>
              <w:tab w:val="left" w:pos="1100"/>
              <w:tab w:val="right" w:leader="dot" w:pos="9016"/>
            </w:tabs>
            <w:rPr>
              <w:rFonts w:eastAsiaTheme="minorEastAsia"/>
              <w:noProof/>
              <w:lang w:eastAsia="en-GB"/>
            </w:rPr>
          </w:pPr>
          <w:hyperlink w:anchor="_Toc519088610" w:history="1">
            <w:r w:rsidRPr="00AF48AE">
              <w:rPr>
                <w:rStyle w:val="Hyperlink"/>
                <w:noProof/>
              </w:rPr>
              <w:t>5.2.2</w:t>
            </w:r>
            <w:r>
              <w:rPr>
                <w:rFonts w:eastAsiaTheme="minorEastAsia"/>
                <w:noProof/>
                <w:lang w:eastAsia="en-GB"/>
              </w:rPr>
              <w:tab/>
            </w:r>
            <w:r w:rsidRPr="00AF48AE">
              <w:rPr>
                <w:rStyle w:val="Hyperlink"/>
                <w:noProof/>
              </w:rPr>
              <w:t>Dwelling type</w:t>
            </w:r>
            <w:r>
              <w:rPr>
                <w:noProof/>
                <w:webHidden/>
              </w:rPr>
              <w:tab/>
            </w:r>
            <w:r>
              <w:rPr>
                <w:noProof/>
                <w:webHidden/>
              </w:rPr>
              <w:fldChar w:fldCharType="begin"/>
            </w:r>
            <w:r>
              <w:rPr>
                <w:noProof/>
                <w:webHidden/>
              </w:rPr>
              <w:instrText xml:space="preserve"> PAGEREF _Toc519088610 \h </w:instrText>
            </w:r>
            <w:r>
              <w:rPr>
                <w:noProof/>
                <w:webHidden/>
              </w:rPr>
            </w:r>
            <w:r>
              <w:rPr>
                <w:noProof/>
                <w:webHidden/>
              </w:rPr>
              <w:fldChar w:fldCharType="separate"/>
            </w:r>
            <w:r w:rsidR="00175103">
              <w:rPr>
                <w:noProof/>
                <w:webHidden/>
              </w:rPr>
              <w:t>63</w:t>
            </w:r>
            <w:r>
              <w:rPr>
                <w:noProof/>
                <w:webHidden/>
              </w:rPr>
              <w:fldChar w:fldCharType="end"/>
            </w:r>
          </w:hyperlink>
        </w:p>
        <w:p w14:paraId="54FAB568" w14:textId="2E6807F6" w:rsidR="00F35C0D" w:rsidRDefault="00F35C0D" w:rsidP="00F35C0D">
          <w:pPr>
            <w:pStyle w:val="TOC2"/>
            <w:tabs>
              <w:tab w:val="left" w:pos="880"/>
              <w:tab w:val="right" w:leader="dot" w:pos="9016"/>
            </w:tabs>
            <w:rPr>
              <w:rFonts w:eastAsiaTheme="minorEastAsia"/>
              <w:noProof/>
              <w:lang w:eastAsia="en-GB"/>
            </w:rPr>
          </w:pPr>
          <w:hyperlink w:anchor="_Toc519088611" w:history="1">
            <w:r w:rsidRPr="00AF48AE">
              <w:rPr>
                <w:rStyle w:val="Hyperlink"/>
                <w:noProof/>
              </w:rPr>
              <w:t>5.3</w:t>
            </w:r>
            <w:r>
              <w:rPr>
                <w:rFonts w:eastAsiaTheme="minorEastAsia"/>
                <w:noProof/>
                <w:lang w:eastAsia="en-GB"/>
              </w:rPr>
              <w:tab/>
            </w:r>
            <w:r w:rsidRPr="00AF48AE">
              <w:rPr>
                <w:rStyle w:val="Hyperlink"/>
                <w:noProof/>
              </w:rPr>
              <w:t>Household tenure</w:t>
            </w:r>
            <w:r>
              <w:rPr>
                <w:noProof/>
                <w:webHidden/>
              </w:rPr>
              <w:tab/>
            </w:r>
            <w:r>
              <w:rPr>
                <w:noProof/>
                <w:webHidden/>
              </w:rPr>
              <w:fldChar w:fldCharType="begin"/>
            </w:r>
            <w:r>
              <w:rPr>
                <w:noProof/>
                <w:webHidden/>
              </w:rPr>
              <w:instrText xml:space="preserve"> PAGEREF _Toc519088611 \h </w:instrText>
            </w:r>
            <w:r>
              <w:rPr>
                <w:noProof/>
                <w:webHidden/>
              </w:rPr>
            </w:r>
            <w:r>
              <w:rPr>
                <w:noProof/>
                <w:webHidden/>
              </w:rPr>
              <w:fldChar w:fldCharType="separate"/>
            </w:r>
            <w:r w:rsidR="00175103">
              <w:rPr>
                <w:noProof/>
                <w:webHidden/>
              </w:rPr>
              <w:t>64</w:t>
            </w:r>
            <w:r>
              <w:rPr>
                <w:noProof/>
                <w:webHidden/>
              </w:rPr>
              <w:fldChar w:fldCharType="end"/>
            </w:r>
          </w:hyperlink>
        </w:p>
        <w:p w14:paraId="310E28E7" w14:textId="505DDCFF" w:rsidR="00F35C0D" w:rsidRDefault="00F35C0D" w:rsidP="00F35C0D">
          <w:pPr>
            <w:pStyle w:val="TOC2"/>
            <w:tabs>
              <w:tab w:val="left" w:pos="880"/>
              <w:tab w:val="right" w:leader="dot" w:pos="9016"/>
            </w:tabs>
            <w:rPr>
              <w:rFonts w:eastAsiaTheme="minorEastAsia"/>
              <w:noProof/>
              <w:lang w:eastAsia="en-GB"/>
            </w:rPr>
          </w:pPr>
          <w:hyperlink w:anchor="_Toc519088612" w:history="1">
            <w:r w:rsidRPr="00AF48AE">
              <w:rPr>
                <w:rStyle w:val="Hyperlink"/>
                <w:noProof/>
              </w:rPr>
              <w:t>5.4</w:t>
            </w:r>
            <w:r>
              <w:rPr>
                <w:rFonts w:eastAsiaTheme="minorEastAsia"/>
                <w:noProof/>
                <w:lang w:eastAsia="en-GB"/>
              </w:rPr>
              <w:tab/>
            </w:r>
            <w:r w:rsidRPr="00AF48AE">
              <w:rPr>
                <w:rStyle w:val="Hyperlink"/>
                <w:noProof/>
              </w:rPr>
              <w:t>Social housing</w:t>
            </w:r>
            <w:r>
              <w:rPr>
                <w:noProof/>
                <w:webHidden/>
              </w:rPr>
              <w:tab/>
            </w:r>
            <w:r>
              <w:rPr>
                <w:noProof/>
                <w:webHidden/>
              </w:rPr>
              <w:fldChar w:fldCharType="begin"/>
            </w:r>
            <w:r>
              <w:rPr>
                <w:noProof/>
                <w:webHidden/>
              </w:rPr>
              <w:instrText xml:space="preserve"> PAGEREF _Toc519088612 \h </w:instrText>
            </w:r>
            <w:r>
              <w:rPr>
                <w:noProof/>
                <w:webHidden/>
              </w:rPr>
            </w:r>
            <w:r>
              <w:rPr>
                <w:noProof/>
                <w:webHidden/>
              </w:rPr>
              <w:fldChar w:fldCharType="separate"/>
            </w:r>
            <w:r w:rsidR="00175103">
              <w:rPr>
                <w:noProof/>
                <w:webHidden/>
              </w:rPr>
              <w:t>65</w:t>
            </w:r>
            <w:r>
              <w:rPr>
                <w:noProof/>
                <w:webHidden/>
              </w:rPr>
              <w:fldChar w:fldCharType="end"/>
            </w:r>
          </w:hyperlink>
        </w:p>
        <w:p w14:paraId="074402C2" w14:textId="1DC73C5A" w:rsidR="00F35C0D" w:rsidRDefault="00F35C0D" w:rsidP="00F35C0D">
          <w:pPr>
            <w:pStyle w:val="TOC2"/>
            <w:tabs>
              <w:tab w:val="left" w:pos="880"/>
              <w:tab w:val="right" w:leader="dot" w:pos="9016"/>
            </w:tabs>
            <w:rPr>
              <w:rFonts w:eastAsiaTheme="minorEastAsia"/>
              <w:noProof/>
              <w:lang w:eastAsia="en-GB"/>
            </w:rPr>
          </w:pPr>
          <w:hyperlink w:anchor="_Toc519088613" w:history="1">
            <w:r w:rsidRPr="00AF48AE">
              <w:rPr>
                <w:rStyle w:val="Hyperlink"/>
                <w:noProof/>
              </w:rPr>
              <w:t>5.5</w:t>
            </w:r>
            <w:r>
              <w:rPr>
                <w:rFonts w:eastAsiaTheme="minorEastAsia"/>
                <w:noProof/>
                <w:lang w:eastAsia="en-GB"/>
              </w:rPr>
              <w:tab/>
            </w:r>
            <w:r w:rsidRPr="00AF48AE">
              <w:rPr>
                <w:rStyle w:val="Hyperlink"/>
                <w:noProof/>
              </w:rPr>
              <w:t>Affordable housing/shortage of housing?</w:t>
            </w:r>
            <w:r>
              <w:rPr>
                <w:noProof/>
                <w:webHidden/>
              </w:rPr>
              <w:tab/>
            </w:r>
            <w:r>
              <w:rPr>
                <w:noProof/>
                <w:webHidden/>
              </w:rPr>
              <w:fldChar w:fldCharType="begin"/>
            </w:r>
            <w:r>
              <w:rPr>
                <w:noProof/>
                <w:webHidden/>
              </w:rPr>
              <w:instrText xml:space="preserve"> PAGEREF _Toc519088613 \h </w:instrText>
            </w:r>
            <w:r>
              <w:rPr>
                <w:noProof/>
                <w:webHidden/>
              </w:rPr>
            </w:r>
            <w:r>
              <w:rPr>
                <w:noProof/>
                <w:webHidden/>
              </w:rPr>
              <w:fldChar w:fldCharType="separate"/>
            </w:r>
            <w:r w:rsidR="00175103">
              <w:rPr>
                <w:noProof/>
                <w:webHidden/>
              </w:rPr>
              <w:t>66</w:t>
            </w:r>
            <w:r>
              <w:rPr>
                <w:noProof/>
                <w:webHidden/>
              </w:rPr>
              <w:fldChar w:fldCharType="end"/>
            </w:r>
          </w:hyperlink>
        </w:p>
        <w:p w14:paraId="572A81F9" w14:textId="15BB5B47" w:rsidR="00F35C0D" w:rsidRDefault="00F35C0D" w:rsidP="00F35C0D">
          <w:pPr>
            <w:pStyle w:val="TOC2"/>
            <w:tabs>
              <w:tab w:val="left" w:pos="880"/>
              <w:tab w:val="right" w:leader="dot" w:pos="9016"/>
            </w:tabs>
            <w:rPr>
              <w:rFonts w:eastAsiaTheme="minorEastAsia"/>
              <w:noProof/>
              <w:lang w:eastAsia="en-GB"/>
            </w:rPr>
          </w:pPr>
          <w:hyperlink w:anchor="_Toc519088614" w:history="1">
            <w:r w:rsidRPr="00AF48AE">
              <w:rPr>
                <w:rStyle w:val="Hyperlink"/>
                <w:noProof/>
              </w:rPr>
              <w:t>5.6</w:t>
            </w:r>
            <w:r>
              <w:rPr>
                <w:rFonts w:eastAsiaTheme="minorEastAsia"/>
                <w:noProof/>
                <w:lang w:eastAsia="en-GB"/>
              </w:rPr>
              <w:tab/>
            </w:r>
            <w:r w:rsidRPr="00AF48AE">
              <w:rPr>
                <w:rStyle w:val="Hyperlink"/>
                <w:noProof/>
              </w:rPr>
              <w:t>Supported housing and care homes</w:t>
            </w:r>
            <w:r>
              <w:rPr>
                <w:noProof/>
                <w:webHidden/>
              </w:rPr>
              <w:tab/>
            </w:r>
            <w:r>
              <w:rPr>
                <w:noProof/>
                <w:webHidden/>
              </w:rPr>
              <w:fldChar w:fldCharType="begin"/>
            </w:r>
            <w:r>
              <w:rPr>
                <w:noProof/>
                <w:webHidden/>
              </w:rPr>
              <w:instrText xml:space="preserve"> PAGEREF _Toc519088614 \h </w:instrText>
            </w:r>
            <w:r>
              <w:rPr>
                <w:noProof/>
                <w:webHidden/>
              </w:rPr>
            </w:r>
            <w:r>
              <w:rPr>
                <w:noProof/>
                <w:webHidden/>
              </w:rPr>
              <w:fldChar w:fldCharType="separate"/>
            </w:r>
            <w:r w:rsidR="00175103">
              <w:rPr>
                <w:noProof/>
                <w:webHidden/>
              </w:rPr>
              <w:t>66</w:t>
            </w:r>
            <w:r>
              <w:rPr>
                <w:noProof/>
                <w:webHidden/>
              </w:rPr>
              <w:fldChar w:fldCharType="end"/>
            </w:r>
          </w:hyperlink>
        </w:p>
        <w:p w14:paraId="14C921D3" w14:textId="31383191" w:rsidR="00F35C0D" w:rsidRDefault="00F35C0D" w:rsidP="00F35C0D">
          <w:pPr>
            <w:pStyle w:val="TOC2"/>
            <w:tabs>
              <w:tab w:val="left" w:pos="1100"/>
              <w:tab w:val="right" w:leader="dot" w:pos="9016"/>
            </w:tabs>
            <w:rPr>
              <w:rFonts w:eastAsiaTheme="minorEastAsia"/>
              <w:noProof/>
              <w:lang w:eastAsia="en-GB"/>
            </w:rPr>
          </w:pPr>
          <w:hyperlink w:anchor="_Toc519088615" w:history="1">
            <w:r w:rsidRPr="00AF48AE">
              <w:rPr>
                <w:rStyle w:val="Hyperlink"/>
                <w:noProof/>
              </w:rPr>
              <w:t>5.6.1</w:t>
            </w:r>
            <w:r>
              <w:rPr>
                <w:rFonts w:eastAsiaTheme="minorEastAsia"/>
                <w:noProof/>
                <w:lang w:eastAsia="en-GB"/>
              </w:rPr>
              <w:tab/>
            </w:r>
            <w:r w:rsidRPr="00AF48AE">
              <w:rPr>
                <w:rStyle w:val="Hyperlink"/>
                <w:noProof/>
              </w:rPr>
              <w:t>Supported housing</w:t>
            </w:r>
            <w:r>
              <w:rPr>
                <w:noProof/>
                <w:webHidden/>
              </w:rPr>
              <w:tab/>
            </w:r>
            <w:r>
              <w:rPr>
                <w:noProof/>
                <w:webHidden/>
              </w:rPr>
              <w:fldChar w:fldCharType="begin"/>
            </w:r>
            <w:r>
              <w:rPr>
                <w:noProof/>
                <w:webHidden/>
              </w:rPr>
              <w:instrText xml:space="preserve"> PAGEREF _Toc519088615 \h </w:instrText>
            </w:r>
            <w:r>
              <w:rPr>
                <w:noProof/>
                <w:webHidden/>
              </w:rPr>
            </w:r>
            <w:r>
              <w:rPr>
                <w:noProof/>
                <w:webHidden/>
              </w:rPr>
              <w:fldChar w:fldCharType="separate"/>
            </w:r>
            <w:r w:rsidR="00175103">
              <w:rPr>
                <w:noProof/>
                <w:webHidden/>
              </w:rPr>
              <w:t>66</w:t>
            </w:r>
            <w:r>
              <w:rPr>
                <w:noProof/>
                <w:webHidden/>
              </w:rPr>
              <w:fldChar w:fldCharType="end"/>
            </w:r>
          </w:hyperlink>
        </w:p>
        <w:p w14:paraId="03235281" w14:textId="472DAB0F" w:rsidR="00F35C0D" w:rsidRDefault="00F35C0D" w:rsidP="00F35C0D">
          <w:pPr>
            <w:pStyle w:val="TOC2"/>
            <w:tabs>
              <w:tab w:val="left" w:pos="1100"/>
              <w:tab w:val="right" w:leader="dot" w:pos="9016"/>
            </w:tabs>
            <w:rPr>
              <w:rFonts w:eastAsiaTheme="minorEastAsia"/>
              <w:noProof/>
              <w:lang w:eastAsia="en-GB"/>
            </w:rPr>
          </w:pPr>
          <w:hyperlink w:anchor="_Toc519088616" w:history="1">
            <w:r w:rsidRPr="00AF48AE">
              <w:rPr>
                <w:rStyle w:val="Hyperlink"/>
                <w:noProof/>
                <w:lang w:val="en"/>
              </w:rPr>
              <w:t>5.6.2</w:t>
            </w:r>
            <w:r>
              <w:rPr>
                <w:rFonts w:eastAsiaTheme="minorEastAsia"/>
                <w:noProof/>
                <w:lang w:eastAsia="en-GB"/>
              </w:rPr>
              <w:tab/>
            </w:r>
            <w:r w:rsidRPr="00AF48AE">
              <w:rPr>
                <w:rStyle w:val="Hyperlink"/>
                <w:noProof/>
                <w:lang w:val="en"/>
              </w:rPr>
              <w:t>Adult care homes</w:t>
            </w:r>
            <w:r>
              <w:rPr>
                <w:noProof/>
                <w:webHidden/>
              </w:rPr>
              <w:tab/>
            </w:r>
            <w:r>
              <w:rPr>
                <w:noProof/>
                <w:webHidden/>
              </w:rPr>
              <w:fldChar w:fldCharType="begin"/>
            </w:r>
            <w:r>
              <w:rPr>
                <w:noProof/>
                <w:webHidden/>
              </w:rPr>
              <w:instrText xml:space="preserve"> PAGEREF _Toc519088616 \h </w:instrText>
            </w:r>
            <w:r>
              <w:rPr>
                <w:noProof/>
                <w:webHidden/>
              </w:rPr>
            </w:r>
            <w:r>
              <w:rPr>
                <w:noProof/>
                <w:webHidden/>
              </w:rPr>
              <w:fldChar w:fldCharType="separate"/>
            </w:r>
            <w:r w:rsidR="00175103">
              <w:rPr>
                <w:noProof/>
                <w:webHidden/>
              </w:rPr>
              <w:t>66</w:t>
            </w:r>
            <w:r>
              <w:rPr>
                <w:noProof/>
                <w:webHidden/>
              </w:rPr>
              <w:fldChar w:fldCharType="end"/>
            </w:r>
          </w:hyperlink>
        </w:p>
        <w:p w14:paraId="7D20D0D6" w14:textId="5C2AC324" w:rsidR="00F35C0D" w:rsidRDefault="00F35C0D" w:rsidP="00F35C0D">
          <w:pPr>
            <w:pStyle w:val="TOC2"/>
            <w:tabs>
              <w:tab w:val="left" w:pos="880"/>
              <w:tab w:val="right" w:leader="dot" w:pos="9016"/>
            </w:tabs>
            <w:rPr>
              <w:rFonts w:eastAsiaTheme="minorEastAsia"/>
              <w:noProof/>
              <w:lang w:eastAsia="en-GB"/>
            </w:rPr>
          </w:pPr>
          <w:hyperlink w:anchor="_Toc519088617" w:history="1">
            <w:r w:rsidRPr="00AF48AE">
              <w:rPr>
                <w:rStyle w:val="Hyperlink"/>
                <w:noProof/>
              </w:rPr>
              <w:t>5.7</w:t>
            </w:r>
            <w:r>
              <w:rPr>
                <w:rFonts w:eastAsiaTheme="minorEastAsia"/>
                <w:noProof/>
                <w:lang w:eastAsia="en-GB"/>
              </w:rPr>
              <w:tab/>
            </w:r>
            <w:r w:rsidRPr="00AF48AE">
              <w:rPr>
                <w:rStyle w:val="Hyperlink"/>
                <w:noProof/>
              </w:rPr>
              <w:t>Private rented sector</w:t>
            </w:r>
            <w:r>
              <w:rPr>
                <w:noProof/>
                <w:webHidden/>
              </w:rPr>
              <w:tab/>
            </w:r>
            <w:r>
              <w:rPr>
                <w:noProof/>
                <w:webHidden/>
              </w:rPr>
              <w:fldChar w:fldCharType="begin"/>
            </w:r>
            <w:r>
              <w:rPr>
                <w:noProof/>
                <w:webHidden/>
              </w:rPr>
              <w:instrText xml:space="preserve"> PAGEREF _Toc519088617 \h </w:instrText>
            </w:r>
            <w:r>
              <w:rPr>
                <w:noProof/>
                <w:webHidden/>
              </w:rPr>
            </w:r>
            <w:r>
              <w:rPr>
                <w:noProof/>
                <w:webHidden/>
              </w:rPr>
              <w:fldChar w:fldCharType="separate"/>
            </w:r>
            <w:r w:rsidR="00175103">
              <w:rPr>
                <w:noProof/>
                <w:webHidden/>
              </w:rPr>
              <w:t>67</w:t>
            </w:r>
            <w:r>
              <w:rPr>
                <w:noProof/>
                <w:webHidden/>
              </w:rPr>
              <w:fldChar w:fldCharType="end"/>
            </w:r>
          </w:hyperlink>
        </w:p>
        <w:p w14:paraId="6EF8A7DD" w14:textId="1357E0FE" w:rsidR="00F35C0D" w:rsidRDefault="00F35C0D" w:rsidP="00F35C0D">
          <w:pPr>
            <w:pStyle w:val="TOC2"/>
            <w:tabs>
              <w:tab w:val="left" w:pos="880"/>
              <w:tab w:val="right" w:leader="dot" w:pos="9016"/>
            </w:tabs>
            <w:rPr>
              <w:rFonts w:eastAsiaTheme="minorEastAsia"/>
              <w:noProof/>
              <w:lang w:eastAsia="en-GB"/>
            </w:rPr>
          </w:pPr>
          <w:hyperlink w:anchor="_Toc519088618" w:history="1">
            <w:r w:rsidRPr="00AF48AE">
              <w:rPr>
                <w:rStyle w:val="Hyperlink"/>
                <w:noProof/>
              </w:rPr>
              <w:t>5.8</w:t>
            </w:r>
            <w:r>
              <w:rPr>
                <w:rFonts w:eastAsiaTheme="minorEastAsia"/>
                <w:noProof/>
                <w:lang w:eastAsia="en-GB"/>
              </w:rPr>
              <w:tab/>
            </w:r>
            <w:r w:rsidRPr="00AF48AE">
              <w:rPr>
                <w:rStyle w:val="Hyperlink"/>
                <w:noProof/>
              </w:rPr>
              <w:t>House sales</w:t>
            </w:r>
            <w:r>
              <w:rPr>
                <w:noProof/>
                <w:webHidden/>
              </w:rPr>
              <w:tab/>
            </w:r>
            <w:r>
              <w:rPr>
                <w:noProof/>
                <w:webHidden/>
              </w:rPr>
              <w:fldChar w:fldCharType="begin"/>
            </w:r>
            <w:r>
              <w:rPr>
                <w:noProof/>
                <w:webHidden/>
              </w:rPr>
              <w:instrText xml:space="preserve"> PAGEREF _Toc519088618 \h </w:instrText>
            </w:r>
            <w:r>
              <w:rPr>
                <w:noProof/>
                <w:webHidden/>
              </w:rPr>
            </w:r>
            <w:r>
              <w:rPr>
                <w:noProof/>
                <w:webHidden/>
              </w:rPr>
              <w:fldChar w:fldCharType="separate"/>
            </w:r>
            <w:r w:rsidR="00175103">
              <w:rPr>
                <w:noProof/>
                <w:webHidden/>
              </w:rPr>
              <w:t>68</w:t>
            </w:r>
            <w:r>
              <w:rPr>
                <w:noProof/>
                <w:webHidden/>
              </w:rPr>
              <w:fldChar w:fldCharType="end"/>
            </w:r>
          </w:hyperlink>
        </w:p>
        <w:p w14:paraId="544CBF72" w14:textId="389D2F62" w:rsidR="00F35C0D" w:rsidRDefault="00F35C0D" w:rsidP="00F35C0D">
          <w:pPr>
            <w:pStyle w:val="TOC2"/>
            <w:tabs>
              <w:tab w:val="left" w:pos="880"/>
              <w:tab w:val="right" w:leader="dot" w:pos="9016"/>
            </w:tabs>
            <w:rPr>
              <w:rFonts w:eastAsiaTheme="minorEastAsia"/>
              <w:noProof/>
              <w:lang w:eastAsia="en-GB"/>
            </w:rPr>
          </w:pPr>
          <w:hyperlink w:anchor="_Toc519088619" w:history="1">
            <w:r w:rsidRPr="00AF48AE">
              <w:rPr>
                <w:rStyle w:val="Hyperlink"/>
                <w:noProof/>
              </w:rPr>
              <w:t>5.9</w:t>
            </w:r>
            <w:r>
              <w:rPr>
                <w:rFonts w:eastAsiaTheme="minorEastAsia"/>
                <w:noProof/>
                <w:lang w:eastAsia="en-GB"/>
              </w:rPr>
              <w:tab/>
            </w:r>
            <w:r w:rsidRPr="00AF48AE">
              <w:rPr>
                <w:rStyle w:val="Hyperlink"/>
                <w:noProof/>
              </w:rPr>
              <w:t>New builds</w:t>
            </w:r>
            <w:r>
              <w:rPr>
                <w:noProof/>
                <w:webHidden/>
              </w:rPr>
              <w:tab/>
            </w:r>
            <w:r>
              <w:rPr>
                <w:noProof/>
                <w:webHidden/>
              </w:rPr>
              <w:fldChar w:fldCharType="begin"/>
            </w:r>
            <w:r>
              <w:rPr>
                <w:noProof/>
                <w:webHidden/>
              </w:rPr>
              <w:instrText xml:space="preserve"> PAGEREF _Toc519088619 \h </w:instrText>
            </w:r>
            <w:r>
              <w:rPr>
                <w:noProof/>
                <w:webHidden/>
              </w:rPr>
            </w:r>
            <w:r>
              <w:rPr>
                <w:noProof/>
                <w:webHidden/>
              </w:rPr>
              <w:fldChar w:fldCharType="separate"/>
            </w:r>
            <w:r w:rsidR="00175103">
              <w:rPr>
                <w:noProof/>
                <w:webHidden/>
              </w:rPr>
              <w:t>69</w:t>
            </w:r>
            <w:r>
              <w:rPr>
                <w:noProof/>
                <w:webHidden/>
              </w:rPr>
              <w:fldChar w:fldCharType="end"/>
            </w:r>
          </w:hyperlink>
        </w:p>
        <w:p w14:paraId="1F59637D" w14:textId="1BC21F04" w:rsidR="00F35C0D" w:rsidRDefault="00F35C0D" w:rsidP="00F35C0D">
          <w:pPr>
            <w:pStyle w:val="TOC2"/>
            <w:tabs>
              <w:tab w:val="left" w:pos="880"/>
              <w:tab w:val="right" w:leader="dot" w:pos="9016"/>
            </w:tabs>
            <w:rPr>
              <w:rFonts w:eastAsiaTheme="minorEastAsia"/>
              <w:noProof/>
              <w:lang w:eastAsia="en-GB"/>
            </w:rPr>
          </w:pPr>
          <w:hyperlink w:anchor="_Toc519088620" w:history="1">
            <w:r w:rsidRPr="00AF48AE">
              <w:rPr>
                <w:rStyle w:val="Hyperlink"/>
                <w:noProof/>
              </w:rPr>
              <w:t>5.10</w:t>
            </w:r>
            <w:r>
              <w:rPr>
                <w:rFonts w:eastAsiaTheme="minorEastAsia"/>
                <w:noProof/>
                <w:lang w:eastAsia="en-GB"/>
              </w:rPr>
              <w:tab/>
            </w:r>
            <w:r w:rsidRPr="00AF48AE">
              <w:rPr>
                <w:rStyle w:val="Hyperlink"/>
                <w:noProof/>
              </w:rPr>
              <w:t>Planned developments</w:t>
            </w:r>
            <w:r>
              <w:rPr>
                <w:noProof/>
                <w:webHidden/>
              </w:rPr>
              <w:tab/>
            </w:r>
            <w:r>
              <w:rPr>
                <w:noProof/>
                <w:webHidden/>
              </w:rPr>
              <w:fldChar w:fldCharType="begin"/>
            </w:r>
            <w:r>
              <w:rPr>
                <w:noProof/>
                <w:webHidden/>
              </w:rPr>
              <w:instrText xml:space="preserve"> PAGEREF _Toc519088620 \h </w:instrText>
            </w:r>
            <w:r>
              <w:rPr>
                <w:noProof/>
                <w:webHidden/>
              </w:rPr>
            </w:r>
            <w:r>
              <w:rPr>
                <w:noProof/>
                <w:webHidden/>
              </w:rPr>
              <w:fldChar w:fldCharType="separate"/>
            </w:r>
            <w:r w:rsidR="00175103">
              <w:rPr>
                <w:noProof/>
                <w:webHidden/>
              </w:rPr>
              <w:t>69</w:t>
            </w:r>
            <w:r>
              <w:rPr>
                <w:noProof/>
                <w:webHidden/>
              </w:rPr>
              <w:fldChar w:fldCharType="end"/>
            </w:r>
          </w:hyperlink>
        </w:p>
        <w:p w14:paraId="434A7B8A" w14:textId="290FD2CE" w:rsidR="00F35C0D" w:rsidRDefault="00F35C0D" w:rsidP="00F35C0D">
          <w:pPr>
            <w:pStyle w:val="TOC2"/>
            <w:tabs>
              <w:tab w:val="left" w:pos="880"/>
              <w:tab w:val="right" w:leader="dot" w:pos="9016"/>
            </w:tabs>
            <w:rPr>
              <w:rFonts w:eastAsiaTheme="minorEastAsia"/>
              <w:noProof/>
              <w:lang w:eastAsia="en-GB"/>
            </w:rPr>
          </w:pPr>
          <w:hyperlink w:anchor="_Toc519088621" w:history="1">
            <w:r w:rsidRPr="00AF48AE">
              <w:rPr>
                <w:rStyle w:val="Hyperlink"/>
                <w:noProof/>
              </w:rPr>
              <w:t>5.11</w:t>
            </w:r>
            <w:r>
              <w:rPr>
                <w:rFonts w:eastAsiaTheme="minorEastAsia"/>
                <w:noProof/>
                <w:lang w:eastAsia="en-GB"/>
              </w:rPr>
              <w:tab/>
            </w:r>
            <w:r w:rsidRPr="00AF48AE">
              <w:rPr>
                <w:rStyle w:val="Hyperlink"/>
                <w:noProof/>
              </w:rPr>
              <w:t>Crime</w:t>
            </w:r>
            <w:r>
              <w:rPr>
                <w:noProof/>
                <w:webHidden/>
              </w:rPr>
              <w:tab/>
            </w:r>
            <w:r>
              <w:rPr>
                <w:noProof/>
                <w:webHidden/>
              </w:rPr>
              <w:fldChar w:fldCharType="begin"/>
            </w:r>
            <w:r>
              <w:rPr>
                <w:noProof/>
                <w:webHidden/>
              </w:rPr>
              <w:instrText xml:space="preserve"> PAGEREF _Toc519088621 \h </w:instrText>
            </w:r>
            <w:r>
              <w:rPr>
                <w:noProof/>
                <w:webHidden/>
              </w:rPr>
            </w:r>
            <w:r>
              <w:rPr>
                <w:noProof/>
                <w:webHidden/>
              </w:rPr>
              <w:fldChar w:fldCharType="separate"/>
            </w:r>
            <w:r w:rsidR="00175103">
              <w:rPr>
                <w:noProof/>
                <w:webHidden/>
              </w:rPr>
              <w:t>70</w:t>
            </w:r>
            <w:r>
              <w:rPr>
                <w:noProof/>
                <w:webHidden/>
              </w:rPr>
              <w:fldChar w:fldCharType="end"/>
            </w:r>
          </w:hyperlink>
        </w:p>
        <w:p w14:paraId="1B7241C4" w14:textId="0CB1036C" w:rsidR="00F35C0D" w:rsidRDefault="00F35C0D" w:rsidP="00F35C0D">
          <w:pPr>
            <w:pStyle w:val="TOC2"/>
            <w:tabs>
              <w:tab w:val="left" w:pos="1100"/>
              <w:tab w:val="right" w:leader="dot" w:pos="9016"/>
            </w:tabs>
            <w:rPr>
              <w:rFonts w:eastAsiaTheme="minorEastAsia"/>
              <w:noProof/>
              <w:lang w:eastAsia="en-GB"/>
            </w:rPr>
          </w:pPr>
          <w:hyperlink w:anchor="_Toc519088622" w:history="1">
            <w:r w:rsidRPr="00AF48AE">
              <w:rPr>
                <w:rStyle w:val="Hyperlink"/>
                <w:noProof/>
              </w:rPr>
              <w:t>5.11.1</w:t>
            </w:r>
            <w:r>
              <w:rPr>
                <w:rFonts w:eastAsiaTheme="minorEastAsia"/>
                <w:noProof/>
                <w:lang w:eastAsia="en-GB"/>
              </w:rPr>
              <w:tab/>
            </w:r>
            <w:r w:rsidRPr="00AF48AE">
              <w:rPr>
                <w:rStyle w:val="Hyperlink"/>
                <w:noProof/>
              </w:rPr>
              <w:t>Crimes and offences by neighbourhood</w:t>
            </w:r>
            <w:r>
              <w:rPr>
                <w:noProof/>
                <w:webHidden/>
              </w:rPr>
              <w:tab/>
            </w:r>
            <w:r>
              <w:rPr>
                <w:noProof/>
                <w:webHidden/>
              </w:rPr>
              <w:fldChar w:fldCharType="begin"/>
            </w:r>
            <w:r>
              <w:rPr>
                <w:noProof/>
                <w:webHidden/>
              </w:rPr>
              <w:instrText xml:space="preserve"> PAGEREF _Toc519088622 \h </w:instrText>
            </w:r>
            <w:r>
              <w:rPr>
                <w:noProof/>
                <w:webHidden/>
              </w:rPr>
            </w:r>
            <w:r>
              <w:rPr>
                <w:noProof/>
                <w:webHidden/>
              </w:rPr>
              <w:fldChar w:fldCharType="separate"/>
            </w:r>
            <w:r w:rsidR="00175103">
              <w:rPr>
                <w:noProof/>
                <w:webHidden/>
              </w:rPr>
              <w:t>72</w:t>
            </w:r>
            <w:r>
              <w:rPr>
                <w:noProof/>
                <w:webHidden/>
              </w:rPr>
              <w:fldChar w:fldCharType="end"/>
            </w:r>
          </w:hyperlink>
        </w:p>
        <w:p w14:paraId="0951AD82" w14:textId="22C61CE2" w:rsidR="00F35C0D" w:rsidRDefault="00F35C0D" w:rsidP="00F35C0D">
          <w:pPr>
            <w:pStyle w:val="TOC2"/>
            <w:tabs>
              <w:tab w:val="left" w:pos="1100"/>
              <w:tab w:val="right" w:leader="dot" w:pos="9016"/>
            </w:tabs>
            <w:rPr>
              <w:rFonts w:eastAsiaTheme="minorEastAsia"/>
              <w:noProof/>
              <w:lang w:eastAsia="en-GB"/>
            </w:rPr>
          </w:pPr>
          <w:hyperlink w:anchor="_Toc519088623" w:history="1">
            <w:r w:rsidRPr="00AF48AE">
              <w:rPr>
                <w:rStyle w:val="Hyperlink"/>
                <w:noProof/>
              </w:rPr>
              <w:t>5.11.2</w:t>
            </w:r>
            <w:r>
              <w:rPr>
                <w:rFonts w:eastAsiaTheme="minorEastAsia"/>
                <w:noProof/>
                <w:lang w:eastAsia="en-GB"/>
              </w:rPr>
              <w:tab/>
            </w:r>
            <w:r w:rsidRPr="00AF48AE">
              <w:rPr>
                <w:rStyle w:val="Hyperlink"/>
                <w:noProof/>
              </w:rPr>
              <w:t>Feel safe in community</w:t>
            </w:r>
            <w:r>
              <w:rPr>
                <w:noProof/>
                <w:webHidden/>
              </w:rPr>
              <w:tab/>
            </w:r>
            <w:r>
              <w:rPr>
                <w:noProof/>
                <w:webHidden/>
              </w:rPr>
              <w:fldChar w:fldCharType="begin"/>
            </w:r>
            <w:r>
              <w:rPr>
                <w:noProof/>
                <w:webHidden/>
              </w:rPr>
              <w:instrText xml:space="preserve"> PAGEREF _Toc519088623 \h </w:instrText>
            </w:r>
            <w:r>
              <w:rPr>
                <w:noProof/>
                <w:webHidden/>
              </w:rPr>
            </w:r>
            <w:r>
              <w:rPr>
                <w:noProof/>
                <w:webHidden/>
              </w:rPr>
              <w:fldChar w:fldCharType="separate"/>
            </w:r>
            <w:r w:rsidR="00175103">
              <w:rPr>
                <w:noProof/>
                <w:webHidden/>
              </w:rPr>
              <w:t>74</w:t>
            </w:r>
            <w:r>
              <w:rPr>
                <w:noProof/>
                <w:webHidden/>
              </w:rPr>
              <w:fldChar w:fldCharType="end"/>
            </w:r>
          </w:hyperlink>
        </w:p>
        <w:p w14:paraId="1D7A1BA3" w14:textId="5D43B4F7" w:rsidR="00F35C0D" w:rsidRDefault="00F35C0D" w:rsidP="00F35C0D">
          <w:pPr>
            <w:pStyle w:val="TOC2"/>
            <w:tabs>
              <w:tab w:val="left" w:pos="880"/>
              <w:tab w:val="right" w:leader="dot" w:pos="9016"/>
            </w:tabs>
            <w:rPr>
              <w:rFonts w:eastAsiaTheme="minorEastAsia"/>
              <w:noProof/>
              <w:lang w:eastAsia="en-GB"/>
            </w:rPr>
          </w:pPr>
          <w:hyperlink w:anchor="_Toc519088624" w:history="1">
            <w:r w:rsidRPr="00AF48AE">
              <w:rPr>
                <w:rStyle w:val="Hyperlink"/>
                <w:noProof/>
              </w:rPr>
              <w:t>5.12</w:t>
            </w:r>
            <w:r>
              <w:rPr>
                <w:rFonts w:eastAsiaTheme="minorEastAsia"/>
                <w:noProof/>
                <w:lang w:eastAsia="en-GB"/>
              </w:rPr>
              <w:tab/>
            </w:r>
            <w:r w:rsidRPr="00AF48AE">
              <w:rPr>
                <w:rStyle w:val="Hyperlink"/>
                <w:noProof/>
              </w:rPr>
              <w:t>Dwelling fires</w:t>
            </w:r>
            <w:r>
              <w:rPr>
                <w:noProof/>
                <w:webHidden/>
              </w:rPr>
              <w:tab/>
            </w:r>
            <w:r>
              <w:rPr>
                <w:noProof/>
                <w:webHidden/>
              </w:rPr>
              <w:fldChar w:fldCharType="begin"/>
            </w:r>
            <w:r>
              <w:rPr>
                <w:noProof/>
                <w:webHidden/>
              </w:rPr>
              <w:instrText xml:space="preserve"> PAGEREF _Toc519088624 \h </w:instrText>
            </w:r>
            <w:r>
              <w:rPr>
                <w:noProof/>
                <w:webHidden/>
              </w:rPr>
            </w:r>
            <w:r>
              <w:rPr>
                <w:noProof/>
                <w:webHidden/>
              </w:rPr>
              <w:fldChar w:fldCharType="separate"/>
            </w:r>
            <w:r w:rsidR="00175103">
              <w:rPr>
                <w:noProof/>
                <w:webHidden/>
              </w:rPr>
              <w:t>74</w:t>
            </w:r>
            <w:r>
              <w:rPr>
                <w:noProof/>
                <w:webHidden/>
              </w:rPr>
              <w:fldChar w:fldCharType="end"/>
            </w:r>
          </w:hyperlink>
        </w:p>
        <w:p w14:paraId="7082F3A9" w14:textId="66734031" w:rsidR="00F35C0D" w:rsidRDefault="00F35C0D" w:rsidP="00F35C0D">
          <w:pPr>
            <w:pStyle w:val="TOC2"/>
            <w:tabs>
              <w:tab w:val="left" w:pos="880"/>
              <w:tab w:val="right" w:leader="dot" w:pos="9016"/>
            </w:tabs>
            <w:rPr>
              <w:rFonts w:eastAsiaTheme="minorEastAsia"/>
              <w:noProof/>
              <w:lang w:eastAsia="en-GB"/>
            </w:rPr>
          </w:pPr>
          <w:hyperlink w:anchor="_Toc519088625" w:history="1">
            <w:r w:rsidRPr="00AF48AE">
              <w:rPr>
                <w:rStyle w:val="Hyperlink"/>
                <w:noProof/>
              </w:rPr>
              <w:t>5.13</w:t>
            </w:r>
            <w:r>
              <w:rPr>
                <w:rFonts w:eastAsiaTheme="minorEastAsia"/>
                <w:noProof/>
                <w:lang w:eastAsia="en-GB"/>
              </w:rPr>
              <w:tab/>
            </w:r>
            <w:r w:rsidRPr="00AF48AE">
              <w:rPr>
                <w:rStyle w:val="Hyperlink"/>
                <w:noProof/>
              </w:rPr>
              <w:t>Road safety</w:t>
            </w:r>
            <w:r>
              <w:rPr>
                <w:noProof/>
                <w:webHidden/>
              </w:rPr>
              <w:tab/>
            </w:r>
            <w:r>
              <w:rPr>
                <w:noProof/>
                <w:webHidden/>
              </w:rPr>
              <w:fldChar w:fldCharType="begin"/>
            </w:r>
            <w:r>
              <w:rPr>
                <w:noProof/>
                <w:webHidden/>
              </w:rPr>
              <w:instrText xml:space="preserve"> PAGEREF _Toc519088625 \h </w:instrText>
            </w:r>
            <w:r>
              <w:rPr>
                <w:noProof/>
                <w:webHidden/>
              </w:rPr>
            </w:r>
            <w:r>
              <w:rPr>
                <w:noProof/>
                <w:webHidden/>
              </w:rPr>
              <w:fldChar w:fldCharType="separate"/>
            </w:r>
            <w:r w:rsidR="00175103">
              <w:rPr>
                <w:noProof/>
                <w:webHidden/>
              </w:rPr>
              <w:t>75</w:t>
            </w:r>
            <w:r>
              <w:rPr>
                <w:noProof/>
                <w:webHidden/>
              </w:rPr>
              <w:fldChar w:fldCharType="end"/>
            </w:r>
          </w:hyperlink>
        </w:p>
        <w:p w14:paraId="6ACA841E" w14:textId="380E2BC9" w:rsidR="00F35C0D" w:rsidRDefault="00F35C0D" w:rsidP="00F35C0D">
          <w:pPr>
            <w:pStyle w:val="TOC2"/>
            <w:tabs>
              <w:tab w:val="left" w:pos="880"/>
              <w:tab w:val="right" w:leader="dot" w:pos="9016"/>
            </w:tabs>
            <w:rPr>
              <w:rFonts w:eastAsiaTheme="minorEastAsia"/>
              <w:noProof/>
              <w:lang w:eastAsia="en-GB"/>
            </w:rPr>
          </w:pPr>
          <w:hyperlink w:anchor="_Toc519088626" w:history="1">
            <w:r w:rsidRPr="00AF48AE">
              <w:rPr>
                <w:rStyle w:val="Hyperlink"/>
                <w:noProof/>
              </w:rPr>
              <w:t>5.14</w:t>
            </w:r>
            <w:r>
              <w:rPr>
                <w:rFonts w:eastAsiaTheme="minorEastAsia"/>
                <w:noProof/>
                <w:lang w:eastAsia="en-GB"/>
              </w:rPr>
              <w:tab/>
            </w:r>
            <w:r w:rsidRPr="00AF48AE">
              <w:rPr>
                <w:rStyle w:val="Hyperlink"/>
                <w:noProof/>
              </w:rPr>
              <w:t>Travel/transport</w:t>
            </w:r>
            <w:r>
              <w:rPr>
                <w:noProof/>
                <w:webHidden/>
              </w:rPr>
              <w:tab/>
            </w:r>
            <w:r>
              <w:rPr>
                <w:noProof/>
                <w:webHidden/>
              </w:rPr>
              <w:fldChar w:fldCharType="begin"/>
            </w:r>
            <w:r>
              <w:rPr>
                <w:noProof/>
                <w:webHidden/>
              </w:rPr>
              <w:instrText xml:space="preserve"> PAGEREF _Toc519088626 \h </w:instrText>
            </w:r>
            <w:r>
              <w:rPr>
                <w:noProof/>
                <w:webHidden/>
              </w:rPr>
            </w:r>
            <w:r>
              <w:rPr>
                <w:noProof/>
                <w:webHidden/>
              </w:rPr>
              <w:fldChar w:fldCharType="separate"/>
            </w:r>
            <w:r w:rsidR="00175103">
              <w:rPr>
                <w:noProof/>
                <w:webHidden/>
              </w:rPr>
              <w:t>75</w:t>
            </w:r>
            <w:r>
              <w:rPr>
                <w:noProof/>
                <w:webHidden/>
              </w:rPr>
              <w:fldChar w:fldCharType="end"/>
            </w:r>
          </w:hyperlink>
        </w:p>
        <w:p w14:paraId="763B5820" w14:textId="66453DF1" w:rsidR="00F35C0D" w:rsidRDefault="00F35C0D" w:rsidP="00F35C0D">
          <w:pPr>
            <w:pStyle w:val="TOC2"/>
            <w:tabs>
              <w:tab w:val="left" w:pos="1100"/>
              <w:tab w:val="right" w:leader="dot" w:pos="9016"/>
            </w:tabs>
            <w:rPr>
              <w:rFonts w:eastAsiaTheme="minorEastAsia"/>
              <w:noProof/>
              <w:lang w:eastAsia="en-GB"/>
            </w:rPr>
          </w:pPr>
          <w:hyperlink w:anchor="_Toc519088627" w:history="1">
            <w:r w:rsidRPr="00AF48AE">
              <w:rPr>
                <w:rStyle w:val="Hyperlink"/>
                <w:noProof/>
              </w:rPr>
              <w:t>5.14.1</w:t>
            </w:r>
            <w:r>
              <w:rPr>
                <w:rFonts w:eastAsiaTheme="minorEastAsia"/>
                <w:noProof/>
                <w:lang w:eastAsia="en-GB"/>
              </w:rPr>
              <w:tab/>
            </w:r>
            <w:r w:rsidRPr="00AF48AE">
              <w:rPr>
                <w:rStyle w:val="Hyperlink"/>
                <w:noProof/>
              </w:rPr>
              <w:t>Aberdeen Western Peripheral Route</w:t>
            </w:r>
            <w:r>
              <w:rPr>
                <w:noProof/>
                <w:webHidden/>
              </w:rPr>
              <w:tab/>
            </w:r>
            <w:r>
              <w:rPr>
                <w:noProof/>
                <w:webHidden/>
              </w:rPr>
              <w:fldChar w:fldCharType="begin"/>
            </w:r>
            <w:r>
              <w:rPr>
                <w:noProof/>
                <w:webHidden/>
              </w:rPr>
              <w:instrText xml:space="preserve"> PAGEREF _Toc519088627 \h </w:instrText>
            </w:r>
            <w:r>
              <w:rPr>
                <w:noProof/>
                <w:webHidden/>
              </w:rPr>
            </w:r>
            <w:r>
              <w:rPr>
                <w:noProof/>
                <w:webHidden/>
              </w:rPr>
              <w:fldChar w:fldCharType="separate"/>
            </w:r>
            <w:r w:rsidR="00175103">
              <w:rPr>
                <w:noProof/>
                <w:webHidden/>
              </w:rPr>
              <w:t>76</w:t>
            </w:r>
            <w:r>
              <w:rPr>
                <w:noProof/>
                <w:webHidden/>
              </w:rPr>
              <w:fldChar w:fldCharType="end"/>
            </w:r>
          </w:hyperlink>
        </w:p>
        <w:p w14:paraId="5DB0ACBF" w14:textId="2E34AB28" w:rsidR="00F35C0D" w:rsidRDefault="00F35C0D" w:rsidP="00F35C0D">
          <w:pPr>
            <w:pStyle w:val="TOC2"/>
            <w:tabs>
              <w:tab w:val="left" w:pos="1100"/>
              <w:tab w:val="right" w:leader="dot" w:pos="9016"/>
            </w:tabs>
            <w:rPr>
              <w:rFonts w:eastAsiaTheme="minorEastAsia"/>
              <w:noProof/>
              <w:lang w:eastAsia="en-GB"/>
            </w:rPr>
          </w:pPr>
          <w:hyperlink w:anchor="_Toc519088628" w:history="1">
            <w:r w:rsidRPr="00AF48AE">
              <w:rPr>
                <w:rStyle w:val="Hyperlink"/>
                <w:noProof/>
              </w:rPr>
              <w:t>5.14.2</w:t>
            </w:r>
            <w:r>
              <w:rPr>
                <w:rFonts w:eastAsiaTheme="minorEastAsia"/>
                <w:noProof/>
                <w:lang w:eastAsia="en-GB"/>
              </w:rPr>
              <w:tab/>
            </w:r>
            <w:r w:rsidRPr="00AF48AE">
              <w:rPr>
                <w:rStyle w:val="Hyperlink"/>
                <w:noProof/>
              </w:rPr>
              <w:t>Berryden Corridor improvement scheme</w:t>
            </w:r>
            <w:r>
              <w:rPr>
                <w:noProof/>
                <w:webHidden/>
              </w:rPr>
              <w:tab/>
            </w:r>
            <w:r>
              <w:rPr>
                <w:noProof/>
                <w:webHidden/>
              </w:rPr>
              <w:fldChar w:fldCharType="begin"/>
            </w:r>
            <w:r>
              <w:rPr>
                <w:noProof/>
                <w:webHidden/>
              </w:rPr>
              <w:instrText xml:space="preserve"> PAGEREF _Toc519088628 \h </w:instrText>
            </w:r>
            <w:r>
              <w:rPr>
                <w:noProof/>
                <w:webHidden/>
              </w:rPr>
            </w:r>
            <w:r>
              <w:rPr>
                <w:noProof/>
                <w:webHidden/>
              </w:rPr>
              <w:fldChar w:fldCharType="separate"/>
            </w:r>
            <w:r w:rsidR="00175103">
              <w:rPr>
                <w:noProof/>
                <w:webHidden/>
              </w:rPr>
              <w:t>76</w:t>
            </w:r>
            <w:r>
              <w:rPr>
                <w:noProof/>
                <w:webHidden/>
              </w:rPr>
              <w:fldChar w:fldCharType="end"/>
            </w:r>
          </w:hyperlink>
        </w:p>
        <w:p w14:paraId="5DE01598" w14:textId="7974E203" w:rsidR="00F35C0D" w:rsidRDefault="00F35C0D" w:rsidP="00F35C0D">
          <w:pPr>
            <w:pStyle w:val="TOC2"/>
            <w:tabs>
              <w:tab w:val="left" w:pos="880"/>
              <w:tab w:val="right" w:leader="dot" w:pos="9016"/>
            </w:tabs>
            <w:rPr>
              <w:rFonts w:eastAsiaTheme="minorEastAsia"/>
              <w:noProof/>
              <w:lang w:eastAsia="en-GB"/>
            </w:rPr>
          </w:pPr>
          <w:hyperlink w:anchor="_Toc519088629" w:history="1">
            <w:r w:rsidRPr="00AF48AE">
              <w:rPr>
                <w:rStyle w:val="Hyperlink"/>
                <w:noProof/>
              </w:rPr>
              <w:t>5.15</w:t>
            </w:r>
            <w:r>
              <w:rPr>
                <w:rFonts w:eastAsiaTheme="minorEastAsia"/>
                <w:noProof/>
                <w:lang w:eastAsia="en-GB"/>
              </w:rPr>
              <w:tab/>
            </w:r>
            <w:r w:rsidRPr="00AF48AE">
              <w:rPr>
                <w:rStyle w:val="Hyperlink"/>
                <w:noProof/>
              </w:rPr>
              <w:t>Environment</w:t>
            </w:r>
            <w:r>
              <w:rPr>
                <w:noProof/>
                <w:webHidden/>
              </w:rPr>
              <w:tab/>
            </w:r>
            <w:r>
              <w:rPr>
                <w:noProof/>
                <w:webHidden/>
              </w:rPr>
              <w:fldChar w:fldCharType="begin"/>
            </w:r>
            <w:r>
              <w:rPr>
                <w:noProof/>
                <w:webHidden/>
              </w:rPr>
              <w:instrText xml:space="preserve"> PAGEREF _Toc519088629 \h </w:instrText>
            </w:r>
            <w:r>
              <w:rPr>
                <w:noProof/>
                <w:webHidden/>
              </w:rPr>
            </w:r>
            <w:r>
              <w:rPr>
                <w:noProof/>
                <w:webHidden/>
              </w:rPr>
              <w:fldChar w:fldCharType="separate"/>
            </w:r>
            <w:r w:rsidR="00175103">
              <w:rPr>
                <w:noProof/>
                <w:webHidden/>
              </w:rPr>
              <w:t>76</w:t>
            </w:r>
            <w:r>
              <w:rPr>
                <w:noProof/>
                <w:webHidden/>
              </w:rPr>
              <w:fldChar w:fldCharType="end"/>
            </w:r>
          </w:hyperlink>
        </w:p>
        <w:p w14:paraId="78A94BDF" w14:textId="3173219A" w:rsidR="00F35C0D" w:rsidRDefault="00F35C0D" w:rsidP="00F35C0D">
          <w:pPr>
            <w:pStyle w:val="TOC2"/>
            <w:tabs>
              <w:tab w:val="left" w:pos="1100"/>
              <w:tab w:val="right" w:leader="dot" w:pos="9016"/>
            </w:tabs>
            <w:rPr>
              <w:rFonts w:eastAsiaTheme="minorEastAsia"/>
              <w:noProof/>
              <w:lang w:eastAsia="en-GB"/>
            </w:rPr>
          </w:pPr>
          <w:hyperlink w:anchor="_Toc519088630" w:history="1">
            <w:r w:rsidRPr="00AF48AE">
              <w:rPr>
                <w:rStyle w:val="Hyperlink"/>
                <w:noProof/>
              </w:rPr>
              <w:t>5.15.1</w:t>
            </w:r>
            <w:r>
              <w:rPr>
                <w:rFonts w:eastAsiaTheme="minorEastAsia"/>
                <w:noProof/>
                <w:lang w:eastAsia="en-GB"/>
              </w:rPr>
              <w:tab/>
            </w:r>
            <w:r w:rsidRPr="00AF48AE">
              <w:rPr>
                <w:rStyle w:val="Hyperlink"/>
                <w:noProof/>
              </w:rPr>
              <w:t>Green space</w:t>
            </w:r>
            <w:r>
              <w:rPr>
                <w:noProof/>
                <w:webHidden/>
              </w:rPr>
              <w:tab/>
            </w:r>
            <w:r>
              <w:rPr>
                <w:noProof/>
                <w:webHidden/>
              </w:rPr>
              <w:fldChar w:fldCharType="begin"/>
            </w:r>
            <w:r>
              <w:rPr>
                <w:noProof/>
                <w:webHidden/>
              </w:rPr>
              <w:instrText xml:space="preserve"> PAGEREF _Toc519088630 \h </w:instrText>
            </w:r>
            <w:r>
              <w:rPr>
                <w:noProof/>
                <w:webHidden/>
              </w:rPr>
            </w:r>
            <w:r>
              <w:rPr>
                <w:noProof/>
                <w:webHidden/>
              </w:rPr>
              <w:fldChar w:fldCharType="separate"/>
            </w:r>
            <w:r w:rsidR="00175103">
              <w:rPr>
                <w:noProof/>
                <w:webHidden/>
              </w:rPr>
              <w:t>76</w:t>
            </w:r>
            <w:r>
              <w:rPr>
                <w:noProof/>
                <w:webHidden/>
              </w:rPr>
              <w:fldChar w:fldCharType="end"/>
            </w:r>
          </w:hyperlink>
        </w:p>
        <w:p w14:paraId="11D09A2F" w14:textId="3AEEF7CF" w:rsidR="00F35C0D" w:rsidRDefault="00F35C0D" w:rsidP="00F35C0D">
          <w:pPr>
            <w:pStyle w:val="TOC2"/>
            <w:tabs>
              <w:tab w:val="left" w:pos="1100"/>
              <w:tab w:val="right" w:leader="dot" w:pos="9016"/>
            </w:tabs>
            <w:rPr>
              <w:rFonts w:eastAsiaTheme="minorEastAsia"/>
              <w:noProof/>
              <w:lang w:eastAsia="en-GB"/>
            </w:rPr>
          </w:pPr>
          <w:hyperlink w:anchor="_Toc519088631" w:history="1">
            <w:r w:rsidRPr="00AF48AE">
              <w:rPr>
                <w:rStyle w:val="Hyperlink"/>
                <w:noProof/>
              </w:rPr>
              <w:t>5.15.2</w:t>
            </w:r>
            <w:r>
              <w:rPr>
                <w:rFonts w:eastAsiaTheme="minorEastAsia"/>
                <w:noProof/>
                <w:lang w:eastAsia="en-GB"/>
              </w:rPr>
              <w:tab/>
            </w:r>
            <w:r w:rsidRPr="00AF48AE">
              <w:rPr>
                <w:rStyle w:val="Hyperlink"/>
                <w:noProof/>
              </w:rPr>
              <w:t>Travel and transport - environment</w:t>
            </w:r>
            <w:r>
              <w:rPr>
                <w:noProof/>
                <w:webHidden/>
              </w:rPr>
              <w:tab/>
            </w:r>
            <w:r>
              <w:rPr>
                <w:noProof/>
                <w:webHidden/>
              </w:rPr>
              <w:fldChar w:fldCharType="begin"/>
            </w:r>
            <w:r>
              <w:rPr>
                <w:noProof/>
                <w:webHidden/>
              </w:rPr>
              <w:instrText xml:space="preserve"> PAGEREF _Toc519088631 \h </w:instrText>
            </w:r>
            <w:r>
              <w:rPr>
                <w:noProof/>
                <w:webHidden/>
              </w:rPr>
            </w:r>
            <w:r>
              <w:rPr>
                <w:noProof/>
                <w:webHidden/>
              </w:rPr>
              <w:fldChar w:fldCharType="separate"/>
            </w:r>
            <w:r w:rsidR="00175103">
              <w:rPr>
                <w:noProof/>
                <w:webHidden/>
              </w:rPr>
              <w:t>76</w:t>
            </w:r>
            <w:r>
              <w:rPr>
                <w:noProof/>
                <w:webHidden/>
              </w:rPr>
              <w:fldChar w:fldCharType="end"/>
            </w:r>
          </w:hyperlink>
        </w:p>
        <w:p w14:paraId="0AB7AD68" w14:textId="7707EF54" w:rsidR="00F35C0D" w:rsidRDefault="00F35C0D" w:rsidP="00F35C0D">
          <w:pPr>
            <w:pStyle w:val="TOC2"/>
            <w:tabs>
              <w:tab w:val="left" w:pos="1100"/>
              <w:tab w:val="right" w:leader="dot" w:pos="9016"/>
            </w:tabs>
            <w:rPr>
              <w:rFonts w:eastAsiaTheme="minorEastAsia"/>
              <w:noProof/>
              <w:lang w:eastAsia="en-GB"/>
            </w:rPr>
          </w:pPr>
          <w:hyperlink w:anchor="_Toc519088632" w:history="1">
            <w:r w:rsidRPr="00AF48AE">
              <w:rPr>
                <w:rStyle w:val="Hyperlink"/>
                <w:noProof/>
              </w:rPr>
              <w:t>5.15.3</w:t>
            </w:r>
            <w:r>
              <w:rPr>
                <w:rFonts w:eastAsiaTheme="minorEastAsia"/>
                <w:noProof/>
                <w:lang w:eastAsia="en-GB"/>
              </w:rPr>
              <w:tab/>
            </w:r>
            <w:r w:rsidRPr="00AF48AE">
              <w:rPr>
                <w:rStyle w:val="Hyperlink"/>
                <w:noProof/>
              </w:rPr>
              <w:t>CO</w:t>
            </w:r>
            <w:r w:rsidRPr="00AF48AE">
              <w:rPr>
                <w:rStyle w:val="Hyperlink"/>
                <w:noProof/>
                <w:vertAlign w:val="subscript"/>
              </w:rPr>
              <w:t>2</w:t>
            </w:r>
            <w:r w:rsidRPr="00AF48AE">
              <w:rPr>
                <w:rStyle w:val="Hyperlink"/>
                <w:noProof/>
              </w:rPr>
              <w:t xml:space="preserve"> emissions</w:t>
            </w:r>
            <w:r>
              <w:rPr>
                <w:noProof/>
                <w:webHidden/>
              </w:rPr>
              <w:tab/>
            </w:r>
            <w:r>
              <w:rPr>
                <w:noProof/>
                <w:webHidden/>
              </w:rPr>
              <w:fldChar w:fldCharType="begin"/>
            </w:r>
            <w:r>
              <w:rPr>
                <w:noProof/>
                <w:webHidden/>
              </w:rPr>
              <w:instrText xml:space="preserve"> PAGEREF _Toc519088632 \h </w:instrText>
            </w:r>
            <w:r>
              <w:rPr>
                <w:noProof/>
                <w:webHidden/>
              </w:rPr>
            </w:r>
            <w:r>
              <w:rPr>
                <w:noProof/>
                <w:webHidden/>
              </w:rPr>
              <w:fldChar w:fldCharType="separate"/>
            </w:r>
            <w:r w:rsidR="00175103">
              <w:rPr>
                <w:noProof/>
                <w:webHidden/>
              </w:rPr>
              <w:t>77</w:t>
            </w:r>
            <w:r>
              <w:rPr>
                <w:noProof/>
                <w:webHidden/>
              </w:rPr>
              <w:fldChar w:fldCharType="end"/>
            </w:r>
          </w:hyperlink>
        </w:p>
        <w:p w14:paraId="43842854" w14:textId="6148CAE2" w:rsidR="00F35C0D" w:rsidRDefault="00F35C0D" w:rsidP="00F35C0D">
          <w:pPr>
            <w:pStyle w:val="TOC2"/>
            <w:tabs>
              <w:tab w:val="left" w:pos="1100"/>
              <w:tab w:val="right" w:leader="dot" w:pos="9016"/>
            </w:tabs>
            <w:rPr>
              <w:rFonts w:eastAsiaTheme="minorEastAsia"/>
              <w:noProof/>
              <w:lang w:eastAsia="en-GB"/>
            </w:rPr>
          </w:pPr>
          <w:hyperlink w:anchor="_Toc519088633" w:history="1">
            <w:r w:rsidRPr="00AF48AE">
              <w:rPr>
                <w:rStyle w:val="Hyperlink"/>
                <w:noProof/>
              </w:rPr>
              <w:t>5.15.4</w:t>
            </w:r>
            <w:r>
              <w:rPr>
                <w:rFonts w:eastAsiaTheme="minorEastAsia"/>
                <w:noProof/>
                <w:lang w:eastAsia="en-GB"/>
              </w:rPr>
              <w:tab/>
            </w:r>
            <w:r w:rsidRPr="00AF48AE">
              <w:rPr>
                <w:rStyle w:val="Hyperlink"/>
                <w:noProof/>
              </w:rPr>
              <w:t>Flood risk</w:t>
            </w:r>
            <w:r>
              <w:rPr>
                <w:noProof/>
                <w:webHidden/>
              </w:rPr>
              <w:tab/>
            </w:r>
            <w:r>
              <w:rPr>
                <w:noProof/>
                <w:webHidden/>
              </w:rPr>
              <w:fldChar w:fldCharType="begin"/>
            </w:r>
            <w:r>
              <w:rPr>
                <w:noProof/>
                <w:webHidden/>
              </w:rPr>
              <w:instrText xml:space="preserve"> PAGEREF _Toc519088633 \h </w:instrText>
            </w:r>
            <w:r>
              <w:rPr>
                <w:noProof/>
                <w:webHidden/>
              </w:rPr>
            </w:r>
            <w:r>
              <w:rPr>
                <w:noProof/>
                <w:webHidden/>
              </w:rPr>
              <w:fldChar w:fldCharType="separate"/>
            </w:r>
            <w:r w:rsidR="00175103">
              <w:rPr>
                <w:noProof/>
                <w:webHidden/>
              </w:rPr>
              <w:t>77</w:t>
            </w:r>
            <w:r>
              <w:rPr>
                <w:noProof/>
                <w:webHidden/>
              </w:rPr>
              <w:fldChar w:fldCharType="end"/>
            </w:r>
          </w:hyperlink>
        </w:p>
        <w:p w14:paraId="400BE52C" w14:textId="4103540F" w:rsidR="00F35C0D" w:rsidRDefault="00F35C0D" w:rsidP="00F35C0D">
          <w:pPr>
            <w:pStyle w:val="TOC2"/>
            <w:tabs>
              <w:tab w:val="left" w:pos="1100"/>
              <w:tab w:val="right" w:leader="dot" w:pos="9016"/>
            </w:tabs>
            <w:rPr>
              <w:rFonts w:eastAsiaTheme="minorEastAsia"/>
              <w:noProof/>
              <w:lang w:eastAsia="en-GB"/>
            </w:rPr>
          </w:pPr>
          <w:hyperlink w:anchor="_Toc519088634" w:history="1">
            <w:r w:rsidRPr="00AF48AE">
              <w:rPr>
                <w:rStyle w:val="Hyperlink"/>
                <w:noProof/>
              </w:rPr>
              <w:t>5.15.5</w:t>
            </w:r>
            <w:r>
              <w:rPr>
                <w:rFonts w:eastAsiaTheme="minorEastAsia"/>
                <w:noProof/>
                <w:lang w:eastAsia="en-GB"/>
              </w:rPr>
              <w:tab/>
            </w:r>
            <w:r w:rsidRPr="00AF48AE">
              <w:rPr>
                <w:rStyle w:val="Hyperlink"/>
                <w:noProof/>
              </w:rPr>
              <w:t>Waste and recycling</w:t>
            </w:r>
            <w:r>
              <w:rPr>
                <w:noProof/>
                <w:webHidden/>
              </w:rPr>
              <w:tab/>
            </w:r>
            <w:r>
              <w:rPr>
                <w:noProof/>
                <w:webHidden/>
              </w:rPr>
              <w:fldChar w:fldCharType="begin"/>
            </w:r>
            <w:r>
              <w:rPr>
                <w:noProof/>
                <w:webHidden/>
              </w:rPr>
              <w:instrText xml:space="preserve"> PAGEREF _Toc519088634 \h </w:instrText>
            </w:r>
            <w:r>
              <w:rPr>
                <w:noProof/>
                <w:webHidden/>
              </w:rPr>
            </w:r>
            <w:r>
              <w:rPr>
                <w:noProof/>
                <w:webHidden/>
              </w:rPr>
              <w:fldChar w:fldCharType="separate"/>
            </w:r>
            <w:r w:rsidR="00175103">
              <w:rPr>
                <w:noProof/>
                <w:webHidden/>
              </w:rPr>
              <w:t>77</w:t>
            </w:r>
            <w:r>
              <w:rPr>
                <w:noProof/>
                <w:webHidden/>
              </w:rPr>
              <w:fldChar w:fldCharType="end"/>
            </w:r>
          </w:hyperlink>
        </w:p>
        <w:p w14:paraId="2363ADD7" w14:textId="57642EA7" w:rsidR="00F35C0D" w:rsidRDefault="00F35C0D" w:rsidP="00F35C0D">
          <w:pPr>
            <w:pStyle w:val="TOC2"/>
            <w:tabs>
              <w:tab w:val="left" w:pos="1100"/>
              <w:tab w:val="right" w:leader="dot" w:pos="9016"/>
            </w:tabs>
            <w:rPr>
              <w:rFonts w:eastAsiaTheme="minorEastAsia"/>
              <w:noProof/>
              <w:lang w:eastAsia="en-GB"/>
            </w:rPr>
          </w:pPr>
          <w:hyperlink w:anchor="_Toc519088635" w:history="1">
            <w:r w:rsidRPr="00AF48AE">
              <w:rPr>
                <w:rStyle w:val="Hyperlink"/>
                <w:noProof/>
              </w:rPr>
              <w:t>5.15.6</w:t>
            </w:r>
            <w:r>
              <w:rPr>
                <w:rFonts w:eastAsiaTheme="minorEastAsia"/>
                <w:noProof/>
                <w:lang w:eastAsia="en-GB"/>
              </w:rPr>
              <w:tab/>
            </w:r>
            <w:r w:rsidRPr="00AF48AE">
              <w:rPr>
                <w:rStyle w:val="Hyperlink"/>
                <w:noProof/>
              </w:rPr>
              <w:t>Air pollution – particulate matter (PM10) concentrations</w:t>
            </w:r>
            <w:r>
              <w:rPr>
                <w:noProof/>
                <w:webHidden/>
              </w:rPr>
              <w:tab/>
            </w:r>
            <w:r>
              <w:rPr>
                <w:noProof/>
                <w:webHidden/>
              </w:rPr>
              <w:fldChar w:fldCharType="begin"/>
            </w:r>
            <w:r>
              <w:rPr>
                <w:noProof/>
                <w:webHidden/>
              </w:rPr>
              <w:instrText xml:space="preserve"> PAGEREF _Toc519088635 \h </w:instrText>
            </w:r>
            <w:r>
              <w:rPr>
                <w:noProof/>
                <w:webHidden/>
              </w:rPr>
            </w:r>
            <w:r>
              <w:rPr>
                <w:noProof/>
                <w:webHidden/>
              </w:rPr>
              <w:fldChar w:fldCharType="separate"/>
            </w:r>
            <w:r w:rsidR="00175103">
              <w:rPr>
                <w:noProof/>
                <w:webHidden/>
              </w:rPr>
              <w:t>78</w:t>
            </w:r>
            <w:r>
              <w:rPr>
                <w:noProof/>
                <w:webHidden/>
              </w:rPr>
              <w:fldChar w:fldCharType="end"/>
            </w:r>
          </w:hyperlink>
        </w:p>
        <w:p w14:paraId="4210D750" w14:textId="7DA9A06B" w:rsidR="00F35C0D" w:rsidRDefault="00F35C0D" w:rsidP="00F35C0D">
          <w:pPr>
            <w:pStyle w:val="TOC2"/>
            <w:tabs>
              <w:tab w:val="left" w:pos="1100"/>
              <w:tab w:val="right" w:leader="dot" w:pos="9016"/>
            </w:tabs>
            <w:rPr>
              <w:noProof/>
            </w:rPr>
          </w:pPr>
          <w:hyperlink w:anchor="_Toc519088636" w:history="1">
            <w:r w:rsidRPr="00AF48AE">
              <w:rPr>
                <w:rStyle w:val="Hyperlink"/>
                <w:noProof/>
              </w:rPr>
              <w:t>5.15.7</w:t>
            </w:r>
            <w:r>
              <w:rPr>
                <w:rFonts w:eastAsiaTheme="minorEastAsia"/>
                <w:noProof/>
                <w:lang w:eastAsia="en-GB"/>
              </w:rPr>
              <w:tab/>
            </w:r>
            <w:r w:rsidRPr="00AF48AE">
              <w:rPr>
                <w:rStyle w:val="Hyperlink"/>
                <w:noProof/>
              </w:rPr>
              <w:t>Cleanliness score</w:t>
            </w:r>
            <w:r>
              <w:rPr>
                <w:noProof/>
                <w:webHidden/>
              </w:rPr>
              <w:tab/>
            </w:r>
            <w:r>
              <w:rPr>
                <w:noProof/>
                <w:webHidden/>
              </w:rPr>
              <w:fldChar w:fldCharType="begin"/>
            </w:r>
            <w:r>
              <w:rPr>
                <w:noProof/>
                <w:webHidden/>
              </w:rPr>
              <w:instrText xml:space="preserve"> PAGEREF _Toc519088636 \h </w:instrText>
            </w:r>
            <w:r>
              <w:rPr>
                <w:noProof/>
                <w:webHidden/>
              </w:rPr>
            </w:r>
            <w:r>
              <w:rPr>
                <w:noProof/>
                <w:webHidden/>
              </w:rPr>
              <w:fldChar w:fldCharType="separate"/>
            </w:r>
            <w:r w:rsidR="00175103">
              <w:rPr>
                <w:noProof/>
                <w:webHidden/>
              </w:rPr>
              <w:t>79</w:t>
            </w:r>
            <w:r>
              <w:rPr>
                <w:noProof/>
                <w:webHidden/>
              </w:rPr>
              <w:fldChar w:fldCharType="end"/>
            </w:r>
          </w:hyperlink>
        </w:p>
        <w:p w14:paraId="1B20F979" w14:textId="77777777" w:rsidR="00F35C0D" w:rsidRPr="00F35C0D" w:rsidRDefault="00F35C0D" w:rsidP="00F35C0D">
          <w:pPr>
            <w:rPr>
              <w:sz w:val="16"/>
              <w:szCs w:val="16"/>
            </w:rPr>
          </w:pPr>
        </w:p>
        <w:p w14:paraId="0FD97958" w14:textId="77777777" w:rsidR="00F35C0D" w:rsidRDefault="00F35C0D" w:rsidP="00F35C0D">
          <w:pPr>
            <w:ind w:hanging="436"/>
            <w:rPr>
              <w:b/>
              <w:color w:val="0070C0"/>
              <w:sz w:val="28"/>
              <w:szCs w:val="28"/>
            </w:rPr>
          </w:pPr>
        </w:p>
        <w:p w14:paraId="5B0F4F87" w14:textId="4DECC8A0" w:rsidR="00F35C0D" w:rsidRPr="00AF77BB" w:rsidRDefault="00F35C0D" w:rsidP="00F35C0D">
          <w:pPr>
            <w:ind w:hanging="436"/>
            <w:rPr>
              <w:b/>
              <w:color w:val="0070C0"/>
              <w:sz w:val="28"/>
              <w:szCs w:val="28"/>
            </w:rPr>
          </w:pPr>
          <w:r w:rsidRPr="00AF77BB">
            <w:rPr>
              <w:b/>
              <w:color w:val="0070C0"/>
              <w:sz w:val="28"/>
              <w:szCs w:val="28"/>
            </w:rPr>
            <w:lastRenderedPageBreak/>
            <w:t>OUR ECONOMY</w:t>
          </w:r>
        </w:p>
        <w:p w14:paraId="756ACD33" w14:textId="77777777" w:rsidR="00F35C0D" w:rsidRPr="00F35C0D" w:rsidRDefault="00F35C0D" w:rsidP="00F35C0D">
          <w:pPr>
            <w:rPr>
              <w:sz w:val="16"/>
              <w:szCs w:val="16"/>
            </w:rPr>
          </w:pPr>
        </w:p>
        <w:p w14:paraId="1D4F1198" w14:textId="0AE71CB7" w:rsidR="00F35C0D" w:rsidRDefault="00F35C0D" w:rsidP="00F35C0D">
          <w:pPr>
            <w:pStyle w:val="TOC1"/>
            <w:tabs>
              <w:tab w:val="left" w:pos="440"/>
              <w:tab w:val="right" w:leader="dot" w:pos="9016"/>
            </w:tabs>
            <w:rPr>
              <w:rFonts w:eastAsiaTheme="minorEastAsia"/>
              <w:noProof/>
              <w:lang w:eastAsia="en-GB"/>
            </w:rPr>
          </w:pPr>
          <w:hyperlink w:anchor="_Toc519088637" w:history="1">
            <w:r w:rsidRPr="00AF48AE">
              <w:rPr>
                <w:rStyle w:val="Hyperlink"/>
                <w:noProof/>
              </w:rPr>
              <w:t>6.</w:t>
            </w:r>
            <w:r>
              <w:rPr>
                <w:rFonts w:eastAsiaTheme="minorEastAsia"/>
                <w:noProof/>
                <w:lang w:eastAsia="en-GB"/>
              </w:rPr>
              <w:tab/>
            </w:r>
            <w:r w:rsidRPr="00F35C0D">
              <w:rPr>
                <w:rStyle w:val="Hyperlink"/>
                <w:b/>
                <w:noProof/>
                <w:color w:val="0070C0"/>
              </w:rPr>
              <w:t>Economy</w:t>
            </w:r>
            <w:r>
              <w:rPr>
                <w:noProof/>
                <w:webHidden/>
              </w:rPr>
              <w:tab/>
            </w:r>
            <w:r>
              <w:rPr>
                <w:noProof/>
                <w:webHidden/>
              </w:rPr>
              <w:fldChar w:fldCharType="begin"/>
            </w:r>
            <w:r>
              <w:rPr>
                <w:noProof/>
                <w:webHidden/>
              </w:rPr>
              <w:instrText xml:space="preserve"> PAGEREF _Toc519088637 \h </w:instrText>
            </w:r>
            <w:r>
              <w:rPr>
                <w:noProof/>
                <w:webHidden/>
              </w:rPr>
            </w:r>
            <w:r>
              <w:rPr>
                <w:noProof/>
                <w:webHidden/>
              </w:rPr>
              <w:fldChar w:fldCharType="separate"/>
            </w:r>
            <w:r w:rsidR="00175103">
              <w:rPr>
                <w:noProof/>
                <w:webHidden/>
              </w:rPr>
              <w:t>79</w:t>
            </w:r>
            <w:r>
              <w:rPr>
                <w:noProof/>
                <w:webHidden/>
              </w:rPr>
              <w:fldChar w:fldCharType="end"/>
            </w:r>
          </w:hyperlink>
        </w:p>
        <w:p w14:paraId="7D62B5A1" w14:textId="03BBA26F" w:rsidR="00F35C0D" w:rsidRDefault="00F35C0D" w:rsidP="00F35C0D">
          <w:pPr>
            <w:pStyle w:val="TOC2"/>
            <w:tabs>
              <w:tab w:val="left" w:pos="880"/>
              <w:tab w:val="right" w:leader="dot" w:pos="9016"/>
            </w:tabs>
            <w:rPr>
              <w:rFonts w:eastAsiaTheme="minorEastAsia"/>
              <w:noProof/>
              <w:lang w:eastAsia="en-GB"/>
            </w:rPr>
          </w:pPr>
          <w:hyperlink w:anchor="_Toc519088638" w:history="1">
            <w:r w:rsidRPr="00AF48AE">
              <w:rPr>
                <w:rStyle w:val="Hyperlink"/>
                <w:noProof/>
              </w:rPr>
              <w:t>6.1</w:t>
            </w:r>
            <w:r>
              <w:rPr>
                <w:rFonts w:eastAsiaTheme="minorEastAsia"/>
                <w:noProof/>
                <w:lang w:eastAsia="en-GB"/>
              </w:rPr>
              <w:tab/>
            </w:r>
            <w:r w:rsidRPr="00AF48AE">
              <w:rPr>
                <w:rStyle w:val="Hyperlink"/>
                <w:noProof/>
              </w:rPr>
              <w:t>Overview of Aberdeen’s economy</w:t>
            </w:r>
            <w:r>
              <w:rPr>
                <w:noProof/>
                <w:webHidden/>
              </w:rPr>
              <w:tab/>
            </w:r>
            <w:r>
              <w:rPr>
                <w:noProof/>
                <w:webHidden/>
              </w:rPr>
              <w:fldChar w:fldCharType="begin"/>
            </w:r>
            <w:r>
              <w:rPr>
                <w:noProof/>
                <w:webHidden/>
              </w:rPr>
              <w:instrText xml:space="preserve"> PAGEREF _Toc519088638 \h </w:instrText>
            </w:r>
            <w:r>
              <w:rPr>
                <w:noProof/>
                <w:webHidden/>
              </w:rPr>
            </w:r>
            <w:r>
              <w:rPr>
                <w:noProof/>
                <w:webHidden/>
              </w:rPr>
              <w:fldChar w:fldCharType="separate"/>
            </w:r>
            <w:r w:rsidR="00175103">
              <w:rPr>
                <w:noProof/>
                <w:webHidden/>
              </w:rPr>
              <w:t>79</w:t>
            </w:r>
            <w:r>
              <w:rPr>
                <w:noProof/>
                <w:webHidden/>
              </w:rPr>
              <w:fldChar w:fldCharType="end"/>
            </w:r>
          </w:hyperlink>
        </w:p>
        <w:p w14:paraId="4EDED148" w14:textId="22A859C9" w:rsidR="00F35C0D" w:rsidRDefault="00F35C0D" w:rsidP="00F35C0D">
          <w:pPr>
            <w:pStyle w:val="TOC2"/>
            <w:tabs>
              <w:tab w:val="left" w:pos="1100"/>
              <w:tab w:val="right" w:leader="dot" w:pos="9016"/>
            </w:tabs>
            <w:rPr>
              <w:rFonts w:eastAsiaTheme="minorEastAsia"/>
              <w:noProof/>
              <w:lang w:eastAsia="en-GB"/>
            </w:rPr>
          </w:pPr>
          <w:hyperlink w:anchor="_Toc519088639" w:history="1">
            <w:r w:rsidRPr="00AF48AE">
              <w:rPr>
                <w:rStyle w:val="Hyperlink"/>
                <w:noProof/>
              </w:rPr>
              <w:t>6.1.1</w:t>
            </w:r>
            <w:r>
              <w:rPr>
                <w:rFonts w:eastAsiaTheme="minorEastAsia"/>
                <w:noProof/>
                <w:lang w:eastAsia="en-GB"/>
              </w:rPr>
              <w:tab/>
            </w:r>
            <w:r w:rsidRPr="00AF48AE">
              <w:rPr>
                <w:rStyle w:val="Hyperlink"/>
                <w:noProof/>
              </w:rPr>
              <w:t>Good growth for cities index</w:t>
            </w:r>
            <w:r>
              <w:rPr>
                <w:noProof/>
                <w:webHidden/>
              </w:rPr>
              <w:tab/>
            </w:r>
            <w:r>
              <w:rPr>
                <w:noProof/>
                <w:webHidden/>
              </w:rPr>
              <w:fldChar w:fldCharType="begin"/>
            </w:r>
            <w:r>
              <w:rPr>
                <w:noProof/>
                <w:webHidden/>
              </w:rPr>
              <w:instrText xml:space="preserve"> PAGEREF _Toc519088639 \h </w:instrText>
            </w:r>
            <w:r>
              <w:rPr>
                <w:noProof/>
                <w:webHidden/>
              </w:rPr>
            </w:r>
            <w:r>
              <w:rPr>
                <w:noProof/>
                <w:webHidden/>
              </w:rPr>
              <w:fldChar w:fldCharType="separate"/>
            </w:r>
            <w:r w:rsidR="00175103">
              <w:rPr>
                <w:noProof/>
                <w:webHidden/>
              </w:rPr>
              <w:t>79</w:t>
            </w:r>
            <w:r>
              <w:rPr>
                <w:noProof/>
                <w:webHidden/>
              </w:rPr>
              <w:fldChar w:fldCharType="end"/>
            </w:r>
          </w:hyperlink>
        </w:p>
        <w:p w14:paraId="550F914B" w14:textId="3CDC77E0" w:rsidR="00F35C0D" w:rsidRDefault="00F35C0D" w:rsidP="00F35C0D">
          <w:pPr>
            <w:pStyle w:val="TOC2"/>
            <w:tabs>
              <w:tab w:val="left" w:pos="1100"/>
              <w:tab w:val="right" w:leader="dot" w:pos="9016"/>
            </w:tabs>
            <w:rPr>
              <w:rFonts w:eastAsiaTheme="minorEastAsia"/>
              <w:noProof/>
              <w:lang w:eastAsia="en-GB"/>
            </w:rPr>
          </w:pPr>
          <w:hyperlink w:anchor="_Toc519088640" w:history="1">
            <w:r w:rsidRPr="00AF48AE">
              <w:rPr>
                <w:rStyle w:val="Hyperlink"/>
                <w:noProof/>
              </w:rPr>
              <w:t>6.1.2</w:t>
            </w:r>
            <w:r>
              <w:rPr>
                <w:rFonts w:eastAsiaTheme="minorEastAsia"/>
                <w:noProof/>
                <w:lang w:eastAsia="en-GB"/>
              </w:rPr>
              <w:tab/>
            </w:r>
            <w:r w:rsidRPr="00AF48AE">
              <w:rPr>
                <w:rStyle w:val="Hyperlink"/>
                <w:noProof/>
              </w:rPr>
              <w:t>GVA</w:t>
            </w:r>
            <w:r>
              <w:rPr>
                <w:noProof/>
                <w:webHidden/>
              </w:rPr>
              <w:tab/>
            </w:r>
            <w:r>
              <w:rPr>
                <w:noProof/>
                <w:webHidden/>
              </w:rPr>
              <w:fldChar w:fldCharType="begin"/>
            </w:r>
            <w:r>
              <w:rPr>
                <w:noProof/>
                <w:webHidden/>
              </w:rPr>
              <w:instrText xml:space="preserve"> PAGEREF _Toc519088640 \h </w:instrText>
            </w:r>
            <w:r>
              <w:rPr>
                <w:noProof/>
                <w:webHidden/>
              </w:rPr>
            </w:r>
            <w:r>
              <w:rPr>
                <w:noProof/>
                <w:webHidden/>
              </w:rPr>
              <w:fldChar w:fldCharType="separate"/>
            </w:r>
            <w:r w:rsidR="00175103">
              <w:rPr>
                <w:noProof/>
                <w:webHidden/>
              </w:rPr>
              <w:t>80</w:t>
            </w:r>
            <w:r>
              <w:rPr>
                <w:noProof/>
                <w:webHidden/>
              </w:rPr>
              <w:fldChar w:fldCharType="end"/>
            </w:r>
          </w:hyperlink>
        </w:p>
        <w:p w14:paraId="5145D7CA" w14:textId="36328D5C" w:rsidR="00F35C0D" w:rsidRDefault="00F35C0D" w:rsidP="00F35C0D">
          <w:pPr>
            <w:pStyle w:val="TOC2"/>
            <w:tabs>
              <w:tab w:val="left" w:pos="880"/>
              <w:tab w:val="right" w:leader="dot" w:pos="9016"/>
            </w:tabs>
            <w:rPr>
              <w:rFonts w:eastAsiaTheme="minorEastAsia"/>
              <w:noProof/>
              <w:lang w:eastAsia="en-GB"/>
            </w:rPr>
          </w:pPr>
          <w:hyperlink w:anchor="_Toc519088641" w:history="1">
            <w:r w:rsidRPr="00AF48AE">
              <w:rPr>
                <w:rStyle w:val="Hyperlink"/>
                <w:noProof/>
              </w:rPr>
              <w:t>6.2</w:t>
            </w:r>
            <w:r>
              <w:rPr>
                <w:rFonts w:eastAsiaTheme="minorEastAsia"/>
                <w:noProof/>
                <w:lang w:eastAsia="en-GB"/>
              </w:rPr>
              <w:tab/>
            </w:r>
            <w:r w:rsidRPr="00AF48AE">
              <w:rPr>
                <w:rStyle w:val="Hyperlink"/>
                <w:noProof/>
              </w:rPr>
              <w:t>Key Sectors</w:t>
            </w:r>
            <w:r>
              <w:rPr>
                <w:noProof/>
                <w:webHidden/>
              </w:rPr>
              <w:tab/>
            </w:r>
            <w:r>
              <w:rPr>
                <w:noProof/>
                <w:webHidden/>
              </w:rPr>
              <w:fldChar w:fldCharType="begin"/>
            </w:r>
            <w:r>
              <w:rPr>
                <w:noProof/>
                <w:webHidden/>
              </w:rPr>
              <w:instrText xml:space="preserve"> PAGEREF _Toc519088641 \h </w:instrText>
            </w:r>
            <w:r>
              <w:rPr>
                <w:noProof/>
                <w:webHidden/>
              </w:rPr>
            </w:r>
            <w:r>
              <w:rPr>
                <w:noProof/>
                <w:webHidden/>
              </w:rPr>
              <w:fldChar w:fldCharType="separate"/>
            </w:r>
            <w:r w:rsidR="00175103">
              <w:rPr>
                <w:noProof/>
                <w:webHidden/>
              </w:rPr>
              <w:t>81</w:t>
            </w:r>
            <w:r>
              <w:rPr>
                <w:noProof/>
                <w:webHidden/>
              </w:rPr>
              <w:fldChar w:fldCharType="end"/>
            </w:r>
          </w:hyperlink>
        </w:p>
        <w:p w14:paraId="7F744FA6" w14:textId="779AEC38" w:rsidR="00F35C0D" w:rsidRDefault="00F35C0D" w:rsidP="00F35C0D">
          <w:pPr>
            <w:pStyle w:val="TOC2"/>
            <w:tabs>
              <w:tab w:val="left" w:pos="1100"/>
              <w:tab w:val="right" w:leader="dot" w:pos="9016"/>
            </w:tabs>
            <w:rPr>
              <w:rFonts w:eastAsiaTheme="minorEastAsia"/>
              <w:noProof/>
              <w:lang w:eastAsia="en-GB"/>
            </w:rPr>
          </w:pPr>
          <w:hyperlink w:anchor="_Toc519088642" w:history="1">
            <w:r w:rsidRPr="00AF48AE">
              <w:rPr>
                <w:rStyle w:val="Hyperlink"/>
                <w:noProof/>
              </w:rPr>
              <w:t>6.2.1</w:t>
            </w:r>
            <w:r>
              <w:rPr>
                <w:rFonts w:eastAsiaTheme="minorEastAsia"/>
                <w:noProof/>
                <w:lang w:eastAsia="en-GB"/>
              </w:rPr>
              <w:tab/>
            </w:r>
            <w:r w:rsidRPr="00AF48AE">
              <w:rPr>
                <w:rStyle w:val="Hyperlink"/>
                <w:noProof/>
              </w:rPr>
              <w:t>Tourism</w:t>
            </w:r>
            <w:r>
              <w:rPr>
                <w:noProof/>
                <w:webHidden/>
              </w:rPr>
              <w:tab/>
            </w:r>
            <w:r>
              <w:rPr>
                <w:noProof/>
                <w:webHidden/>
              </w:rPr>
              <w:fldChar w:fldCharType="begin"/>
            </w:r>
            <w:r>
              <w:rPr>
                <w:noProof/>
                <w:webHidden/>
              </w:rPr>
              <w:instrText xml:space="preserve"> PAGEREF _Toc519088642 \h </w:instrText>
            </w:r>
            <w:r>
              <w:rPr>
                <w:noProof/>
                <w:webHidden/>
              </w:rPr>
            </w:r>
            <w:r>
              <w:rPr>
                <w:noProof/>
                <w:webHidden/>
              </w:rPr>
              <w:fldChar w:fldCharType="separate"/>
            </w:r>
            <w:r w:rsidR="00175103">
              <w:rPr>
                <w:noProof/>
                <w:webHidden/>
              </w:rPr>
              <w:t>81</w:t>
            </w:r>
            <w:r>
              <w:rPr>
                <w:noProof/>
                <w:webHidden/>
              </w:rPr>
              <w:fldChar w:fldCharType="end"/>
            </w:r>
          </w:hyperlink>
        </w:p>
        <w:p w14:paraId="2C208965" w14:textId="7C002835" w:rsidR="00F35C0D" w:rsidRDefault="00F35C0D" w:rsidP="00F35C0D">
          <w:pPr>
            <w:pStyle w:val="TOC2"/>
            <w:tabs>
              <w:tab w:val="left" w:pos="1100"/>
              <w:tab w:val="right" w:leader="dot" w:pos="9016"/>
            </w:tabs>
            <w:rPr>
              <w:rFonts w:eastAsiaTheme="minorEastAsia"/>
              <w:noProof/>
              <w:lang w:eastAsia="en-GB"/>
            </w:rPr>
          </w:pPr>
          <w:hyperlink w:anchor="_Toc519088643" w:history="1">
            <w:r w:rsidRPr="00AF48AE">
              <w:rPr>
                <w:rStyle w:val="Hyperlink"/>
                <w:noProof/>
              </w:rPr>
              <w:t>6.2.2</w:t>
            </w:r>
            <w:r>
              <w:rPr>
                <w:rFonts w:eastAsiaTheme="minorEastAsia"/>
                <w:noProof/>
                <w:lang w:eastAsia="en-GB"/>
              </w:rPr>
              <w:tab/>
            </w:r>
            <w:r w:rsidRPr="00AF48AE">
              <w:rPr>
                <w:rStyle w:val="Hyperlink"/>
                <w:noProof/>
              </w:rPr>
              <w:t>Oil and Gas</w:t>
            </w:r>
            <w:r>
              <w:rPr>
                <w:noProof/>
                <w:webHidden/>
              </w:rPr>
              <w:tab/>
            </w:r>
            <w:r>
              <w:rPr>
                <w:noProof/>
                <w:webHidden/>
              </w:rPr>
              <w:fldChar w:fldCharType="begin"/>
            </w:r>
            <w:r>
              <w:rPr>
                <w:noProof/>
                <w:webHidden/>
              </w:rPr>
              <w:instrText xml:space="preserve"> PAGEREF _Toc519088643 \h </w:instrText>
            </w:r>
            <w:r>
              <w:rPr>
                <w:noProof/>
                <w:webHidden/>
              </w:rPr>
            </w:r>
            <w:r>
              <w:rPr>
                <w:noProof/>
                <w:webHidden/>
              </w:rPr>
              <w:fldChar w:fldCharType="separate"/>
            </w:r>
            <w:r w:rsidR="00175103">
              <w:rPr>
                <w:noProof/>
                <w:webHidden/>
              </w:rPr>
              <w:t>82</w:t>
            </w:r>
            <w:r>
              <w:rPr>
                <w:noProof/>
                <w:webHidden/>
              </w:rPr>
              <w:fldChar w:fldCharType="end"/>
            </w:r>
          </w:hyperlink>
        </w:p>
        <w:p w14:paraId="7743A55B" w14:textId="5C614F1E" w:rsidR="00F35C0D" w:rsidRDefault="00F35C0D" w:rsidP="00F35C0D">
          <w:pPr>
            <w:pStyle w:val="TOC2"/>
            <w:tabs>
              <w:tab w:val="left" w:pos="880"/>
              <w:tab w:val="right" w:leader="dot" w:pos="9016"/>
            </w:tabs>
            <w:rPr>
              <w:rFonts w:eastAsiaTheme="minorEastAsia"/>
              <w:noProof/>
              <w:lang w:eastAsia="en-GB"/>
            </w:rPr>
          </w:pPr>
          <w:hyperlink w:anchor="_Toc519088644" w:history="1">
            <w:r w:rsidRPr="00AF48AE">
              <w:rPr>
                <w:rStyle w:val="Hyperlink"/>
                <w:noProof/>
              </w:rPr>
              <w:t>6.3</w:t>
            </w:r>
            <w:r>
              <w:rPr>
                <w:rFonts w:eastAsiaTheme="minorEastAsia"/>
                <w:noProof/>
                <w:lang w:eastAsia="en-GB"/>
              </w:rPr>
              <w:tab/>
            </w:r>
            <w:r w:rsidRPr="00AF48AE">
              <w:rPr>
                <w:rStyle w:val="Hyperlink"/>
                <w:noProof/>
              </w:rPr>
              <w:t>Universities</w:t>
            </w:r>
            <w:r>
              <w:rPr>
                <w:noProof/>
                <w:webHidden/>
              </w:rPr>
              <w:tab/>
            </w:r>
            <w:r>
              <w:rPr>
                <w:noProof/>
                <w:webHidden/>
              </w:rPr>
              <w:fldChar w:fldCharType="begin"/>
            </w:r>
            <w:r>
              <w:rPr>
                <w:noProof/>
                <w:webHidden/>
              </w:rPr>
              <w:instrText xml:space="preserve"> PAGEREF _Toc519088644 \h </w:instrText>
            </w:r>
            <w:r>
              <w:rPr>
                <w:noProof/>
                <w:webHidden/>
              </w:rPr>
            </w:r>
            <w:r>
              <w:rPr>
                <w:noProof/>
                <w:webHidden/>
              </w:rPr>
              <w:fldChar w:fldCharType="separate"/>
            </w:r>
            <w:r w:rsidR="00175103">
              <w:rPr>
                <w:noProof/>
                <w:webHidden/>
              </w:rPr>
              <w:t>83</w:t>
            </w:r>
            <w:r>
              <w:rPr>
                <w:noProof/>
                <w:webHidden/>
              </w:rPr>
              <w:fldChar w:fldCharType="end"/>
            </w:r>
          </w:hyperlink>
        </w:p>
        <w:p w14:paraId="792B80B4" w14:textId="573FA0CD" w:rsidR="00F35C0D" w:rsidRDefault="00F35C0D" w:rsidP="00F35C0D">
          <w:pPr>
            <w:pStyle w:val="TOC2"/>
            <w:tabs>
              <w:tab w:val="left" w:pos="880"/>
              <w:tab w:val="right" w:leader="dot" w:pos="9016"/>
            </w:tabs>
            <w:rPr>
              <w:rFonts w:eastAsiaTheme="minorEastAsia"/>
              <w:noProof/>
              <w:lang w:eastAsia="en-GB"/>
            </w:rPr>
          </w:pPr>
          <w:hyperlink w:anchor="_Toc519088645" w:history="1">
            <w:r w:rsidRPr="00AF48AE">
              <w:rPr>
                <w:rStyle w:val="Hyperlink"/>
                <w:noProof/>
              </w:rPr>
              <w:t>6.4</w:t>
            </w:r>
            <w:r>
              <w:rPr>
                <w:rFonts w:eastAsiaTheme="minorEastAsia"/>
                <w:noProof/>
                <w:lang w:eastAsia="en-GB"/>
              </w:rPr>
              <w:tab/>
            </w:r>
            <w:r w:rsidRPr="00AF48AE">
              <w:rPr>
                <w:rStyle w:val="Hyperlink"/>
                <w:noProof/>
              </w:rPr>
              <w:t>Businesses</w:t>
            </w:r>
            <w:r>
              <w:rPr>
                <w:noProof/>
                <w:webHidden/>
              </w:rPr>
              <w:tab/>
            </w:r>
            <w:r>
              <w:rPr>
                <w:noProof/>
                <w:webHidden/>
              </w:rPr>
              <w:fldChar w:fldCharType="begin"/>
            </w:r>
            <w:r>
              <w:rPr>
                <w:noProof/>
                <w:webHidden/>
              </w:rPr>
              <w:instrText xml:space="preserve"> PAGEREF _Toc519088645 \h </w:instrText>
            </w:r>
            <w:r>
              <w:rPr>
                <w:noProof/>
                <w:webHidden/>
              </w:rPr>
            </w:r>
            <w:r>
              <w:rPr>
                <w:noProof/>
                <w:webHidden/>
              </w:rPr>
              <w:fldChar w:fldCharType="separate"/>
            </w:r>
            <w:r w:rsidR="00175103">
              <w:rPr>
                <w:noProof/>
                <w:webHidden/>
              </w:rPr>
              <w:t>83</w:t>
            </w:r>
            <w:r>
              <w:rPr>
                <w:noProof/>
                <w:webHidden/>
              </w:rPr>
              <w:fldChar w:fldCharType="end"/>
            </w:r>
          </w:hyperlink>
        </w:p>
        <w:p w14:paraId="14F561EB" w14:textId="4D70C46E" w:rsidR="00F35C0D" w:rsidRDefault="00F35C0D" w:rsidP="00F35C0D">
          <w:pPr>
            <w:pStyle w:val="TOC2"/>
            <w:tabs>
              <w:tab w:val="left" w:pos="1100"/>
              <w:tab w:val="right" w:leader="dot" w:pos="9016"/>
            </w:tabs>
            <w:rPr>
              <w:rFonts w:eastAsiaTheme="minorEastAsia"/>
              <w:noProof/>
              <w:lang w:eastAsia="en-GB"/>
            </w:rPr>
          </w:pPr>
          <w:hyperlink w:anchor="_Toc519088646" w:history="1">
            <w:r w:rsidRPr="00AF48AE">
              <w:rPr>
                <w:rStyle w:val="Hyperlink"/>
                <w:noProof/>
              </w:rPr>
              <w:t>6.4.1</w:t>
            </w:r>
            <w:r>
              <w:rPr>
                <w:rFonts w:eastAsiaTheme="minorEastAsia"/>
                <w:noProof/>
                <w:lang w:eastAsia="en-GB"/>
              </w:rPr>
              <w:tab/>
            </w:r>
            <w:r w:rsidRPr="00AF48AE">
              <w:rPr>
                <w:rStyle w:val="Hyperlink"/>
                <w:noProof/>
              </w:rPr>
              <w:t>Business Count</w:t>
            </w:r>
            <w:r>
              <w:rPr>
                <w:noProof/>
                <w:webHidden/>
              </w:rPr>
              <w:tab/>
            </w:r>
            <w:r>
              <w:rPr>
                <w:noProof/>
                <w:webHidden/>
              </w:rPr>
              <w:fldChar w:fldCharType="begin"/>
            </w:r>
            <w:r>
              <w:rPr>
                <w:noProof/>
                <w:webHidden/>
              </w:rPr>
              <w:instrText xml:space="preserve"> PAGEREF _Toc519088646 \h </w:instrText>
            </w:r>
            <w:r>
              <w:rPr>
                <w:noProof/>
                <w:webHidden/>
              </w:rPr>
            </w:r>
            <w:r>
              <w:rPr>
                <w:noProof/>
                <w:webHidden/>
              </w:rPr>
              <w:fldChar w:fldCharType="separate"/>
            </w:r>
            <w:r w:rsidR="00175103">
              <w:rPr>
                <w:noProof/>
                <w:webHidden/>
              </w:rPr>
              <w:t>83</w:t>
            </w:r>
            <w:r>
              <w:rPr>
                <w:noProof/>
                <w:webHidden/>
              </w:rPr>
              <w:fldChar w:fldCharType="end"/>
            </w:r>
          </w:hyperlink>
        </w:p>
        <w:p w14:paraId="24BA36D6" w14:textId="1A646700" w:rsidR="00F35C0D" w:rsidRDefault="00F35C0D" w:rsidP="00F35C0D">
          <w:pPr>
            <w:pStyle w:val="TOC2"/>
            <w:tabs>
              <w:tab w:val="left" w:pos="1100"/>
              <w:tab w:val="right" w:leader="dot" w:pos="9016"/>
            </w:tabs>
            <w:rPr>
              <w:rFonts w:eastAsiaTheme="minorEastAsia"/>
              <w:noProof/>
              <w:lang w:eastAsia="en-GB"/>
            </w:rPr>
          </w:pPr>
          <w:hyperlink w:anchor="_Toc519088647" w:history="1">
            <w:r w:rsidRPr="00AF48AE">
              <w:rPr>
                <w:rStyle w:val="Hyperlink"/>
                <w:noProof/>
              </w:rPr>
              <w:t>6.4.2</w:t>
            </w:r>
            <w:r>
              <w:rPr>
                <w:rFonts w:eastAsiaTheme="minorEastAsia"/>
                <w:noProof/>
                <w:lang w:eastAsia="en-GB"/>
              </w:rPr>
              <w:tab/>
            </w:r>
            <w:r w:rsidRPr="00AF48AE">
              <w:rPr>
                <w:rStyle w:val="Hyperlink"/>
                <w:noProof/>
              </w:rPr>
              <w:t>Business births and deaths</w:t>
            </w:r>
            <w:r>
              <w:rPr>
                <w:noProof/>
                <w:webHidden/>
              </w:rPr>
              <w:tab/>
            </w:r>
            <w:r>
              <w:rPr>
                <w:noProof/>
                <w:webHidden/>
              </w:rPr>
              <w:fldChar w:fldCharType="begin"/>
            </w:r>
            <w:r>
              <w:rPr>
                <w:noProof/>
                <w:webHidden/>
              </w:rPr>
              <w:instrText xml:space="preserve"> PAGEREF _Toc519088647 \h </w:instrText>
            </w:r>
            <w:r>
              <w:rPr>
                <w:noProof/>
                <w:webHidden/>
              </w:rPr>
            </w:r>
            <w:r>
              <w:rPr>
                <w:noProof/>
                <w:webHidden/>
              </w:rPr>
              <w:fldChar w:fldCharType="separate"/>
            </w:r>
            <w:r w:rsidR="00175103">
              <w:rPr>
                <w:noProof/>
                <w:webHidden/>
              </w:rPr>
              <w:t>84</w:t>
            </w:r>
            <w:r>
              <w:rPr>
                <w:noProof/>
                <w:webHidden/>
              </w:rPr>
              <w:fldChar w:fldCharType="end"/>
            </w:r>
          </w:hyperlink>
        </w:p>
        <w:p w14:paraId="16D667A4" w14:textId="0475B141" w:rsidR="00F35C0D" w:rsidRDefault="00F35C0D" w:rsidP="00F35C0D">
          <w:pPr>
            <w:pStyle w:val="TOC2"/>
            <w:tabs>
              <w:tab w:val="left" w:pos="1100"/>
              <w:tab w:val="right" w:leader="dot" w:pos="9016"/>
            </w:tabs>
            <w:rPr>
              <w:rFonts w:eastAsiaTheme="minorEastAsia"/>
              <w:noProof/>
              <w:lang w:eastAsia="en-GB"/>
            </w:rPr>
          </w:pPr>
          <w:hyperlink w:anchor="_Toc519088648" w:history="1">
            <w:r w:rsidRPr="00AF48AE">
              <w:rPr>
                <w:rStyle w:val="Hyperlink"/>
                <w:noProof/>
              </w:rPr>
              <w:t>6.4.3</w:t>
            </w:r>
            <w:r>
              <w:rPr>
                <w:rFonts w:eastAsiaTheme="minorEastAsia"/>
                <w:noProof/>
                <w:lang w:eastAsia="en-GB"/>
              </w:rPr>
              <w:tab/>
            </w:r>
            <w:r w:rsidRPr="00AF48AE">
              <w:rPr>
                <w:rStyle w:val="Hyperlink"/>
                <w:noProof/>
              </w:rPr>
              <w:t>Innovation</w:t>
            </w:r>
            <w:r>
              <w:rPr>
                <w:noProof/>
                <w:webHidden/>
              </w:rPr>
              <w:tab/>
            </w:r>
            <w:r>
              <w:rPr>
                <w:noProof/>
                <w:webHidden/>
              </w:rPr>
              <w:fldChar w:fldCharType="begin"/>
            </w:r>
            <w:r>
              <w:rPr>
                <w:noProof/>
                <w:webHidden/>
              </w:rPr>
              <w:instrText xml:space="preserve"> PAGEREF _Toc519088648 \h </w:instrText>
            </w:r>
            <w:r>
              <w:rPr>
                <w:noProof/>
                <w:webHidden/>
              </w:rPr>
            </w:r>
            <w:r>
              <w:rPr>
                <w:noProof/>
                <w:webHidden/>
              </w:rPr>
              <w:fldChar w:fldCharType="separate"/>
            </w:r>
            <w:r w:rsidR="00175103">
              <w:rPr>
                <w:noProof/>
                <w:webHidden/>
              </w:rPr>
              <w:t>85</w:t>
            </w:r>
            <w:r>
              <w:rPr>
                <w:noProof/>
                <w:webHidden/>
              </w:rPr>
              <w:fldChar w:fldCharType="end"/>
            </w:r>
          </w:hyperlink>
        </w:p>
        <w:p w14:paraId="3A52C563" w14:textId="3896DB19" w:rsidR="00F35C0D" w:rsidRDefault="00F35C0D" w:rsidP="00F35C0D">
          <w:pPr>
            <w:pStyle w:val="TOC2"/>
            <w:tabs>
              <w:tab w:val="left" w:pos="880"/>
              <w:tab w:val="right" w:leader="dot" w:pos="9016"/>
            </w:tabs>
            <w:rPr>
              <w:rFonts w:eastAsiaTheme="minorEastAsia"/>
              <w:noProof/>
              <w:lang w:eastAsia="en-GB"/>
            </w:rPr>
          </w:pPr>
          <w:hyperlink w:anchor="_Toc519088649" w:history="1">
            <w:r w:rsidRPr="00AF48AE">
              <w:rPr>
                <w:rStyle w:val="Hyperlink"/>
                <w:noProof/>
              </w:rPr>
              <w:t>6.5</w:t>
            </w:r>
            <w:r>
              <w:rPr>
                <w:rFonts w:eastAsiaTheme="minorEastAsia"/>
                <w:noProof/>
                <w:lang w:eastAsia="en-GB"/>
              </w:rPr>
              <w:tab/>
            </w:r>
            <w:r w:rsidRPr="00AF48AE">
              <w:rPr>
                <w:rStyle w:val="Hyperlink"/>
                <w:noProof/>
              </w:rPr>
              <w:t>Income and earnings</w:t>
            </w:r>
            <w:r>
              <w:rPr>
                <w:noProof/>
                <w:webHidden/>
              </w:rPr>
              <w:tab/>
            </w:r>
            <w:r>
              <w:rPr>
                <w:noProof/>
                <w:webHidden/>
              </w:rPr>
              <w:fldChar w:fldCharType="begin"/>
            </w:r>
            <w:r>
              <w:rPr>
                <w:noProof/>
                <w:webHidden/>
              </w:rPr>
              <w:instrText xml:space="preserve"> PAGEREF _Toc519088649 \h </w:instrText>
            </w:r>
            <w:r>
              <w:rPr>
                <w:noProof/>
                <w:webHidden/>
              </w:rPr>
            </w:r>
            <w:r>
              <w:rPr>
                <w:noProof/>
                <w:webHidden/>
              </w:rPr>
              <w:fldChar w:fldCharType="separate"/>
            </w:r>
            <w:r w:rsidR="00175103">
              <w:rPr>
                <w:noProof/>
                <w:webHidden/>
              </w:rPr>
              <w:t>86</w:t>
            </w:r>
            <w:r>
              <w:rPr>
                <w:noProof/>
                <w:webHidden/>
              </w:rPr>
              <w:fldChar w:fldCharType="end"/>
            </w:r>
          </w:hyperlink>
        </w:p>
        <w:p w14:paraId="146B3365" w14:textId="1ADF8F49" w:rsidR="00F35C0D" w:rsidRDefault="00F35C0D" w:rsidP="00F35C0D">
          <w:pPr>
            <w:pStyle w:val="TOC2"/>
            <w:tabs>
              <w:tab w:val="left" w:pos="1100"/>
              <w:tab w:val="right" w:leader="dot" w:pos="9016"/>
            </w:tabs>
            <w:rPr>
              <w:rFonts w:eastAsiaTheme="minorEastAsia"/>
              <w:noProof/>
              <w:lang w:eastAsia="en-GB"/>
            </w:rPr>
          </w:pPr>
          <w:hyperlink w:anchor="_Toc519088650" w:history="1">
            <w:r w:rsidRPr="00AF48AE">
              <w:rPr>
                <w:rStyle w:val="Hyperlink"/>
                <w:noProof/>
              </w:rPr>
              <w:t>6.5.1</w:t>
            </w:r>
            <w:r>
              <w:rPr>
                <w:rFonts w:eastAsiaTheme="minorEastAsia"/>
                <w:noProof/>
                <w:lang w:eastAsia="en-GB"/>
              </w:rPr>
              <w:tab/>
            </w:r>
            <w:r w:rsidRPr="00AF48AE">
              <w:rPr>
                <w:rStyle w:val="Hyperlink"/>
                <w:noProof/>
              </w:rPr>
              <w:t>Average weekly wage by place of work</w:t>
            </w:r>
            <w:r>
              <w:rPr>
                <w:noProof/>
                <w:webHidden/>
              </w:rPr>
              <w:tab/>
            </w:r>
            <w:r>
              <w:rPr>
                <w:noProof/>
                <w:webHidden/>
              </w:rPr>
              <w:fldChar w:fldCharType="begin"/>
            </w:r>
            <w:r>
              <w:rPr>
                <w:noProof/>
                <w:webHidden/>
              </w:rPr>
              <w:instrText xml:space="preserve"> PAGEREF _Toc519088650 \h </w:instrText>
            </w:r>
            <w:r>
              <w:rPr>
                <w:noProof/>
                <w:webHidden/>
              </w:rPr>
            </w:r>
            <w:r>
              <w:rPr>
                <w:noProof/>
                <w:webHidden/>
              </w:rPr>
              <w:fldChar w:fldCharType="separate"/>
            </w:r>
            <w:r w:rsidR="00175103">
              <w:rPr>
                <w:noProof/>
                <w:webHidden/>
              </w:rPr>
              <w:t>86</w:t>
            </w:r>
            <w:r>
              <w:rPr>
                <w:noProof/>
                <w:webHidden/>
              </w:rPr>
              <w:fldChar w:fldCharType="end"/>
            </w:r>
          </w:hyperlink>
        </w:p>
        <w:p w14:paraId="6F9F67A8" w14:textId="506554A6" w:rsidR="00F35C0D" w:rsidRDefault="00F35C0D" w:rsidP="00F35C0D">
          <w:pPr>
            <w:pStyle w:val="TOC2"/>
            <w:tabs>
              <w:tab w:val="left" w:pos="1100"/>
              <w:tab w:val="right" w:leader="dot" w:pos="9016"/>
            </w:tabs>
            <w:rPr>
              <w:rFonts w:eastAsiaTheme="minorEastAsia"/>
              <w:noProof/>
              <w:lang w:eastAsia="en-GB"/>
            </w:rPr>
          </w:pPr>
          <w:hyperlink w:anchor="_Toc519088651" w:history="1">
            <w:r w:rsidRPr="00AF48AE">
              <w:rPr>
                <w:rStyle w:val="Hyperlink"/>
                <w:noProof/>
              </w:rPr>
              <w:t>6.5.2</w:t>
            </w:r>
            <w:r>
              <w:rPr>
                <w:rFonts w:eastAsiaTheme="minorEastAsia"/>
                <w:noProof/>
                <w:lang w:eastAsia="en-GB"/>
              </w:rPr>
              <w:tab/>
            </w:r>
            <w:r w:rsidRPr="00AF48AE">
              <w:rPr>
                <w:rStyle w:val="Hyperlink"/>
                <w:noProof/>
              </w:rPr>
              <w:t>Average weekly wage by place of residence</w:t>
            </w:r>
            <w:r>
              <w:rPr>
                <w:noProof/>
                <w:webHidden/>
              </w:rPr>
              <w:tab/>
            </w:r>
            <w:r>
              <w:rPr>
                <w:noProof/>
                <w:webHidden/>
              </w:rPr>
              <w:fldChar w:fldCharType="begin"/>
            </w:r>
            <w:r>
              <w:rPr>
                <w:noProof/>
                <w:webHidden/>
              </w:rPr>
              <w:instrText xml:space="preserve"> PAGEREF _Toc519088651 \h </w:instrText>
            </w:r>
            <w:r>
              <w:rPr>
                <w:noProof/>
                <w:webHidden/>
              </w:rPr>
            </w:r>
            <w:r>
              <w:rPr>
                <w:noProof/>
                <w:webHidden/>
              </w:rPr>
              <w:fldChar w:fldCharType="separate"/>
            </w:r>
            <w:r w:rsidR="00175103">
              <w:rPr>
                <w:noProof/>
                <w:webHidden/>
              </w:rPr>
              <w:t>86</w:t>
            </w:r>
            <w:r>
              <w:rPr>
                <w:noProof/>
                <w:webHidden/>
              </w:rPr>
              <w:fldChar w:fldCharType="end"/>
            </w:r>
          </w:hyperlink>
        </w:p>
        <w:p w14:paraId="51587A30" w14:textId="2A74B472" w:rsidR="00F35C0D" w:rsidRDefault="00F35C0D" w:rsidP="00F35C0D">
          <w:pPr>
            <w:pStyle w:val="TOC2"/>
            <w:tabs>
              <w:tab w:val="left" w:pos="1100"/>
              <w:tab w:val="right" w:leader="dot" w:pos="9016"/>
            </w:tabs>
            <w:rPr>
              <w:rFonts w:eastAsiaTheme="minorEastAsia"/>
              <w:noProof/>
              <w:lang w:eastAsia="en-GB"/>
            </w:rPr>
          </w:pPr>
          <w:hyperlink w:anchor="_Toc519088652" w:history="1">
            <w:r w:rsidRPr="00AF48AE">
              <w:rPr>
                <w:rStyle w:val="Hyperlink"/>
                <w:noProof/>
              </w:rPr>
              <w:t>6.5.3</w:t>
            </w:r>
            <w:r>
              <w:rPr>
                <w:rFonts w:eastAsiaTheme="minorEastAsia"/>
                <w:noProof/>
                <w:lang w:eastAsia="en-GB"/>
              </w:rPr>
              <w:tab/>
            </w:r>
            <w:r w:rsidRPr="00AF48AE">
              <w:rPr>
                <w:rStyle w:val="Hyperlink"/>
                <w:noProof/>
              </w:rPr>
              <w:t>Annual household income</w:t>
            </w:r>
            <w:r>
              <w:rPr>
                <w:noProof/>
                <w:webHidden/>
              </w:rPr>
              <w:tab/>
            </w:r>
            <w:r>
              <w:rPr>
                <w:noProof/>
                <w:webHidden/>
              </w:rPr>
              <w:fldChar w:fldCharType="begin"/>
            </w:r>
            <w:r>
              <w:rPr>
                <w:noProof/>
                <w:webHidden/>
              </w:rPr>
              <w:instrText xml:space="preserve"> PAGEREF _Toc519088652 \h </w:instrText>
            </w:r>
            <w:r>
              <w:rPr>
                <w:noProof/>
                <w:webHidden/>
              </w:rPr>
            </w:r>
            <w:r>
              <w:rPr>
                <w:noProof/>
                <w:webHidden/>
              </w:rPr>
              <w:fldChar w:fldCharType="separate"/>
            </w:r>
            <w:r w:rsidR="00175103">
              <w:rPr>
                <w:noProof/>
                <w:webHidden/>
              </w:rPr>
              <w:t>87</w:t>
            </w:r>
            <w:r>
              <w:rPr>
                <w:noProof/>
                <w:webHidden/>
              </w:rPr>
              <w:fldChar w:fldCharType="end"/>
            </w:r>
          </w:hyperlink>
        </w:p>
        <w:p w14:paraId="4A545B7A" w14:textId="2D695F27" w:rsidR="00F35C0D" w:rsidRDefault="00F35C0D" w:rsidP="00F35C0D">
          <w:pPr>
            <w:pStyle w:val="TOC2"/>
            <w:tabs>
              <w:tab w:val="left" w:pos="880"/>
              <w:tab w:val="right" w:leader="dot" w:pos="9016"/>
            </w:tabs>
            <w:rPr>
              <w:rFonts w:eastAsiaTheme="minorEastAsia"/>
              <w:noProof/>
              <w:lang w:eastAsia="en-GB"/>
            </w:rPr>
          </w:pPr>
          <w:hyperlink w:anchor="_Toc519088653" w:history="1">
            <w:r w:rsidRPr="00AF48AE">
              <w:rPr>
                <w:rStyle w:val="Hyperlink"/>
                <w:noProof/>
              </w:rPr>
              <w:t>6.6</w:t>
            </w:r>
            <w:r>
              <w:rPr>
                <w:rFonts w:eastAsiaTheme="minorEastAsia"/>
                <w:noProof/>
                <w:lang w:eastAsia="en-GB"/>
              </w:rPr>
              <w:tab/>
            </w:r>
            <w:r w:rsidRPr="00AF48AE">
              <w:rPr>
                <w:rStyle w:val="Hyperlink"/>
                <w:noProof/>
              </w:rPr>
              <w:t>Labour market</w:t>
            </w:r>
            <w:r>
              <w:rPr>
                <w:noProof/>
                <w:webHidden/>
              </w:rPr>
              <w:tab/>
            </w:r>
            <w:r>
              <w:rPr>
                <w:noProof/>
                <w:webHidden/>
              </w:rPr>
              <w:fldChar w:fldCharType="begin"/>
            </w:r>
            <w:r>
              <w:rPr>
                <w:noProof/>
                <w:webHidden/>
              </w:rPr>
              <w:instrText xml:space="preserve"> PAGEREF _Toc519088653 \h </w:instrText>
            </w:r>
            <w:r>
              <w:rPr>
                <w:noProof/>
                <w:webHidden/>
              </w:rPr>
            </w:r>
            <w:r>
              <w:rPr>
                <w:noProof/>
                <w:webHidden/>
              </w:rPr>
              <w:fldChar w:fldCharType="separate"/>
            </w:r>
            <w:r w:rsidR="00175103">
              <w:rPr>
                <w:noProof/>
                <w:webHidden/>
              </w:rPr>
              <w:t>88</w:t>
            </w:r>
            <w:r>
              <w:rPr>
                <w:noProof/>
                <w:webHidden/>
              </w:rPr>
              <w:fldChar w:fldCharType="end"/>
            </w:r>
          </w:hyperlink>
        </w:p>
        <w:p w14:paraId="21464192" w14:textId="0AC0A3CD" w:rsidR="00F35C0D" w:rsidRDefault="00F35C0D" w:rsidP="00F35C0D">
          <w:pPr>
            <w:pStyle w:val="TOC2"/>
            <w:tabs>
              <w:tab w:val="left" w:pos="1100"/>
              <w:tab w:val="right" w:leader="dot" w:pos="9016"/>
            </w:tabs>
            <w:rPr>
              <w:rFonts w:eastAsiaTheme="minorEastAsia"/>
              <w:noProof/>
              <w:lang w:eastAsia="en-GB"/>
            </w:rPr>
          </w:pPr>
          <w:hyperlink w:anchor="_Toc519088654" w:history="1">
            <w:r w:rsidRPr="00AF48AE">
              <w:rPr>
                <w:rStyle w:val="Hyperlink"/>
                <w:noProof/>
              </w:rPr>
              <w:t>6.6.1</w:t>
            </w:r>
            <w:r>
              <w:rPr>
                <w:rFonts w:eastAsiaTheme="minorEastAsia"/>
                <w:noProof/>
                <w:lang w:eastAsia="en-GB"/>
              </w:rPr>
              <w:tab/>
            </w:r>
            <w:r w:rsidRPr="00AF48AE">
              <w:rPr>
                <w:rStyle w:val="Hyperlink"/>
                <w:noProof/>
              </w:rPr>
              <w:t>Economically active</w:t>
            </w:r>
            <w:r>
              <w:rPr>
                <w:noProof/>
                <w:webHidden/>
              </w:rPr>
              <w:tab/>
            </w:r>
            <w:r>
              <w:rPr>
                <w:noProof/>
                <w:webHidden/>
              </w:rPr>
              <w:fldChar w:fldCharType="begin"/>
            </w:r>
            <w:r>
              <w:rPr>
                <w:noProof/>
                <w:webHidden/>
              </w:rPr>
              <w:instrText xml:space="preserve"> PAGEREF _Toc519088654 \h </w:instrText>
            </w:r>
            <w:r>
              <w:rPr>
                <w:noProof/>
                <w:webHidden/>
              </w:rPr>
            </w:r>
            <w:r>
              <w:rPr>
                <w:noProof/>
                <w:webHidden/>
              </w:rPr>
              <w:fldChar w:fldCharType="separate"/>
            </w:r>
            <w:r w:rsidR="00175103">
              <w:rPr>
                <w:noProof/>
                <w:webHidden/>
              </w:rPr>
              <w:t>88</w:t>
            </w:r>
            <w:r>
              <w:rPr>
                <w:noProof/>
                <w:webHidden/>
              </w:rPr>
              <w:fldChar w:fldCharType="end"/>
            </w:r>
          </w:hyperlink>
        </w:p>
        <w:p w14:paraId="1F4E473F" w14:textId="305F2DBF" w:rsidR="00F35C0D" w:rsidRDefault="00F35C0D" w:rsidP="00F35C0D">
          <w:pPr>
            <w:pStyle w:val="TOC2"/>
            <w:tabs>
              <w:tab w:val="left" w:pos="1100"/>
              <w:tab w:val="right" w:leader="dot" w:pos="9016"/>
            </w:tabs>
            <w:rPr>
              <w:rFonts w:eastAsiaTheme="minorEastAsia"/>
              <w:noProof/>
              <w:lang w:eastAsia="en-GB"/>
            </w:rPr>
          </w:pPr>
          <w:hyperlink w:anchor="_Toc519088655" w:history="1">
            <w:r w:rsidRPr="00AF48AE">
              <w:rPr>
                <w:rStyle w:val="Hyperlink"/>
                <w:noProof/>
              </w:rPr>
              <w:t>6.6.2</w:t>
            </w:r>
            <w:r>
              <w:rPr>
                <w:rFonts w:eastAsiaTheme="minorEastAsia"/>
                <w:noProof/>
                <w:lang w:eastAsia="en-GB"/>
              </w:rPr>
              <w:tab/>
            </w:r>
            <w:r w:rsidRPr="00AF48AE">
              <w:rPr>
                <w:rStyle w:val="Hyperlink"/>
                <w:noProof/>
              </w:rPr>
              <w:t>Economically inactive</w:t>
            </w:r>
            <w:r>
              <w:rPr>
                <w:noProof/>
                <w:webHidden/>
              </w:rPr>
              <w:tab/>
            </w:r>
            <w:r>
              <w:rPr>
                <w:noProof/>
                <w:webHidden/>
              </w:rPr>
              <w:fldChar w:fldCharType="begin"/>
            </w:r>
            <w:r>
              <w:rPr>
                <w:noProof/>
                <w:webHidden/>
              </w:rPr>
              <w:instrText xml:space="preserve"> PAGEREF _Toc519088655 \h </w:instrText>
            </w:r>
            <w:r>
              <w:rPr>
                <w:noProof/>
                <w:webHidden/>
              </w:rPr>
            </w:r>
            <w:r>
              <w:rPr>
                <w:noProof/>
                <w:webHidden/>
              </w:rPr>
              <w:fldChar w:fldCharType="separate"/>
            </w:r>
            <w:r w:rsidR="00175103">
              <w:rPr>
                <w:noProof/>
                <w:webHidden/>
              </w:rPr>
              <w:t>88</w:t>
            </w:r>
            <w:r>
              <w:rPr>
                <w:noProof/>
                <w:webHidden/>
              </w:rPr>
              <w:fldChar w:fldCharType="end"/>
            </w:r>
          </w:hyperlink>
        </w:p>
        <w:p w14:paraId="19100120" w14:textId="71A59D09" w:rsidR="00F35C0D" w:rsidRDefault="00F35C0D" w:rsidP="00F35C0D">
          <w:pPr>
            <w:pStyle w:val="TOC2"/>
            <w:tabs>
              <w:tab w:val="left" w:pos="1100"/>
              <w:tab w:val="right" w:leader="dot" w:pos="9016"/>
            </w:tabs>
            <w:rPr>
              <w:rFonts w:eastAsiaTheme="minorEastAsia"/>
              <w:noProof/>
              <w:lang w:eastAsia="en-GB"/>
            </w:rPr>
          </w:pPr>
          <w:hyperlink w:anchor="_Toc519088656" w:history="1">
            <w:r w:rsidRPr="00AF48AE">
              <w:rPr>
                <w:rStyle w:val="Hyperlink"/>
                <w:noProof/>
              </w:rPr>
              <w:t>6.6.3</w:t>
            </w:r>
            <w:r>
              <w:rPr>
                <w:rFonts w:eastAsiaTheme="minorEastAsia"/>
                <w:noProof/>
                <w:lang w:eastAsia="en-GB"/>
              </w:rPr>
              <w:tab/>
            </w:r>
            <w:r w:rsidRPr="00AF48AE">
              <w:rPr>
                <w:rStyle w:val="Hyperlink"/>
                <w:noProof/>
              </w:rPr>
              <w:t>Unemployment</w:t>
            </w:r>
            <w:r>
              <w:rPr>
                <w:noProof/>
                <w:webHidden/>
              </w:rPr>
              <w:tab/>
            </w:r>
            <w:r>
              <w:rPr>
                <w:noProof/>
                <w:webHidden/>
              </w:rPr>
              <w:fldChar w:fldCharType="begin"/>
            </w:r>
            <w:r>
              <w:rPr>
                <w:noProof/>
                <w:webHidden/>
              </w:rPr>
              <w:instrText xml:space="preserve"> PAGEREF _Toc519088656 \h </w:instrText>
            </w:r>
            <w:r>
              <w:rPr>
                <w:noProof/>
                <w:webHidden/>
              </w:rPr>
            </w:r>
            <w:r>
              <w:rPr>
                <w:noProof/>
                <w:webHidden/>
              </w:rPr>
              <w:fldChar w:fldCharType="separate"/>
            </w:r>
            <w:r w:rsidR="00175103">
              <w:rPr>
                <w:noProof/>
                <w:webHidden/>
              </w:rPr>
              <w:t>89</w:t>
            </w:r>
            <w:r>
              <w:rPr>
                <w:noProof/>
                <w:webHidden/>
              </w:rPr>
              <w:fldChar w:fldCharType="end"/>
            </w:r>
          </w:hyperlink>
        </w:p>
        <w:p w14:paraId="1607D5CF" w14:textId="30BF2D43" w:rsidR="00F35C0D" w:rsidRDefault="00F35C0D" w:rsidP="00F35C0D">
          <w:pPr>
            <w:pStyle w:val="TOC2"/>
            <w:tabs>
              <w:tab w:val="left" w:pos="1100"/>
              <w:tab w:val="right" w:leader="dot" w:pos="9016"/>
            </w:tabs>
            <w:rPr>
              <w:rFonts w:eastAsiaTheme="minorEastAsia"/>
              <w:noProof/>
              <w:lang w:eastAsia="en-GB"/>
            </w:rPr>
          </w:pPr>
          <w:hyperlink w:anchor="_Toc519088657" w:history="1">
            <w:r w:rsidRPr="00AF48AE">
              <w:rPr>
                <w:rStyle w:val="Hyperlink"/>
                <w:noProof/>
              </w:rPr>
              <w:t>6.6.4</w:t>
            </w:r>
            <w:r>
              <w:rPr>
                <w:rFonts w:eastAsiaTheme="minorEastAsia"/>
                <w:noProof/>
                <w:lang w:eastAsia="en-GB"/>
              </w:rPr>
              <w:tab/>
            </w:r>
            <w:r w:rsidRPr="00AF48AE">
              <w:rPr>
                <w:rStyle w:val="Hyperlink"/>
                <w:noProof/>
              </w:rPr>
              <w:t>Benefits claimants</w:t>
            </w:r>
            <w:r>
              <w:rPr>
                <w:noProof/>
                <w:webHidden/>
              </w:rPr>
              <w:tab/>
            </w:r>
            <w:r>
              <w:rPr>
                <w:noProof/>
                <w:webHidden/>
              </w:rPr>
              <w:fldChar w:fldCharType="begin"/>
            </w:r>
            <w:r>
              <w:rPr>
                <w:noProof/>
                <w:webHidden/>
              </w:rPr>
              <w:instrText xml:space="preserve"> PAGEREF _Toc519088657 \h </w:instrText>
            </w:r>
            <w:r>
              <w:rPr>
                <w:noProof/>
                <w:webHidden/>
              </w:rPr>
            </w:r>
            <w:r>
              <w:rPr>
                <w:noProof/>
                <w:webHidden/>
              </w:rPr>
              <w:fldChar w:fldCharType="separate"/>
            </w:r>
            <w:r w:rsidR="00175103">
              <w:rPr>
                <w:noProof/>
                <w:webHidden/>
              </w:rPr>
              <w:t>92</w:t>
            </w:r>
            <w:r>
              <w:rPr>
                <w:noProof/>
                <w:webHidden/>
              </w:rPr>
              <w:fldChar w:fldCharType="end"/>
            </w:r>
          </w:hyperlink>
        </w:p>
        <w:p w14:paraId="45A22DFB" w14:textId="52038840" w:rsidR="00F35C0D" w:rsidRDefault="00F35C0D" w:rsidP="00F35C0D">
          <w:pPr>
            <w:pStyle w:val="TOC2"/>
            <w:tabs>
              <w:tab w:val="left" w:pos="1100"/>
              <w:tab w:val="right" w:leader="dot" w:pos="9016"/>
            </w:tabs>
            <w:rPr>
              <w:rFonts w:eastAsiaTheme="minorEastAsia"/>
              <w:noProof/>
              <w:lang w:eastAsia="en-GB"/>
            </w:rPr>
          </w:pPr>
          <w:hyperlink w:anchor="_Toc519088658" w:history="1">
            <w:r w:rsidRPr="00AF48AE">
              <w:rPr>
                <w:rStyle w:val="Hyperlink"/>
                <w:noProof/>
              </w:rPr>
              <w:t>6.6.5</w:t>
            </w:r>
            <w:r>
              <w:rPr>
                <w:rFonts w:eastAsiaTheme="minorEastAsia"/>
                <w:noProof/>
                <w:lang w:eastAsia="en-GB"/>
              </w:rPr>
              <w:tab/>
            </w:r>
            <w:r w:rsidRPr="00AF48AE">
              <w:rPr>
                <w:rStyle w:val="Hyperlink"/>
                <w:noProof/>
              </w:rPr>
              <w:t>Welfare reforms</w:t>
            </w:r>
            <w:r>
              <w:rPr>
                <w:noProof/>
                <w:webHidden/>
              </w:rPr>
              <w:tab/>
            </w:r>
            <w:r>
              <w:rPr>
                <w:noProof/>
                <w:webHidden/>
              </w:rPr>
              <w:fldChar w:fldCharType="begin"/>
            </w:r>
            <w:r>
              <w:rPr>
                <w:noProof/>
                <w:webHidden/>
              </w:rPr>
              <w:instrText xml:space="preserve"> PAGEREF _Toc519088658 \h </w:instrText>
            </w:r>
            <w:r>
              <w:rPr>
                <w:noProof/>
                <w:webHidden/>
              </w:rPr>
            </w:r>
            <w:r>
              <w:rPr>
                <w:noProof/>
                <w:webHidden/>
              </w:rPr>
              <w:fldChar w:fldCharType="separate"/>
            </w:r>
            <w:r w:rsidR="00175103">
              <w:rPr>
                <w:noProof/>
                <w:webHidden/>
              </w:rPr>
              <w:t>93</w:t>
            </w:r>
            <w:r>
              <w:rPr>
                <w:noProof/>
                <w:webHidden/>
              </w:rPr>
              <w:fldChar w:fldCharType="end"/>
            </w:r>
          </w:hyperlink>
        </w:p>
        <w:p w14:paraId="79CAD078" w14:textId="3EC95D6D" w:rsidR="00F35C0D" w:rsidRDefault="00F35C0D" w:rsidP="00F35C0D">
          <w:pPr>
            <w:pStyle w:val="TOC2"/>
            <w:tabs>
              <w:tab w:val="left" w:pos="1100"/>
              <w:tab w:val="right" w:leader="dot" w:pos="9016"/>
            </w:tabs>
            <w:rPr>
              <w:rFonts w:eastAsiaTheme="minorEastAsia"/>
              <w:noProof/>
              <w:lang w:eastAsia="en-GB"/>
            </w:rPr>
          </w:pPr>
          <w:hyperlink w:anchor="_Toc519088659" w:history="1">
            <w:r w:rsidRPr="00AF48AE">
              <w:rPr>
                <w:rStyle w:val="Hyperlink"/>
                <w:noProof/>
              </w:rPr>
              <w:t>6.6.6</w:t>
            </w:r>
            <w:r>
              <w:rPr>
                <w:rFonts w:eastAsiaTheme="minorEastAsia"/>
                <w:noProof/>
                <w:lang w:eastAsia="en-GB"/>
              </w:rPr>
              <w:tab/>
            </w:r>
            <w:r w:rsidRPr="00AF48AE">
              <w:rPr>
                <w:rStyle w:val="Hyperlink"/>
                <w:noProof/>
              </w:rPr>
              <w:t>Employment</w:t>
            </w:r>
            <w:r>
              <w:rPr>
                <w:noProof/>
                <w:webHidden/>
              </w:rPr>
              <w:tab/>
            </w:r>
            <w:r>
              <w:rPr>
                <w:noProof/>
                <w:webHidden/>
              </w:rPr>
              <w:fldChar w:fldCharType="begin"/>
            </w:r>
            <w:r>
              <w:rPr>
                <w:noProof/>
                <w:webHidden/>
              </w:rPr>
              <w:instrText xml:space="preserve"> PAGEREF _Toc519088659 \h </w:instrText>
            </w:r>
            <w:r>
              <w:rPr>
                <w:noProof/>
                <w:webHidden/>
              </w:rPr>
            </w:r>
            <w:r>
              <w:rPr>
                <w:noProof/>
                <w:webHidden/>
              </w:rPr>
              <w:fldChar w:fldCharType="separate"/>
            </w:r>
            <w:r w:rsidR="00175103">
              <w:rPr>
                <w:noProof/>
                <w:webHidden/>
              </w:rPr>
              <w:t>93</w:t>
            </w:r>
            <w:r>
              <w:rPr>
                <w:noProof/>
                <w:webHidden/>
              </w:rPr>
              <w:fldChar w:fldCharType="end"/>
            </w:r>
          </w:hyperlink>
        </w:p>
        <w:p w14:paraId="74AC8713" w14:textId="2063CA28" w:rsidR="00F35C0D" w:rsidRDefault="00F35C0D" w:rsidP="00F35C0D">
          <w:pPr>
            <w:pStyle w:val="TOC2"/>
            <w:tabs>
              <w:tab w:val="left" w:pos="1100"/>
              <w:tab w:val="right" w:leader="dot" w:pos="9016"/>
            </w:tabs>
            <w:rPr>
              <w:rFonts w:eastAsiaTheme="minorEastAsia"/>
              <w:noProof/>
              <w:lang w:eastAsia="en-GB"/>
            </w:rPr>
          </w:pPr>
          <w:hyperlink w:anchor="_Toc519088660" w:history="1">
            <w:r w:rsidRPr="00AF48AE">
              <w:rPr>
                <w:rStyle w:val="Hyperlink"/>
                <w:noProof/>
              </w:rPr>
              <w:t>6.6.7</w:t>
            </w:r>
            <w:r>
              <w:rPr>
                <w:rFonts w:eastAsiaTheme="minorEastAsia"/>
                <w:noProof/>
                <w:lang w:eastAsia="en-GB"/>
              </w:rPr>
              <w:tab/>
            </w:r>
            <w:r w:rsidRPr="00AF48AE">
              <w:rPr>
                <w:rStyle w:val="Hyperlink"/>
                <w:noProof/>
              </w:rPr>
              <w:t>Employment by occupation</w:t>
            </w:r>
            <w:r>
              <w:rPr>
                <w:noProof/>
                <w:webHidden/>
              </w:rPr>
              <w:tab/>
            </w:r>
            <w:r>
              <w:rPr>
                <w:noProof/>
                <w:webHidden/>
              </w:rPr>
              <w:fldChar w:fldCharType="begin"/>
            </w:r>
            <w:r>
              <w:rPr>
                <w:noProof/>
                <w:webHidden/>
              </w:rPr>
              <w:instrText xml:space="preserve"> PAGEREF _Toc519088660 \h </w:instrText>
            </w:r>
            <w:r>
              <w:rPr>
                <w:noProof/>
                <w:webHidden/>
              </w:rPr>
            </w:r>
            <w:r>
              <w:rPr>
                <w:noProof/>
                <w:webHidden/>
              </w:rPr>
              <w:fldChar w:fldCharType="separate"/>
            </w:r>
            <w:r w:rsidR="00175103">
              <w:rPr>
                <w:noProof/>
                <w:webHidden/>
              </w:rPr>
              <w:t>94</w:t>
            </w:r>
            <w:r>
              <w:rPr>
                <w:noProof/>
                <w:webHidden/>
              </w:rPr>
              <w:fldChar w:fldCharType="end"/>
            </w:r>
          </w:hyperlink>
        </w:p>
        <w:p w14:paraId="19C6CAEE" w14:textId="0C14F07B" w:rsidR="00F35C0D" w:rsidRDefault="00F35C0D" w:rsidP="00F35C0D">
          <w:pPr>
            <w:pStyle w:val="TOC2"/>
            <w:tabs>
              <w:tab w:val="left" w:pos="880"/>
              <w:tab w:val="right" w:leader="dot" w:pos="9016"/>
            </w:tabs>
            <w:rPr>
              <w:rFonts w:eastAsiaTheme="minorEastAsia"/>
              <w:noProof/>
              <w:lang w:eastAsia="en-GB"/>
            </w:rPr>
          </w:pPr>
          <w:hyperlink w:anchor="_Toc519088661" w:history="1">
            <w:r w:rsidRPr="00AF48AE">
              <w:rPr>
                <w:rStyle w:val="Hyperlink"/>
                <w:noProof/>
              </w:rPr>
              <w:t>6.7</w:t>
            </w:r>
            <w:r>
              <w:rPr>
                <w:rFonts w:eastAsiaTheme="minorEastAsia"/>
                <w:noProof/>
                <w:lang w:eastAsia="en-GB"/>
              </w:rPr>
              <w:tab/>
            </w:r>
            <w:r w:rsidRPr="00AF48AE">
              <w:rPr>
                <w:rStyle w:val="Hyperlink"/>
                <w:noProof/>
              </w:rPr>
              <w:t>Deprivation – SIMD 2016</w:t>
            </w:r>
            <w:r>
              <w:rPr>
                <w:noProof/>
                <w:webHidden/>
              </w:rPr>
              <w:tab/>
            </w:r>
            <w:r>
              <w:rPr>
                <w:noProof/>
                <w:webHidden/>
              </w:rPr>
              <w:fldChar w:fldCharType="begin"/>
            </w:r>
            <w:r>
              <w:rPr>
                <w:noProof/>
                <w:webHidden/>
              </w:rPr>
              <w:instrText xml:space="preserve"> PAGEREF _Toc519088661 \h </w:instrText>
            </w:r>
            <w:r>
              <w:rPr>
                <w:noProof/>
                <w:webHidden/>
              </w:rPr>
            </w:r>
            <w:r>
              <w:rPr>
                <w:noProof/>
                <w:webHidden/>
              </w:rPr>
              <w:fldChar w:fldCharType="separate"/>
            </w:r>
            <w:r w:rsidR="00175103">
              <w:rPr>
                <w:noProof/>
                <w:webHidden/>
              </w:rPr>
              <w:t>95</w:t>
            </w:r>
            <w:r>
              <w:rPr>
                <w:noProof/>
                <w:webHidden/>
              </w:rPr>
              <w:fldChar w:fldCharType="end"/>
            </w:r>
          </w:hyperlink>
        </w:p>
        <w:p w14:paraId="7A63DD01" w14:textId="19111DE9" w:rsidR="00F35C0D" w:rsidRDefault="00F35C0D" w:rsidP="00F35C0D">
          <w:pPr>
            <w:pStyle w:val="TOC2"/>
            <w:tabs>
              <w:tab w:val="left" w:pos="880"/>
              <w:tab w:val="right" w:leader="dot" w:pos="9016"/>
            </w:tabs>
            <w:rPr>
              <w:rFonts w:eastAsiaTheme="minorEastAsia"/>
              <w:noProof/>
              <w:lang w:eastAsia="en-GB"/>
            </w:rPr>
          </w:pPr>
          <w:hyperlink w:anchor="_Toc519088662" w:history="1">
            <w:r w:rsidRPr="00AF48AE">
              <w:rPr>
                <w:rStyle w:val="Hyperlink"/>
                <w:noProof/>
              </w:rPr>
              <w:t>6.8</w:t>
            </w:r>
            <w:r>
              <w:rPr>
                <w:rFonts w:eastAsiaTheme="minorEastAsia"/>
                <w:noProof/>
                <w:lang w:eastAsia="en-GB"/>
              </w:rPr>
              <w:tab/>
            </w:r>
            <w:r w:rsidRPr="00AF48AE">
              <w:rPr>
                <w:rStyle w:val="Hyperlink"/>
                <w:noProof/>
              </w:rPr>
              <w:t>Poverty</w:t>
            </w:r>
            <w:r>
              <w:rPr>
                <w:noProof/>
                <w:webHidden/>
              </w:rPr>
              <w:tab/>
            </w:r>
            <w:r>
              <w:rPr>
                <w:noProof/>
                <w:webHidden/>
              </w:rPr>
              <w:fldChar w:fldCharType="begin"/>
            </w:r>
            <w:r>
              <w:rPr>
                <w:noProof/>
                <w:webHidden/>
              </w:rPr>
              <w:instrText xml:space="preserve"> PAGEREF _Toc519088662 \h </w:instrText>
            </w:r>
            <w:r>
              <w:rPr>
                <w:noProof/>
                <w:webHidden/>
              </w:rPr>
            </w:r>
            <w:r>
              <w:rPr>
                <w:noProof/>
                <w:webHidden/>
              </w:rPr>
              <w:fldChar w:fldCharType="separate"/>
            </w:r>
            <w:r w:rsidR="00175103">
              <w:rPr>
                <w:noProof/>
                <w:webHidden/>
              </w:rPr>
              <w:t>98</w:t>
            </w:r>
            <w:r>
              <w:rPr>
                <w:noProof/>
                <w:webHidden/>
              </w:rPr>
              <w:fldChar w:fldCharType="end"/>
            </w:r>
          </w:hyperlink>
        </w:p>
        <w:p w14:paraId="642279AE" w14:textId="01CFD4BF" w:rsidR="00F35C0D" w:rsidRDefault="00F35C0D" w:rsidP="00F35C0D">
          <w:pPr>
            <w:pStyle w:val="TOC2"/>
            <w:tabs>
              <w:tab w:val="left" w:pos="1100"/>
              <w:tab w:val="right" w:leader="dot" w:pos="9016"/>
            </w:tabs>
            <w:rPr>
              <w:rFonts w:eastAsiaTheme="minorEastAsia"/>
              <w:noProof/>
              <w:lang w:eastAsia="en-GB"/>
            </w:rPr>
          </w:pPr>
          <w:hyperlink w:anchor="_Toc519088663" w:history="1">
            <w:r w:rsidRPr="00AF48AE">
              <w:rPr>
                <w:rStyle w:val="Hyperlink"/>
                <w:rFonts w:cs="Calibri"/>
                <w:noProof/>
              </w:rPr>
              <w:t>6.8.1</w:t>
            </w:r>
            <w:r>
              <w:rPr>
                <w:rFonts w:eastAsiaTheme="minorEastAsia"/>
                <w:noProof/>
                <w:lang w:eastAsia="en-GB"/>
              </w:rPr>
              <w:tab/>
            </w:r>
            <w:r w:rsidRPr="00AF48AE">
              <w:rPr>
                <w:rStyle w:val="Hyperlink"/>
                <w:rFonts w:cs="Calibri"/>
                <w:noProof/>
              </w:rPr>
              <w:t>Relative poverty</w:t>
            </w:r>
            <w:r>
              <w:rPr>
                <w:noProof/>
                <w:webHidden/>
              </w:rPr>
              <w:tab/>
            </w:r>
            <w:r>
              <w:rPr>
                <w:noProof/>
                <w:webHidden/>
              </w:rPr>
              <w:fldChar w:fldCharType="begin"/>
            </w:r>
            <w:r>
              <w:rPr>
                <w:noProof/>
                <w:webHidden/>
              </w:rPr>
              <w:instrText xml:space="preserve"> PAGEREF _Toc519088663 \h </w:instrText>
            </w:r>
            <w:r>
              <w:rPr>
                <w:noProof/>
                <w:webHidden/>
              </w:rPr>
            </w:r>
            <w:r>
              <w:rPr>
                <w:noProof/>
                <w:webHidden/>
              </w:rPr>
              <w:fldChar w:fldCharType="separate"/>
            </w:r>
            <w:r w:rsidR="00175103">
              <w:rPr>
                <w:noProof/>
                <w:webHidden/>
              </w:rPr>
              <w:t>98</w:t>
            </w:r>
            <w:r>
              <w:rPr>
                <w:noProof/>
                <w:webHidden/>
              </w:rPr>
              <w:fldChar w:fldCharType="end"/>
            </w:r>
          </w:hyperlink>
        </w:p>
        <w:p w14:paraId="19A2EE0B" w14:textId="233C2BE4" w:rsidR="00F35C0D" w:rsidRDefault="00F35C0D" w:rsidP="00F35C0D">
          <w:pPr>
            <w:pStyle w:val="TOC2"/>
            <w:tabs>
              <w:tab w:val="left" w:pos="1100"/>
              <w:tab w:val="right" w:leader="dot" w:pos="9016"/>
            </w:tabs>
            <w:rPr>
              <w:rFonts w:eastAsiaTheme="minorEastAsia"/>
              <w:noProof/>
              <w:lang w:eastAsia="en-GB"/>
            </w:rPr>
          </w:pPr>
          <w:hyperlink w:anchor="_Toc519088664" w:history="1">
            <w:r w:rsidRPr="00AF48AE">
              <w:rPr>
                <w:rStyle w:val="Hyperlink"/>
                <w:noProof/>
              </w:rPr>
              <w:t>6.8.2</w:t>
            </w:r>
            <w:r>
              <w:rPr>
                <w:rFonts w:eastAsiaTheme="minorEastAsia"/>
                <w:noProof/>
                <w:lang w:eastAsia="en-GB"/>
              </w:rPr>
              <w:tab/>
            </w:r>
            <w:r w:rsidRPr="00AF48AE">
              <w:rPr>
                <w:rStyle w:val="Hyperlink"/>
                <w:noProof/>
              </w:rPr>
              <w:t>Financial inclusion team</w:t>
            </w:r>
            <w:r>
              <w:rPr>
                <w:noProof/>
                <w:webHidden/>
              </w:rPr>
              <w:tab/>
            </w:r>
            <w:r>
              <w:rPr>
                <w:noProof/>
                <w:webHidden/>
              </w:rPr>
              <w:fldChar w:fldCharType="begin"/>
            </w:r>
            <w:r>
              <w:rPr>
                <w:noProof/>
                <w:webHidden/>
              </w:rPr>
              <w:instrText xml:space="preserve"> PAGEREF _Toc519088664 \h </w:instrText>
            </w:r>
            <w:r>
              <w:rPr>
                <w:noProof/>
                <w:webHidden/>
              </w:rPr>
            </w:r>
            <w:r>
              <w:rPr>
                <w:noProof/>
                <w:webHidden/>
              </w:rPr>
              <w:fldChar w:fldCharType="separate"/>
            </w:r>
            <w:r w:rsidR="00175103">
              <w:rPr>
                <w:noProof/>
                <w:webHidden/>
              </w:rPr>
              <w:t>98</w:t>
            </w:r>
            <w:r>
              <w:rPr>
                <w:noProof/>
                <w:webHidden/>
              </w:rPr>
              <w:fldChar w:fldCharType="end"/>
            </w:r>
          </w:hyperlink>
        </w:p>
        <w:p w14:paraId="1A92C9B4" w14:textId="200F1176" w:rsidR="00F35C0D" w:rsidRDefault="00F35C0D" w:rsidP="00F35C0D">
          <w:pPr>
            <w:pStyle w:val="TOC2"/>
            <w:tabs>
              <w:tab w:val="left" w:pos="1100"/>
              <w:tab w:val="right" w:leader="dot" w:pos="9016"/>
            </w:tabs>
            <w:rPr>
              <w:rFonts w:eastAsiaTheme="minorEastAsia"/>
              <w:noProof/>
              <w:lang w:eastAsia="en-GB"/>
            </w:rPr>
          </w:pPr>
          <w:hyperlink w:anchor="_Toc519088665" w:history="1">
            <w:r w:rsidRPr="00AF48AE">
              <w:rPr>
                <w:rStyle w:val="Hyperlink"/>
                <w:rFonts w:cs="Calibri"/>
                <w:bCs/>
                <w:iCs/>
                <w:noProof/>
                <w:lang w:val="en-US"/>
              </w:rPr>
              <w:t>6.8.3</w:t>
            </w:r>
            <w:r>
              <w:rPr>
                <w:rFonts w:eastAsiaTheme="minorEastAsia"/>
                <w:noProof/>
                <w:lang w:eastAsia="en-GB"/>
              </w:rPr>
              <w:tab/>
            </w:r>
            <w:r w:rsidRPr="00AF48AE">
              <w:rPr>
                <w:rStyle w:val="Hyperlink"/>
                <w:rFonts w:cs="Calibri"/>
                <w:bCs/>
                <w:iCs/>
                <w:noProof/>
                <w:lang w:val="en-US"/>
              </w:rPr>
              <w:t>Food Poverty</w:t>
            </w:r>
            <w:r>
              <w:rPr>
                <w:noProof/>
                <w:webHidden/>
              </w:rPr>
              <w:tab/>
            </w:r>
            <w:r>
              <w:rPr>
                <w:noProof/>
                <w:webHidden/>
              </w:rPr>
              <w:fldChar w:fldCharType="begin"/>
            </w:r>
            <w:r>
              <w:rPr>
                <w:noProof/>
                <w:webHidden/>
              </w:rPr>
              <w:instrText xml:space="preserve"> PAGEREF _Toc519088665 \h </w:instrText>
            </w:r>
            <w:r>
              <w:rPr>
                <w:noProof/>
                <w:webHidden/>
              </w:rPr>
            </w:r>
            <w:r>
              <w:rPr>
                <w:noProof/>
                <w:webHidden/>
              </w:rPr>
              <w:fldChar w:fldCharType="separate"/>
            </w:r>
            <w:r w:rsidR="00175103">
              <w:rPr>
                <w:noProof/>
                <w:webHidden/>
              </w:rPr>
              <w:t>100</w:t>
            </w:r>
            <w:r>
              <w:rPr>
                <w:noProof/>
                <w:webHidden/>
              </w:rPr>
              <w:fldChar w:fldCharType="end"/>
            </w:r>
          </w:hyperlink>
        </w:p>
        <w:p w14:paraId="0C50D097" w14:textId="7322085A" w:rsidR="00F35C0D" w:rsidRDefault="00F35C0D" w:rsidP="00F35C0D">
          <w:pPr>
            <w:pStyle w:val="TOC2"/>
            <w:tabs>
              <w:tab w:val="left" w:pos="1100"/>
              <w:tab w:val="right" w:leader="dot" w:pos="9016"/>
            </w:tabs>
            <w:rPr>
              <w:rFonts w:eastAsiaTheme="minorEastAsia"/>
              <w:noProof/>
              <w:lang w:eastAsia="en-GB"/>
            </w:rPr>
          </w:pPr>
          <w:hyperlink w:anchor="_Toc519088666" w:history="1">
            <w:r w:rsidRPr="00AF48AE">
              <w:rPr>
                <w:rStyle w:val="Hyperlink"/>
                <w:rFonts w:cs="Arial"/>
                <w:bCs/>
                <w:iCs/>
                <w:noProof/>
                <w:lang w:val="en-US"/>
              </w:rPr>
              <w:t>6.8.4</w:t>
            </w:r>
            <w:r>
              <w:rPr>
                <w:rFonts w:eastAsiaTheme="minorEastAsia"/>
                <w:noProof/>
                <w:lang w:eastAsia="en-GB"/>
              </w:rPr>
              <w:tab/>
            </w:r>
            <w:r w:rsidRPr="00AF48AE">
              <w:rPr>
                <w:rStyle w:val="Hyperlink"/>
                <w:rFonts w:cs="Calibri"/>
                <w:bCs/>
                <w:iCs/>
                <w:noProof/>
                <w:lang w:val="en-US"/>
              </w:rPr>
              <w:t>Fuel</w:t>
            </w:r>
            <w:r w:rsidRPr="00AF48AE">
              <w:rPr>
                <w:rStyle w:val="Hyperlink"/>
                <w:rFonts w:cs="Arial"/>
                <w:bCs/>
                <w:iCs/>
                <w:noProof/>
                <w:lang w:val="en-US"/>
              </w:rPr>
              <w:t xml:space="preserve"> poverty</w:t>
            </w:r>
            <w:r>
              <w:rPr>
                <w:noProof/>
                <w:webHidden/>
              </w:rPr>
              <w:tab/>
            </w:r>
            <w:r>
              <w:rPr>
                <w:noProof/>
                <w:webHidden/>
              </w:rPr>
              <w:fldChar w:fldCharType="begin"/>
            </w:r>
            <w:r>
              <w:rPr>
                <w:noProof/>
                <w:webHidden/>
              </w:rPr>
              <w:instrText xml:space="preserve"> PAGEREF _Toc519088666 \h </w:instrText>
            </w:r>
            <w:r>
              <w:rPr>
                <w:noProof/>
                <w:webHidden/>
              </w:rPr>
            </w:r>
            <w:r>
              <w:rPr>
                <w:noProof/>
                <w:webHidden/>
              </w:rPr>
              <w:fldChar w:fldCharType="separate"/>
            </w:r>
            <w:r w:rsidR="00175103">
              <w:rPr>
                <w:noProof/>
                <w:webHidden/>
              </w:rPr>
              <w:t>101</w:t>
            </w:r>
            <w:r>
              <w:rPr>
                <w:noProof/>
                <w:webHidden/>
              </w:rPr>
              <w:fldChar w:fldCharType="end"/>
            </w:r>
          </w:hyperlink>
        </w:p>
        <w:p w14:paraId="135EEE4D" w14:textId="5E9A6B87" w:rsidR="00F35C0D" w:rsidRDefault="00F35C0D" w:rsidP="00F35C0D">
          <w:pPr>
            <w:pStyle w:val="TOC2"/>
            <w:tabs>
              <w:tab w:val="left" w:pos="1100"/>
              <w:tab w:val="right" w:leader="dot" w:pos="9016"/>
            </w:tabs>
            <w:rPr>
              <w:noProof/>
            </w:rPr>
          </w:pPr>
          <w:hyperlink w:anchor="_Toc519088667" w:history="1">
            <w:r w:rsidRPr="00AF48AE">
              <w:rPr>
                <w:rStyle w:val="Hyperlink"/>
                <w:noProof/>
              </w:rPr>
              <w:t>6.8.5</w:t>
            </w:r>
            <w:r>
              <w:rPr>
                <w:rFonts w:eastAsiaTheme="minorEastAsia"/>
                <w:noProof/>
                <w:lang w:eastAsia="en-GB"/>
              </w:rPr>
              <w:tab/>
            </w:r>
            <w:r w:rsidRPr="00AF48AE">
              <w:rPr>
                <w:rStyle w:val="Hyperlink"/>
                <w:noProof/>
              </w:rPr>
              <w:t>Homelessness</w:t>
            </w:r>
            <w:r>
              <w:rPr>
                <w:noProof/>
                <w:webHidden/>
              </w:rPr>
              <w:tab/>
            </w:r>
            <w:r>
              <w:rPr>
                <w:noProof/>
                <w:webHidden/>
              </w:rPr>
              <w:fldChar w:fldCharType="begin"/>
            </w:r>
            <w:r>
              <w:rPr>
                <w:noProof/>
                <w:webHidden/>
              </w:rPr>
              <w:instrText xml:space="preserve"> PAGEREF _Toc519088667 \h </w:instrText>
            </w:r>
            <w:r>
              <w:rPr>
                <w:noProof/>
                <w:webHidden/>
              </w:rPr>
            </w:r>
            <w:r>
              <w:rPr>
                <w:noProof/>
                <w:webHidden/>
              </w:rPr>
              <w:fldChar w:fldCharType="separate"/>
            </w:r>
            <w:r w:rsidR="00175103">
              <w:rPr>
                <w:noProof/>
                <w:webHidden/>
              </w:rPr>
              <w:t>101</w:t>
            </w:r>
            <w:r>
              <w:rPr>
                <w:noProof/>
                <w:webHidden/>
              </w:rPr>
              <w:fldChar w:fldCharType="end"/>
            </w:r>
          </w:hyperlink>
        </w:p>
        <w:p w14:paraId="3BE8B15A" w14:textId="77777777" w:rsidR="00F35C0D" w:rsidRPr="00F35C0D" w:rsidRDefault="00F35C0D" w:rsidP="00F35C0D">
          <w:pPr>
            <w:rPr>
              <w:sz w:val="16"/>
              <w:szCs w:val="16"/>
            </w:rPr>
          </w:pPr>
        </w:p>
        <w:p w14:paraId="68E89811" w14:textId="77777777" w:rsidR="00F35C0D" w:rsidRPr="00AF77BB" w:rsidRDefault="00F35C0D" w:rsidP="00F35C0D">
          <w:pPr>
            <w:ind w:hanging="436"/>
            <w:rPr>
              <w:b/>
              <w:color w:val="C45911" w:themeColor="accent2" w:themeShade="BF"/>
              <w:sz w:val="28"/>
              <w:szCs w:val="28"/>
            </w:rPr>
          </w:pPr>
          <w:r w:rsidRPr="00AF77BB">
            <w:rPr>
              <w:b/>
              <w:color w:val="C45911" w:themeColor="accent2" w:themeShade="BF"/>
              <w:sz w:val="28"/>
              <w:szCs w:val="28"/>
            </w:rPr>
            <w:t>OUR TECHNOLOGY</w:t>
          </w:r>
        </w:p>
        <w:p w14:paraId="3E1EC43B" w14:textId="77777777" w:rsidR="00F35C0D" w:rsidRPr="00F35C0D" w:rsidRDefault="00F35C0D" w:rsidP="00F35C0D">
          <w:pPr>
            <w:rPr>
              <w:sz w:val="16"/>
              <w:szCs w:val="16"/>
            </w:rPr>
          </w:pPr>
        </w:p>
        <w:p w14:paraId="3D5ACF2B" w14:textId="7C56B78C" w:rsidR="00F35C0D" w:rsidRDefault="00F35C0D" w:rsidP="00F35C0D">
          <w:pPr>
            <w:pStyle w:val="TOC1"/>
            <w:tabs>
              <w:tab w:val="left" w:pos="440"/>
              <w:tab w:val="right" w:leader="dot" w:pos="9016"/>
            </w:tabs>
            <w:rPr>
              <w:rFonts w:eastAsiaTheme="minorEastAsia"/>
              <w:noProof/>
              <w:lang w:eastAsia="en-GB"/>
            </w:rPr>
          </w:pPr>
          <w:hyperlink w:anchor="_Toc519088668" w:history="1">
            <w:r w:rsidRPr="00AF48AE">
              <w:rPr>
                <w:rStyle w:val="Hyperlink"/>
                <w:noProof/>
              </w:rPr>
              <w:t>7.</w:t>
            </w:r>
            <w:r>
              <w:rPr>
                <w:rFonts w:eastAsiaTheme="minorEastAsia"/>
                <w:noProof/>
                <w:lang w:eastAsia="en-GB"/>
              </w:rPr>
              <w:tab/>
            </w:r>
            <w:r w:rsidRPr="00AF48AE">
              <w:rPr>
                <w:rStyle w:val="Hyperlink"/>
                <w:noProof/>
              </w:rPr>
              <w:t>Technology</w:t>
            </w:r>
            <w:r>
              <w:rPr>
                <w:noProof/>
                <w:webHidden/>
              </w:rPr>
              <w:tab/>
            </w:r>
            <w:r>
              <w:rPr>
                <w:noProof/>
                <w:webHidden/>
              </w:rPr>
              <w:fldChar w:fldCharType="begin"/>
            </w:r>
            <w:r>
              <w:rPr>
                <w:noProof/>
                <w:webHidden/>
              </w:rPr>
              <w:instrText xml:space="preserve"> PAGEREF _Toc519088668 \h </w:instrText>
            </w:r>
            <w:r>
              <w:rPr>
                <w:noProof/>
                <w:webHidden/>
              </w:rPr>
            </w:r>
            <w:r>
              <w:rPr>
                <w:noProof/>
                <w:webHidden/>
              </w:rPr>
              <w:fldChar w:fldCharType="separate"/>
            </w:r>
            <w:r w:rsidR="00175103">
              <w:rPr>
                <w:noProof/>
                <w:webHidden/>
              </w:rPr>
              <w:t>103</w:t>
            </w:r>
            <w:r>
              <w:rPr>
                <w:noProof/>
                <w:webHidden/>
              </w:rPr>
              <w:fldChar w:fldCharType="end"/>
            </w:r>
          </w:hyperlink>
        </w:p>
        <w:p w14:paraId="5FCA8640" w14:textId="2DBDADE0" w:rsidR="00F35C0D" w:rsidRDefault="00F35C0D" w:rsidP="00F35C0D">
          <w:pPr>
            <w:pStyle w:val="TOC2"/>
            <w:tabs>
              <w:tab w:val="left" w:pos="880"/>
              <w:tab w:val="right" w:leader="dot" w:pos="9016"/>
            </w:tabs>
            <w:rPr>
              <w:rFonts w:eastAsiaTheme="minorEastAsia"/>
              <w:noProof/>
              <w:lang w:eastAsia="en-GB"/>
            </w:rPr>
          </w:pPr>
          <w:hyperlink w:anchor="_Toc519088669" w:history="1">
            <w:r w:rsidRPr="00AF48AE">
              <w:rPr>
                <w:rStyle w:val="Hyperlink"/>
                <w:noProof/>
              </w:rPr>
              <w:t>7.1</w:t>
            </w:r>
            <w:r>
              <w:rPr>
                <w:rFonts w:eastAsiaTheme="minorEastAsia"/>
                <w:noProof/>
                <w:lang w:eastAsia="en-GB"/>
              </w:rPr>
              <w:tab/>
            </w:r>
            <w:r w:rsidRPr="00AF48AE">
              <w:rPr>
                <w:rStyle w:val="Hyperlink"/>
                <w:noProof/>
              </w:rPr>
              <w:t>Connectivity</w:t>
            </w:r>
            <w:r>
              <w:rPr>
                <w:noProof/>
                <w:webHidden/>
              </w:rPr>
              <w:tab/>
            </w:r>
            <w:r>
              <w:rPr>
                <w:noProof/>
                <w:webHidden/>
              </w:rPr>
              <w:fldChar w:fldCharType="begin"/>
            </w:r>
            <w:r>
              <w:rPr>
                <w:noProof/>
                <w:webHidden/>
              </w:rPr>
              <w:instrText xml:space="preserve"> PAGEREF _Toc519088669 \h </w:instrText>
            </w:r>
            <w:r>
              <w:rPr>
                <w:noProof/>
                <w:webHidden/>
              </w:rPr>
            </w:r>
            <w:r>
              <w:rPr>
                <w:noProof/>
                <w:webHidden/>
              </w:rPr>
              <w:fldChar w:fldCharType="separate"/>
            </w:r>
            <w:r w:rsidR="00175103">
              <w:rPr>
                <w:noProof/>
                <w:webHidden/>
              </w:rPr>
              <w:t>103</w:t>
            </w:r>
            <w:r>
              <w:rPr>
                <w:noProof/>
                <w:webHidden/>
              </w:rPr>
              <w:fldChar w:fldCharType="end"/>
            </w:r>
          </w:hyperlink>
        </w:p>
        <w:p w14:paraId="778D3916" w14:textId="60D38DAE" w:rsidR="00F35C0D" w:rsidRDefault="00F35C0D" w:rsidP="00F35C0D">
          <w:pPr>
            <w:pStyle w:val="TOC2"/>
            <w:tabs>
              <w:tab w:val="left" w:pos="1100"/>
              <w:tab w:val="right" w:leader="dot" w:pos="9016"/>
            </w:tabs>
            <w:rPr>
              <w:rFonts w:eastAsiaTheme="minorEastAsia"/>
              <w:noProof/>
              <w:lang w:eastAsia="en-GB"/>
            </w:rPr>
          </w:pPr>
          <w:hyperlink w:anchor="_Toc519088670" w:history="1">
            <w:r w:rsidRPr="00AF48AE">
              <w:rPr>
                <w:rStyle w:val="Hyperlink"/>
                <w:noProof/>
              </w:rPr>
              <w:t>7.1.1</w:t>
            </w:r>
            <w:r>
              <w:rPr>
                <w:rFonts w:eastAsiaTheme="minorEastAsia"/>
                <w:noProof/>
                <w:lang w:eastAsia="en-GB"/>
              </w:rPr>
              <w:tab/>
            </w:r>
            <w:r w:rsidRPr="00AF48AE">
              <w:rPr>
                <w:rStyle w:val="Hyperlink"/>
                <w:noProof/>
              </w:rPr>
              <w:t>Access to superfast broadband.</w:t>
            </w:r>
            <w:r>
              <w:rPr>
                <w:noProof/>
                <w:webHidden/>
              </w:rPr>
              <w:tab/>
            </w:r>
            <w:r>
              <w:rPr>
                <w:noProof/>
                <w:webHidden/>
              </w:rPr>
              <w:fldChar w:fldCharType="begin"/>
            </w:r>
            <w:r>
              <w:rPr>
                <w:noProof/>
                <w:webHidden/>
              </w:rPr>
              <w:instrText xml:space="preserve"> PAGEREF _Toc519088670 \h </w:instrText>
            </w:r>
            <w:r>
              <w:rPr>
                <w:noProof/>
                <w:webHidden/>
              </w:rPr>
            </w:r>
            <w:r>
              <w:rPr>
                <w:noProof/>
                <w:webHidden/>
              </w:rPr>
              <w:fldChar w:fldCharType="separate"/>
            </w:r>
            <w:r w:rsidR="00175103">
              <w:rPr>
                <w:noProof/>
                <w:webHidden/>
              </w:rPr>
              <w:t>103</w:t>
            </w:r>
            <w:r>
              <w:rPr>
                <w:noProof/>
                <w:webHidden/>
              </w:rPr>
              <w:fldChar w:fldCharType="end"/>
            </w:r>
          </w:hyperlink>
        </w:p>
        <w:p w14:paraId="7FD3FA26" w14:textId="2CC0B6C7" w:rsidR="00F35C0D" w:rsidRDefault="00F35C0D" w:rsidP="00F35C0D">
          <w:pPr>
            <w:pStyle w:val="TOC2"/>
            <w:tabs>
              <w:tab w:val="left" w:pos="1100"/>
              <w:tab w:val="right" w:leader="dot" w:pos="9016"/>
            </w:tabs>
            <w:rPr>
              <w:rFonts w:eastAsiaTheme="minorEastAsia"/>
              <w:noProof/>
              <w:lang w:eastAsia="en-GB"/>
            </w:rPr>
          </w:pPr>
          <w:hyperlink w:anchor="_Toc519088671" w:history="1">
            <w:r w:rsidRPr="00AF48AE">
              <w:rPr>
                <w:rStyle w:val="Hyperlink"/>
                <w:noProof/>
              </w:rPr>
              <w:t>7.1.2</w:t>
            </w:r>
            <w:r>
              <w:rPr>
                <w:rFonts w:eastAsiaTheme="minorEastAsia"/>
                <w:noProof/>
                <w:lang w:eastAsia="en-GB"/>
              </w:rPr>
              <w:tab/>
            </w:r>
            <w:r w:rsidRPr="00AF48AE">
              <w:rPr>
                <w:rStyle w:val="Hyperlink"/>
                <w:noProof/>
              </w:rPr>
              <w:t>Average download speed</w:t>
            </w:r>
            <w:r>
              <w:rPr>
                <w:noProof/>
                <w:webHidden/>
              </w:rPr>
              <w:tab/>
            </w:r>
            <w:r>
              <w:rPr>
                <w:noProof/>
                <w:webHidden/>
              </w:rPr>
              <w:fldChar w:fldCharType="begin"/>
            </w:r>
            <w:r>
              <w:rPr>
                <w:noProof/>
                <w:webHidden/>
              </w:rPr>
              <w:instrText xml:space="preserve"> PAGEREF _Toc519088671 \h </w:instrText>
            </w:r>
            <w:r>
              <w:rPr>
                <w:noProof/>
                <w:webHidden/>
              </w:rPr>
            </w:r>
            <w:r>
              <w:rPr>
                <w:noProof/>
                <w:webHidden/>
              </w:rPr>
              <w:fldChar w:fldCharType="separate"/>
            </w:r>
            <w:r w:rsidR="00175103">
              <w:rPr>
                <w:noProof/>
                <w:webHidden/>
              </w:rPr>
              <w:t>103</w:t>
            </w:r>
            <w:r>
              <w:rPr>
                <w:noProof/>
                <w:webHidden/>
              </w:rPr>
              <w:fldChar w:fldCharType="end"/>
            </w:r>
          </w:hyperlink>
        </w:p>
        <w:p w14:paraId="02307912" w14:textId="7FB68F53" w:rsidR="00F35C0D" w:rsidRDefault="00F35C0D" w:rsidP="00F35C0D">
          <w:pPr>
            <w:pStyle w:val="TOC2"/>
            <w:tabs>
              <w:tab w:val="left" w:pos="1100"/>
              <w:tab w:val="right" w:leader="dot" w:pos="9016"/>
            </w:tabs>
            <w:rPr>
              <w:rFonts w:eastAsiaTheme="minorEastAsia"/>
              <w:noProof/>
              <w:lang w:eastAsia="en-GB"/>
            </w:rPr>
          </w:pPr>
          <w:hyperlink w:anchor="_Toc519088672" w:history="1">
            <w:r w:rsidRPr="00AF48AE">
              <w:rPr>
                <w:rStyle w:val="Hyperlink"/>
                <w:noProof/>
              </w:rPr>
              <w:t>7.1.3</w:t>
            </w:r>
            <w:r>
              <w:rPr>
                <w:rFonts w:eastAsiaTheme="minorEastAsia"/>
                <w:noProof/>
                <w:lang w:eastAsia="en-GB"/>
              </w:rPr>
              <w:tab/>
            </w:r>
            <w:r w:rsidRPr="00AF48AE">
              <w:rPr>
                <w:rStyle w:val="Hyperlink"/>
                <w:noProof/>
              </w:rPr>
              <w:t>Mobile coverage</w:t>
            </w:r>
            <w:r>
              <w:rPr>
                <w:noProof/>
                <w:webHidden/>
              </w:rPr>
              <w:tab/>
            </w:r>
            <w:r>
              <w:rPr>
                <w:noProof/>
                <w:webHidden/>
              </w:rPr>
              <w:fldChar w:fldCharType="begin"/>
            </w:r>
            <w:r>
              <w:rPr>
                <w:noProof/>
                <w:webHidden/>
              </w:rPr>
              <w:instrText xml:space="preserve"> PAGEREF _Toc519088672 \h </w:instrText>
            </w:r>
            <w:r>
              <w:rPr>
                <w:noProof/>
                <w:webHidden/>
              </w:rPr>
            </w:r>
            <w:r>
              <w:rPr>
                <w:noProof/>
                <w:webHidden/>
              </w:rPr>
              <w:fldChar w:fldCharType="separate"/>
            </w:r>
            <w:r w:rsidR="00175103">
              <w:rPr>
                <w:noProof/>
                <w:webHidden/>
              </w:rPr>
              <w:t>104</w:t>
            </w:r>
            <w:r>
              <w:rPr>
                <w:noProof/>
                <w:webHidden/>
              </w:rPr>
              <w:fldChar w:fldCharType="end"/>
            </w:r>
          </w:hyperlink>
        </w:p>
        <w:p w14:paraId="18A1655C" w14:textId="7AB316DA" w:rsidR="00F35C0D" w:rsidRDefault="00F35C0D" w:rsidP="00F35C0D">
          <w:pPr>
            <w:pStyle w:val="TOC2"/>
            <w:tabs>
              <w:tab w:val="left" w:pos="880"/>
              <w:tab w:val="right" w:leader="dot" w:pos="9016"/>
            </w:tabs>
            <w:rPr>
              <w:rFonts w:eastAsiaTheme="minorEastAsia"/>
              <w:noProof/>
              <w:lang w:eastAsia="en-GB"/>
            </w:rPr>
          </w:pPr>
          <w:hyperlink w:anchor="_Toc519088673" w:history="1">
            <w:r w:rsidRPr="00AF48AE">
              <w:rPr>
                <w:rStyle w:val="Hyperlink"/>
                <w:noProof/>
              </w:rPr>
              <w:t>7.2</w:t>
            </w:r>
            <w:r>
              <w:rPr>
                <w:rFonts w:eastAsiaTheme="minorEastAsia"/>
                <w:noProof/>
                <w:lang w:eastAsia="en-GB"/>
              </w:rPr>
              <w:tab/>
            </w:r>
            <w:r w:rsidRPr="00AF48AE">
              <w:rPr>
                <w:rStyle w:val="Hyperlink"/>
                <w:noProof/>
              </w:rPr>
              <w:t>Access to internet</w:t>
            </w:r>
            <w:r>
              <w:rPr>
                <w:noProof/>
                <w:webHidden/>
              </w:rPr>
              <w:tab/>
            </w:r>
            <w:r>
              <w:rPr>
                <w:noProof/>
                <w:webHidden/>
              </w:rPr>
              <w:fldChar w:fldCharType="begin"/>
            </w:r>
            <w:r>
              <w:rPr>
                <w:noProof/>
                <w:webHidden/>
              </w:rPr>
              <w:instrText xml:space="preserve"> PAGEREF _Toc519088673 \h </w:instrText>
            </w:r>
            <w:r>
              <w:rPr>
                <w:noProof/>
                <w:webHidden/>
              </w:rPr>
            </w:r>
            <w:r>
              <w:rPr>
                <w:noProof/>
                <w:webHidden/>
              </w:rPr>
              <w:fldChar w:fldCharType="separate"/>
            </w:r>
            <w:r w:rsidR="00175103">
              <w:rPr>
                <w:noProof/>
                <w:webHidden/>
              </w:rPr>
              <w:t>104</w:t>
            </w:r>
            <w:r>
              <w:rPr>
                <w:noProof/>
                <w:webHidden/>
              </w:rPr>
              <w:fldChar w:fldCharType="end"/>
            </w:r>
          </w:hyperlink>
        </w:p>
        <w:p w14:paraId="02BA2849" w14:textId="38996F1E" w:rsidR="00F35C0D" w:rsidRDefault="00F35C0D" w:rsidP="00F35C0D">
          <w:pPr>
            <w:pStyle w:val="TOC2"/>
            <w:tabs>
              <w:tab w:val="left" w:pos="880"/>
              <w:tab w:val="right" w:leader="dot" w:pos="9016"/>
            </w:tabs>
            <w:rPr>
              <w:rFonts w:eastAsiaTheme="minorEastAsia"/>
              <w:noProof/>
              <w:lang w:eastAsia="en-GB"/>
            </w:rPr>
          </w:pPr>
          <w:hyperlink w:anchor="_Toc519088674" w:history="1">
            <w:r w:rsidRPr="00AF48AE">
              <w:rPr>
                <w:rStyle w:val="Hyperlink"/>
                <w:noProof/>
              </w:rPr>
              <w:t>7.3</w:t>
            </w:r>
            <w:r>
              <w:rPr>
                <w:rFonts w:eastAsiaTheme="minorEastAsia"/>
                <w:noProof/>
                <w:lang w:eastAsia="en-GB"/>
              </w:rPr>
              <w:tab/>
            </w:r>
            <w:r w:rsidRPr="00AF48AE">
              <w:rPr>
                <w:rStyle w:val="Hyperlink"/>
                <w:noProof/>
              </w:rPr>
              <w:t>Access to devices</w:t>
            </w:r>
            <w:r>
              <w:rPr>
                <w:noProof/>
                <w:webHidden/>
              </w:rPr>
              <w:tab/>
            </w:r>
            <w:r>
              <w:rPr>
                <w:noProof/>
                <w:webHidden/>
              </w:rPr>
              <w:fldChar w:fldCharType="begin"/>
            </w:r>
            <w:r>
              <w:rPr>
                <w:noProof/>
                <w:webHidden/>
              </w:rPr>
              <w:instrText xml:space="preserve"> PAGEREF _Toc519088674 \h </w:instrText>
            </w:r>
            <w:r>
              <w:rPr>
                <w:noProof/>
                <w:webHidden/>
              </w:rPr>
            </w:r>
            <w:r>
              <w:rPr>
                <w:noProof/>
                <w:webHidden/>
              </w:rPr>
              <w:fldChar w:fldCharType="separate"/>
            </w:r>
            <w:r w:rsidR="00175103">
              <w:rPr>
                <w:noProof/>
                <w:webHidden/>
              </w:rPr>
              <w:t>104</w:t>
            </w:r>
            <w:r>
              <w:rPr>
                <w:noProof/>
                <w:webHidden/>
              </w:rPr>
              <w:fldChar w:fldCharType="end"/>
            </w:r>
          </w:hyperlink>
        </w:p>
        <w:p w14:paraId="3AA822EE" w14:textId="0AA0F277" w:rsidR="00F35C0D" w:rsidRDefault="00F35C0D" w:rsidP="00F35C0D">
          <w:pPr>
            <w:pStyle w:val="TOC2"/>
            <w:tabs>
              <w:tab w:val="left" w:pos="880"/>
              <w:tab w:val="right" w:leader="dot" w:pos="9016"/>
            </w:tabs>
            <w:rPr>
              <w:rFonts w:eastAsiaTheme="minorEastAsia"/>
              <w:noProof/>
              <w:lang w:eastAsia="en-GB"/>
            </w:rPr>
          </w:pPr>
          <w:hyperlink w:anchor="_Toc519088675" w:history="1">
            <w:r w:rsidRPr="00AF48AE">
              <w:rPr>
                <w:rStyle w:val="Hyperlink"/>
                <w:noProof/>
              </w:rPr>
              <w:t>7.4</w:t>
            </w:r>
            <w:r>
              <w:rPr>
                <w:rFonts w:eastAsiaTheme="minorEastAsia"/>
                <w:noProof/>
                <w:lang w:eastAsia="en-GB"/>
              </w:rPr>
              <w:tab/>
            </w:r>
            <w:r w:rsidRPr="00AF48AE">
              <w:rPr>
                <w:rStyle w:val="Hyperlink"/>
                <w:noProof/>
              </w:rPr>
              <w:t>Digital skills</w:t>
            </w:r>
            <w:r>
              <w:rPr>
                <w:noProof/>
                <w:webHidden/>
              </w:rPr>
              <w:tab/>
            </w:r>
            <w:r>
              <w:rPr>
                <w:noProof/>
                <w:webHidden/>
              </w:rPr>
              <w:fldChar w:fldCharType="begin"/>
            </w:r>
            <w:r>
              <w:rPr>
                <w:noProof/>
                <w:webHidden/>
              </w:rPr>
              <w:instrText xml:space="preserve"> PAGEREF _Toc519088675 \h </w:instrText>
            </w:r>
            <w:r>
              <w:rPr>
                <w:noProof/>
                <w:webHidden/>
              </w:rPr>
            </w:r>
            <w:r>
              <w:rPr>
                <w:noProof/>
                <w:webHidden/>
              </w:rPr>
              <w:fldChar w:fldCharType="separate"/>
            </w:r>
            <w:r w:rsidR="00175103">
              <w:rPr>
                <w:noProof/>
                <w:webHidden/>
              </w:rPr>
              <w:t>105</w:t>
            </w:r>
            <w:r>
              <w:rPr>
                <w:noProof/>
                <w:webHidden/>
              </w:rPr>
              <w:fldChar w:fldCharType="end"/>
            </w:r>
          </w:hyperlink>
        </w:p>
        <w:p w14:paraId="5F50D6F5" w14:textId="39AD7670" w:rsidR="00F35C0D" w:rsidRDefault="00F35C0D" w:rsidP="00F35C0D">
          <w:pPr>
            <w:pStyle w:val="TOC1"/>
            <w:tabs>
              <w:tab w:val="right" w:leader="dot" w:pos="9016"/>
            </w:tabs>
            <w:rPr>
              <w:rFonts w:eastAsiaTheme="minorEastAsia"/>
              <w:noProof/>
              <w:lang w:eastAsia="en-GB"/>
            </w:rPr>
          </w:pPr>
          <w:hyperlink w:anchor="_Toc519088676" w:history="1">
            <w:r w:rsidRPr="00AF48AE">
              <w:rPr>
                <w:rStyle w:val="Hyperlink"/>
                <w:noProof/>
              </w:rPr>
              <w:t>References</w:t>
            </w:r>
            <w:r>
              <w:rPr>
                <w:noProof/>
                <w:webHidden/>
              </w:rPr>
              <w:tab/>
            </w:r>
            <w:r>
              <w:rPr>
                <w:noProof/>
                <w:webHidden/>
              </w:rPr>
              <w:fldChar w:fldCharType="begin"/>
            </w:r>
            <w:r>
              <w:rPr>
                <w:noProof/>
                <w:webHidden/>
              </w:rPr>
              <w:instrText xml:space="preserve"> PAGEREF _Toc519088676 \h </w:instrText>
            </w:r>
            <w:r>
              <w:rPr>
                <w:noProof/>
                <w:webHidden/>
              </w:rPr>
            </w:r>
            <w:r>
              <w:rPr>
                <w:noProof/>
                <w:webHidden/>
              </w:rPr>
              <w:fldChar w:fldCharType="separate"/>
            </w:r>
            <w:r w:rsidR="00175103">
              <w:rPr>
                <w:noProof/>
                <w:webHidden/>
              </w:rPr>
              <w:t>107</w:t>
            </w:r>
            <w:r>
              <w:rPr>
                <w:noProof/>
                <w:webHidden/>
              </w:rPr>
              <w:fldChar w:fldCharType="end"/>
            </w:r>
          </w:hyperlink>
        </w:p>
        <w:p w14:paraId="0593AB56" w14:textId="3B536552" w:rsidR="00677EDD" w:rsidRPr="00677EDD" w:rsidRDefault="00F35C0D" w:rsidP="00F35C0D">
          <w:pPr>
            <w:ind w:left="0"/>
          </w:pPr>
          <w:r>
            <w:rPr>
              <w:b/>
              <w:bCs/>
              <w:noProof/>
            </w:rPr>
            <w:fldChar w:fldCharType="end"/>
          </w:r>
        </w:p>
      </w:sdtContent>
    </w:sdt>
    <w:p w14:paraId="4F7C40FB" w14:textId="528255F6" w:rsidR="00176291" w:rsidRDefault="00176291">
      <w:r>
        <w:br w:type="page"/>
      </w:r>
    </w:p>
    <w:p w14:paraId="4B1E017B" w14:textId="59C561DE" w:rsidR="00700024" w:rsidRDefault="00700024" w:rsidP="00700024">
      <w:pPr>
        <w:pStyle w:val="Heading1"/>
        <w:numPr>
          <w:ilvl w:val="0"/>
          <w:numId w:val="4"/>
        </w:numPr>
      </w:pPr>
      <w:bookmarkStart w:id="2" w:name="_Toc519088540"/>
      <w:r w:rsidRPr="00176291">
        <w:rPr>
          <w:sz w:val="36"/>
          <w:szCs w:val="36"/>
        </w:rPr>
        <w:lastRenderedPageBreak/>
        <w:t>Introduction</w:t>
      </w:r>
      <w:bookmarkEnd w:id="2"/>
    </w:p>
    <w:p w14:paraId="2199AC51" w14:textId="1F747393" w:rsidR="00700024" w:rsidRDefault="00700024" w:rsidP="00700024"/>
    <w:p w14:paraId="51828134" w14:textId="3AD8FC7D" w:rsidR="00700024" w:rsidRDefault="00700024" w:rsidP="00700024">
      <w:pPr>
        <w:pStyle w:val="Heading2"/>
        <w:numPr>
          <w:ilvl w:val="1"/>
          <w:numId w:val="4"/>
        </w:numPr>
      </w:pPr>
      <w:bookmarkStart w:id="3" w:name="_Toc519088541"/>
      <w:r>
        <w:t>Context</w:t>
      </w:r>
      <w:bookmarkEnd w:id="3"/>
    </w:p>
    <w:p w14:paraId="42D525A7" w14:textId="67E5AFF3" w:rsidR="00700024" w:rsidRDefault="00592551" w:rsidP="00592551">
      <w:r>
        <w:t>To follow.</w:t>
      </w:r>
    </w:p>
    <w:p w14:paraId="719BE726" w14:textId="77777777" w:rsidR="00592551" w:rsidRDefault="00592551" w:rsidP="00592551"/>
    <w:p w14:paraId="3869B508" w14:textId="67EF51AA" w:rsidR="00700024" w:rsidRDefault="00700024" w:rsidP="00700024">
      <w:pPr>
        <w:pStyle w:val="Heading2"/>
        <w:numPr>
          <w:ilvl w:val="1"/>
          <w:numId w:val="4"/>
        </w:numPr>
      </w:pPr>
      <w:bookmarkStart w:id="4" w:name="_Toc519088542"/>
      <w:r>
        <w:t>What is a Population Needs Assessment?</w:t>
      </w:r>
      <w:bookmarkEnd w:id="4"/>
    </w:p>
    <w:p w14:paraId="13B505A3" w14:textId="261557E4" w:rsidR="00700024" w:rsidRDefault="00592551" w:rsidP="00700024">
      <w:r>
        <w:t>To follow.</w:t>
      </w:r>
    </w:p>
    <w:p w14:paraId="1BD984D8" w14:textId="77777777" w:rsidR="00592551" w:rsidRDefault="00592551" w:rsidP="00700024"/>
    <w:p w14:paraId="1198FBBF" w14:textId="447357A8" w:rsidR="00EA1A02" w:rsidRDefault="00700024" w:rsidP="00EA1A02">
      <w:pPr>
        <w:pStyle w:val="Heading2"/>
        <w:numPr>
          <w:ilvl w:val="1"/>
          <w:numId w:val="4"/>
        </w:numPr>
      </w:pPr>
      <w:bookmarkStart w:id="5" w:name="_Toc519088543"/>
      <w:r>
        <w:t>Data used and limitations</w:t>
      </w:r>
      <w:bookmarkEnd w:id="5"/>
      <w:r w:rsidR="00EA1A02">
        <w:t xml:space="preserve">  </w:t>
      </w:r>
    </w:p>
    <w:p w14:paraId="03852E8A" w14:textId="77FBA20A" w:rsidR="00517D1D" w:rsidRDefault="00517D1D" w:rsidP="00517D1D">
      <w:r>
        <w:t xml:space="preserve">Much of the data presented in this document comes from official statistics provided by the Scottish Government, National Records of Scotland, ScotPHO, ISD Scotland, Police Scotland and NOMIS (check for others).  Additional data has been provided by Council services (not much yet – still to be sourced/added). </w:t>
      </w:r>
    </w:p>
    <w:p w14:paraId="6BBE93E9" w14:textId="7FE82A0A" w:rsidR="00517D1D" w:rsidRPr="00517D1D" w:rsidRDefault="00517D1D" w:rsidP="002D1088">
      <w:pPr>
        <w:spacing w:before="240"/>
      </w:pPr>
      <w:r>
        <w:t xml:space="preserve">In general percentages and rates presented have been rounded to one decimal point.  </w:t>
      </w:r>
      <w:r w:rsidR="002D1088">
        <w:t xml:space="preserve">Some of these (e.g. life expectancy) will have a degree of error associated with them because of the way they are generated.  Technically, these results should be presented with their associated Confidence Interval (usually ±x%).  </w:t>
      </w:r>
      <w:r w:rsidR="002E1B1B">
        <w:t xml:space="preserve">Differences are said to be statistically significant if confidence intervals do not overlap.  </w:t>
      </w:r>
      <w:r w:rsidR="002D1088">
        <w:t>However, for ease of presentation, confidence intervals have not been presented.  A degree of caution is therefore required when interpreting some of the data – particularly for smaller geographies such as neighbourhoods</w:t>
      </w:r>
      <w:r w:rsidR="002E1B1B">
        <w:t xml:space="preserve"> where there is likely to be greater imprecision around estimates and confidence intervals are likely to be broader</w:t>
      </w:r>
      <w:r w:rsidR="002D1088">
        <w:t>.</w:t>
      </w:r>
    </w:p>
    <w:p w14:paraId="66D48B57" w14:textId="77777777" w:rsidR="00EA1A02" w:rsidRDefault="00EA1A02" w:rsidP="00EA1A02">
      <w:pPr>
        <w:pStyle w:val="Heading2"/>
      </w:pPr>
    </w:p>
    <w:p w14:paraId="6164DA39" w14:textId="1D0CA86D" w:rsidR="00EA1A02" w:rsidRDefault="00EA1A02" w:rsidP="00EA1A02">
      <w:pPr>
        <w:pStyle w:val="Heading2"/>
        <w:numPr>
          <w:ilvl w:val="1"/>
          <w:numId w:val="4"/>
        </w:numPr>
      </w:pPr>
      <w:bookmarkStart w:id="6" w:name="_Toc519088544"/>
      <w:r>
        <w:t>Consultation – Place Standard and Aberdeen City Voice</w:t>
      </w:r>
      <w:bookmarkEnd w:id="6"/>
    </w:p>
    <w:p w14:paraId="780E048A" w14:textId="64B397C4" w:rsidR="00EA1A02" w:rsidRDefault="00EA1A02" w:rsidP="00B16B82">
      <w:r>
        <w:t xml:space="preserve">Within this Population Needs Assessment information on the Customer and Citizens perspective has been </w:t>
      </w:r>
      <w:r w:rsidR="00B16B82">
        <w:t>included</w:t>
      </w:r>
      <w:r>
        <w:t>.  This has been done using two sources, Place Standard and Aberdeen City Voice.  Place Standard is a tool which provides a framework to structure discussion about the place in which you live.  The Aberdeen City online Place Standard data collection took place between 22</w:t>
      </w:r>
      <w:r w:rsidRPr="00EA1A02">
        <w:rPr>
          <w:vertAlign w:val="superscript"/>
        </w:rPr>
        <w:t>nd</w:t>
      </w:r>
      <w:r>
        <w:t xml:space="preserve"> March 2018 – 8</w:t>
      </w:r>
      <w:r w:rsidRPr="00EA1A02">
        <w:rPr>
          <w:vertAlign w:val="superscript"/>
        </w:rPr>
        <w:t>th</w:t>
      </w:r>
      <w:r>
        <w:t xml:space="preserve"> May 2018.  There were 324 completed surveys that were analysed and reported on.  Aspects of that data have been used within this report.</w:t>
      </w:r>
      <w:r w:rsidR="00D96DEF">
        <w:t xml:space="preserve">  Further information on Place Standard can be found at </w:t>
      </w:r>
      <w:hyperlink r:id="rId27" w:history="1">
        <w:r w:rsidR="0092044E" w:rsidRPr="00400DEF">
          <w:rPr>
            <w:rStyle w:val="Hyperlink"/>
          </w:rPr>
          <w:t>https://placestandard.scot/</w:t>
        </w:r>
      </w:hyperlink>
      <w:r w:rsidR="0092044E">
        <w:t xml:space="preserve">. </w:t>
      </w:r>
    </w:p>
    <w:p w14:paraId="26233544" w14:textId="2FBF306B" w:rsidR="00EA1A02" w:rsidRDefault="00EA1A02" w:rsidP="00EA1A02"/>
    <w:p w14:paraId="54B153FC" w14:textId="58D21E3B" w:rsidR="00EA1A02" w:rsidRPr="00EA1A02" w:rsidRDefault="00EA1A02" w:rsidP="00B16B82">
      <w:r>
        <w:t xml:space="preserve">The second source used is Aberdeen City Voice, Aberdeen’s citizens panel.  There are over 1,400 citizens on the panel who </w:t>
      </w:r>
      <w:r w:rsidR="00B16B82">
        <w:t xml:space="preserve">have agreed to give their views on a range of issues.  Full access to the questionnaires and reports can be found at </w:t>
      </w:r>
      <w:hyperlink r:id="rId28" w:history="1">
        <w:r w:rsidR="00B16B82" w:rsidRPr="00400DEF">
          <w:rPr>
            <w:rStyle w:val="Hyperlink"/>
          </w:rPr>
          <w:t>www.aberdeencityvoice.org.uk</w:t>
        </w:r>
      </w:hyperlink>
      <w:r w:rsidR="00B16B82">
        <w:t xml:space="preserve">.  </w:t>
      </w:r>
      <w:r>
        <w:t xml:space="preserve"> </w:t>
      </w:r>
    </w:p>
    <w:p w14:paraId="1E3C543A" w14:textId="0B78046C" w:rsidR="00700024" w:rsidRDefault="00700024" w:rsidP="00700024"/>
    <w:p w14:paraId="164E646D" w14:textId="595AAA9C" w:rsidR="00700024" w:rsidRDefault="00700024" w:rsidP="00700024">
      <w:pPr>
        <w:pStyle w:val="Heading2"/>
        <w:numPr>
          <w:ilvl w:val="1"/>
          <w:numId w:val="4"/>
        </w:numPr>
      </w:pPr>
      <w:bookmarkStart w:id="7" w:name="_Toc519088545"/>
      <w:r>
        <w:t>Layout</w:t>
      </w:r>
      <w:bookmarkEnd w:id="7"/>
    </w:p>
    <w:p w14:paraId="282721E4" w14:textId="50311D37" w:rsidR="00700024" w:rsidRDefault="002E1B1B" w:rsidP="00700024">
      <w:r>
        <w:t xml:space="preserve">The layout follows the LOIP themes – People, Place, Economy and Enabling Technology.  Sections 2, 3 and 4 relate to People, with Section 2 giving a demographic overview of the City, Section 3 covering Children and Section 4 looking at Adults.  Section 5 focuses on Place, Section 6 on the Economy and Section 7 on Enabling Technology. </w:t>
      </w:r>
    </w:p>
    <w:p w14:paraId="073A9DAD" w14:textId="77777777" w:rsidR="00176291" w:rsidRDefault="00176291" w:rsidP="00700024"/>
    <w:p w14:paraId="72FE80FF" w14:textId="03BA5621" w:rsidR="00700024" w:rsidRPr="00700024" w:rsidRDefault="00700024" w:rsidP="00F7668B">
      <w:pPr>
        <w:pStyle w:val="Title"/>
        <w:spacing w:after="360"/>
        <w:rPr>
          <w:color w:val="2E74B5" w:themeColor="accent5" w:themeShade="BF"/>
        </w:rPr>
      </w:pPr>
      <w:r w:rsidRPr="00700024">
        <w:rPr>
          <w:color w:val="2E74B5" w:themeColor="accent5" w:themeShade="BF"/>
        </w:rPr>
        <w:lastRenderedPageBreak/>
        <w:t>People</w:t>
      </w:r>
    </w:p>
    <w:p w14:paraId="785ACD1D" w14:textId="7AA83545" w:rsidR="00700024" w:rsidRDefault="00700024" w:rsidP="00F7668B">
      <w:pPr>
        <w:pStyle w:val="Heading1"/>
        <w:numPr>
          <w:ilvl w:val="0"/>
          <w:numId w:val="4"/>
        </w:numPr>
        <w:spacing w:after="240"/>
      </w:pPr>
      <w:bookmarkStart w:id="8" w:name="_Toc519088546"/>
      <w:r>
        <w:t>Demography</w:t>
      </w:r>
      <w:bookmarkEnd w:id="8"/>
    </w:p>
    <w:p w14:paraId="6CA24961" w14:textId="33BDBAA2" w:rsidR="00700024" w:rsidRDefault="00700024" w:rsidP="00843CA2">
      <w:pPr>
        <w:pStyle w:val="Heading2"/>
        <w:numPr>
          <w:ilvl w:val="1"/>
          <w:numId w:val="4"/>
        </w:numPr>
        <w:spacing w:after="240"/>
      </w:pPr>
      <w:bookmarkStart w:id="9" w:name="_Toc519088547"/>
      <w:r>
        <w:t>Population</w:t>
      </w:r>
      <w:bookmarkEnd w:id="9"/>
    </w:p>
    <w:p w14:paraId="67719D6D" w14:textId="54BA5075" w:rsidR="00F479D6" w:rsidRDefault="00843CA2" w:rsidP="00F479D6">
      <w:r w:rsidRPr="00843CA2">
        <w:t>On 30</w:t>
      </w:r>
      <w:r w:rsidRPr="00843CA2">
        <w:rPr>
          <w:vertAlign w:val="superscript"/>
        </w:rPr>
        <w:t>th</w:t>
      </w:r>
      <w:r w:rsidRPr="00843CA2">
        <w:t xml:space="preserve"> June 2017 the population of Aberdeen City was estimated to be </w:t>
      </w:r>
      <w:r w:rsidRPr="00843CA2">
        <w:rPr>
          <w:b/>
        </w:rPr>
        <w:t>228,800</w:t>
      </w:r>
      <w:r w:rsidRPr="00843CA2">
        <w:t>.  This equates to 4.2% of Scotland’s total population.</w:t>
      </w:r>
      <w:r w:rsidR="00F479D6">
        <w:t xml:space="preserve">  </w:t>
      </w:r>
      <w:r w:rsidR="00BF6384">
        <w:t>In terms of population size, Aberdeen City is the 8</w:t>
      </w:r>
      <w:r w:rsidR="00BF6384" w:rsidRPr="00BF6384">
        <w:rPr>
          <w:vertAlign w:val="superscript"/>
        </w:rPr>
        <w:t>th</w:t>
      </w:r>
      <w:r w:rsidR="00BF6384">
        <w:t xml:space="preserve"> largest local authority in Scotland.</w:t>
      </w:r>
    </w:p>
    <w:p w14:paraId="0AAD7D96" w14:textId="2D27AF7C" w:rsidR="00A400B5" w:rsidRDefault="00A400B5" w:rsidP="00F479D6"/>
    <w:p w14:paraId="6683F7D8" w14:textId="37483EA0" w:rsidR="00A400B5" w:rsidRDefault="00A400B5" w:rsidP="00A400B5">
      <w:pPr>
        <w:pStyle w:val="Heading2"/>
        <w:numPr>
          <w:ilvl w:val="2"/>
          <w:numId w:val="4"/>
        </w:numPr>
        <w:spacing w:after="240"/>
      </w:pPr>
      <w:bookmarkStart w:id="10" w:name="_Toc519088548"/>
      <w:r>
        <w:t>Population by neighbourhood</w:t>
      </w:r>
      <w:bookmarkEnd w:id="10"/>
    </w:p>
    <w:p w14:paraId="3D0D6E68" w14:textId="7B94372E" w:rsidR="00A400B5" w:rsidRPr="00A400B5" w:rsidRDefault="00A400B5" w:rsidP="00A400B5">
      <w:r>
        <w:t>The population varies considerably by neighbourhood, ranging from a low of 1,837 in Cummings Park to a high of 13,473 in Braeside, Mannofield, Broomhill and Seafield.  (Note: these are based on 2016 MYEs – 2017 small area populations will not be available until August.)</w:t>
      </w:r>
    </w:p>
    <w:p w14:paraId="30A01423" w14:textId="69E9C873" w:rsidR="00A400B5" w:rsidRDefault="00A400B5" w:rsidP="00A400B5"/>
    <w:p w14:paraId="48BBCC3A" w14:textId="75541D44" w:rsidR="00A400B5" w:rsidRPr="00A400B5" w:rsidRDefault="00A400B5" w:rsidP="00A400B5">
      <w:r>
        <w:rPr>
          <w:noProof/>
        </w:rPr>
        <w:drawing>
          <wp:inline distT="0" distB="0" distL="0" distR="0" wp14:anchorId="36F3A5AD" wp14:editId="7A2D80B0">
            <wp:extent cx="5325110" cy="2633472"/>
            <wp:effectExtent l="0" t="0" r="8890" b="14605"/>
            <wp:docPr id="83" name="Chart 83">
              <a:extLst xmlns:a="http://schemas.openxmlformats.org/drawingml/2006/main">
                <a:ext uri="{FF2B5EF4-FFF2-40B4-BE49-F238E27FC236}">
                  <a16:creationId xmlns:a16="http://schemas.microsoft.com/office/drawing/2014/main" id="{85D0EE57-FC28-4FC1-9DA7-788B7BC505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F5D619E" w14:textId="34B8C750" w:rsidR="00A400B5" w:rsidRPr="00A400B5" w:rsidRDefault="00A400B5" w:rsidP="00F479D6">
      <w:pPr>
        <w:rPr>
          <w:sz w:val="16"/>
          <w:szCs w:val="16"/>
        </w:rPr>
      </w:pPr>
      <w:r w:rsidRPr="00A400B5">
        <w:rPr>
          <w:sz w:val="16"/>
          <w:szCs w:val="16"/>
        </w:rPr>
        <w:t>Source: National Records of Scotland, Small Area Population Estimates, 2016</w:t>
      </w:r>
    </w:p>
    <w:p w14:paraId="691ABC61" w14:textId="77777777" w:rsidR="00A400B5" w:rsidRDefault="00A400B5" w:rsidP="00F479D6"/>
    <w:p w14:paraId="46D63F98" w14:textId="77777777" w:rsidR="000172EC" w:rsidRPr="00F479D6" w:rsidRDefault="000172EC" w:rsidP="00F479D6"/>
    <w:p w14:paraId="3C8CEF86" w14:textId="5E5FBDAA" w:rsidR="00843CA2" w:rsidRDefault="00843CA2" w:rsidP="00843CA2">
      <w:pPr>
        <w:pStyle w:val="Heading2"/>
        <w:numPr>
          <w:ilvl w:val="1"/>
          <w:numId w:val="4"/>
        </w:numPr>
        <w:spacing w:after="240"/>
      </w:pPr>
      <w:bookmarkStart w:id="11" w:name="_Toc519088549"/>
      <w:r>
        <w:t>Age and sex structure</w:t>
      </w:r>
      <w:bookmarkEnd w:id="11"/>
    </w:p>
    <w:p w14:paraId="46079A43" w14:textId="77777777" w:rsidR="007D2025" w:rsidRDefault="00341495" w:rsidP="007D2025">
      <w:r w:rsidRPr="00F479D6">
        <w:t>In 2017, there were more females (50.2%) than males (49.8%) living in Aberdeen City. There were also more females (51.3%) than males (48.7%) living in Scotland overall</w:t>
      </w:r>
      <w:r>
        <w:t>.</w:t>
      </w:r>
      <w:r w:rsidR="007D2025">
        <w:t xml:space="preserve">  </w:t>
      </w:r>
    </w:p>
    <w:p w14:paraId="312FC3C5" w14:textId="59578913" w:rsidR="00843CA2" w:rsidRDefault="00843CA2" w:rsidP="007D2025">
      <w:pPr>
        <w:spacing w:line="276" w:lineRule="auto"/>
        <w:ind w:left="0"/>
        <w:rPr>
          <w:rFonts w:ascii="Calibri" w:eastAsia="Calibri" w:hAnsi="Calibri" w:cs="Times New Roman"/>
        </w:rPr>
      </w:pPr>
    </w:p>
    <w:p w14:paraId="2DA64A06" w14:textId="56679D38" w:rsidR="007D2025" w:rsidRDefault="00341495" w:rsidP="00D33F4D">
      <w:pPr>
        <w:spacing w:line="276" w:lineRule="auto"/>
        <w:rPr>
          <w:rFonts w:ascii="Calibri" w:eastAsia="Calibri" w:hAnsi="Calibri" w:cs="Times New Roman"/>
        </w:rPr>
      </w:pPr>
      <w:r>
        <w:rPr>
          <w:rFonts w:ascii="Calibri" w:eastAsia="Calibri" w:hAnsi="Calibri" w:cs="Times New Roman"/>
        </w:rPr>
        <w:t>Compared to Scotland, Aberdeen has a relatively young population with the</w:t>
      </w:r>
      <w:r w:rsidRPr="00341495">
        <w:rPr>
          <w:rFonts w:ascii="Calibri" w:eastAsia="Calibri" w:hAnsi="Calibri" w:cs="Times New Roman"/>
        </w:rPr>
        <w:t xml:space="preserve"> median age in </w:t>
      </w:r>
      <w:r>
        <w:rPr>
          <w:rFonts w:ascii="Calibri" w:eastAsia="Calibri" w:hAnsi="Calibri" w:cs="Times New Roman"/>
        </w:rPr>
        <w:t xml:space="preserve">the </w:t>
      </w:r>
      <w:r w:rsidRPr="00341495">
        <w:rPr>
          <w:rFonts w:ascii="Calibri" w:eastAsia="Calibri" w:hAnsi="Calibri" w:cs="Times New Roman"/>
        </w:rPr>
        <w:t xml:space="preserve">City </w:t>
      </w:r>
      <w:r>
        <w:rPr>
          <w:rFonts w:ascii="Calibri" w:eastAsia="Calibri" w:hAnsi="Calibri" w:cs="Times New Roman"/>
        </w:rPr>
        <w:t>being</w:t>
      </w:r>
      <w:r w:rsidRPr="00341495">
        <w:rPr>
          <w:rFonts w:ascii="Calibri" w:eastAsia="Calibri" w:hAnsi="Calibri" w:cs="Times New Roman"/>
        </w:rPr>
        <w:t xml:space="preserve"> lower than that for Scotland (36 years compared to 42 years).  </w:t>
      </w:r>
      <w:r w:rsidR="007D2025">
        <w:rPr>
          <w:rFonts w:ascii="Calibri" w:eastAsia="Calibri" w:hAnsi="Calibri" w:cs="Times New Roman"/>
        </w:rPr>
        <w:t>Aberdeen City has a higher proportion of its population in the working-age group than Scotland (69% compared to 64%) and a lower proportion of under 16 year-olds and people of pensionable age.</w:t>
      </w:r>
    </w:p>
    <w:p w14:paraId="61F21B01" w14:textId="77777777" w:rsidR="007D2025" w:rsidRDefault="007D2025" w:rsidP="00D33F4D">
      <w:pPr>
        <w:spacing w:line="276" w:lineRule="auto"/>
        <w:rPr>
          <w:rFonts w:ascii="Calibri" w:eastAsia="Calibri" w:hAnsi="Calibri" w:cs="Times New Roman"/>
        </w:rPr>
      </w:pPr>
    </w:p>
    <w:p w14:paraId="6A7E2681" w14:textId="48A27C4E" w:rsidR="007D2025" w:rsidRDefault="007D2025" w:rsidP="00D33F4D">
      <w:pPr>
        <w:spacing w:line="276" w:lineRule="auto"/>
        <w:rPr>
          <w:rFonts w:ascii="Calibri" w:eastAsia="Calibri" w:hAnsi="Calibri" w:cs="Times New Roman"/>
        </w:rPr>
      </w:pPr>
      <w:r>
        <w:rPr>
          <w:noProof/>
        </w:rPr>
        <w:lastRenderedPageBreak/>
        <w:drawing>
          <wp:inline distT="0" distB="0" distL="0" distR="0" wp14:anchorId="1C87A77C" wp14:editId="1B311026">
            <wp:extent cx="4572000" cy="2743200"/>
            <wp:effectExtent l="0" t="0" r="0" b="0"/>
            <wp:docPr id="92" name="Chart 92">
              <a:extLst xmlns:a="http://schemas.openxmlformats.org/drawingml/2006/main">
                <a:ext uri="{FF2B5EF4-FFF2-40B4-BE49-F238E27FC236}">
                  <a16:creationId xmlns:a16="http://schemas.microsoft.com/office/drawing/2014/main" id="{AA7702A5-BD44-4FE6-AA48-44F32F0815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2AF5D52" w14:textId="57573ED4" w:rsidR="007D2025" w:rsidRPr="00E434FA" w:rsidRDefault="00E434FA" w:rsidP="00D33F4D">
      <w:pPr>
        <w:spacing w:line="276" w:lineRule="auto"/>
        <w:rPr>
          <w:rFonts w:ascii="Calibri" w:eastAsia="Calibri" w:hAnsi="Calibri" w:cs="Times New Roman"/>
          <w:sz w:val="16"/>
          <w:szCs w:val="16"/>
        </w:rPr>
      </w:pPr>
      <w:r w:rsidRPr="00E434FA">
        <w:rPr>
          <w:rFonts w:ascii="Calibri" w:eastAsia="Calibri" w:hAnsi="Calibri" w:cs="Times New Roman"/>
          <w:sz w:val="16"/>
          <w:szCs w:val="16"/>
        </w:rPr>
        <w:t>Source: National Records of Scotland, Mid-2017 Population Estimates</w:t>
      </w:r>
    </w:p>
    <w:p w14:paraId="33ED3878" w14:textId="77777777" w:rsidR="007D2025" w:rsidRDefault="007D2025" w:rsidP="00D33F4D">
      <w:pPr>
        <w:spacing w:line="276" w:lineRule="auto"/>
        <w:rPr>
          <w:rFonts w:ascii="Calibri" w:eastAsia="Calibri" w:hAnsi="Calibri" w:cs="Times New Roman"/>
        </w:rPr>
      </w:pPr>
    </w:p>
    <w:p w14:paraId="0E3285D5" w14:textId="31649DAD" w:rsidR="00D33F4D" w:rsidRDefault="000F17A2" w:rsidP="00D33F4D">
      <w:pPr>
        <w:spacing w:line="276" w:lineRule="auto"/>
        <w:rPr>
          <w:rFonts w:ascii="Calibri" w:eastAsia="Calibri" w:hAnsi="Calibri" w:cs="Times New Roman"/>
        </w:rPr>
      </w:pPr>
      <w:r>
        <w:rPr>
          <w:rFonts w:ascii="Calibri" w:eastAsia="Calibri" w:hAnsi="Calibri" w:cs="Times New Roman"/>
        </w:rPr>
        <w:t xml:space="preserve">The population pyramid </w:t>
      </w:r>
      <w:r w:rsidR="00F479D6">
        <w:rPr>
          <w:rFonts w:ascii="Calibri" w:eastAsia="Calibri" w:hAnsi="Calibri" w:cs="Times New Roman"/>
        </w:rPr>
        <w:t>overlays</w:t>
      </w:r>
      <w:r>
        <w:rPr>
          <w:rFonts w:ascii="Calibri" w:eastAsia="Calibri" w:hAnsi="Calibri" w:cs="Times New Roman"/>
        </w:rPr>
        <w:t xml:space="preserve"> the age and sex structure of the City </w:t>
      </w:r>
      <w:r w:rsidR="00F479D6">
        <w:rPr>
          <w:rFonts w:ascii="Calibri" w:eastAsia="Calibri" w:hAnsi="Calibri" w:cs="Times New Roman"/>
        </w:rPr>
        <w:t>onto</w:t>
      </w:r>
      <w:r w:rsidR="007E4863">
        <w:rPr>
          <w:rFonts w:ascii="Calibri" w:eastAsia="Calibri" w:hAnsi="Calibri" w:cs="Times New Roman"/>
        </w:rPr>
        <w:t xml:space="preserve"> that of Scotland (lightly shaded </w:t>
      </w:r>
      <w:r w:rsidR="00F479D6">
        <w:rPr>
          <w:rFonts w:ascii="Calibri" w:eastAsia="Calibri" w:hAnsi="Calibri" w:cs="Times New Roman"/>
        </w:rPr>
        <w:t xml:space="preserve">in the </w:t>
      </w:r>
      <w:r w:rsidR="007E4863">
        <w:rPr>
          <w:rFonts w:ascii="Calibri" w:eastAsia="Calibri" w:hAnsi="Calibri" w:cs="Times New Roman"/>
        </w:rPr>
        <w:t>background) – highlighting the differen</w:t>
      </w:r>
      <w:r w:rsidR="00F7668B">
        <w:rPr>
          <w:rFonts w:ascii="Calibri" w:eastAsia="Calibri" w:hAnsi="Calibri" w:cs="Times New Roman"/>
        </w:rPr>
        <w:t>ces in the</w:t>
      </w:r>
      <w:r w:rsidR="007E4863">
        <w:rPr>
          <w:rFonts w:ascii="Calibri" w:eastAsia="Calibri" w:hAnsi="Calibri" w:cs="Times New Roman"/>
        </w:rPr>
        <w:t xml:space="preserve"> age </w:t>
      </w:r>
      <w:r w:rsidR="00F7668B">
        <w:rPr>
          <w:rFonts w:ascii="Calibri" w:eastAsia="Calibri" w:hAnsi="Calibri" w:cs="Times New Roman"/>
        </w:rPr>
        <w:t xml:space="preserve">structures </w:t>
      </w:r>
      <w:r w:rsidR="00341495">
        <w:rPr>
          <w:rFonts w:ascii="Calibri" w:eastAsia="Calibri" w:hAnsi="Calibri" w:cs="Times New Roman"/>
        </w:rPr>
        <w:t>between</w:t>
      </w:r>
      <w:r w:rsidR="00F7668B">
        <w:rPr>
          <w:rFonts w:ascii="Calibri" w:eastAsia="Calibri" w:hAnsi="Calibri" w:cs="Times New Roman"/>
        </w:rPr>
        <w:t xml:space="preserve"> both areas.  </w:t>
      </w:r>
    </w:p>
    <w:p w14:paraId="7885DAAC" w14:textId="275FEA97" w:rsidR="00341495" w:rsidRDefault="00341495" w:rsidP="00D33F4D">
      <w:pPr>
        <w:spacing w:line="276" w:lineRule="auto"/>
        <w:rPr>
          <w:rFonts w:ascii="Calibri" w:eastAsia="Calibri" w:hAnsi="Calibri" w:cs="Times New Roman"/>
          <w:b/>
        </w:rPr>
      </w:pPr>
    </w:p>
    <w:p w14:paraId="1032BA64" w14:textId="6BF3B009" w:rsidR="000F17A2" w:rsidRDefault="000F17A2" w:rsidP="00D33F4D">
      <w:pPr>
        <w:spacing w:line="276" w:lineRule="auto"/>
        <w:rPr>
          <w:rFonts w:ascii="Calibri" w:eastAsia="Calibri" w:hAnsi="Calibri" w:cs="Times New Roman"/>
          <w:b/>
        </w:rPr>
      </w:pPr>
      <w:r w:rsidRPr="000F17A2">
        <w:rPr>
          <w:rFonts w:ascii="Calibri" w:eastAsia="Calibri" w:hAnsi="Calibri" w:cs="Times New Roman"/>
          <w:b/>
        </w:rPr>
        <w:t>Population pyramid, Aberdeen City</w:t>
      </w:r>
      <w:r w:rsidR="007E4863">
        <w:rPr>
          <w:rFonts w:ascii="Calibri" w:eastAsia="Calibri" w:hAnsi="Calibri" w:cs="Times New Roman"/>
          <w:b/>
        </w:rPr>
        <w:t xml:space="preserve"> and Scotland</w:t>
      </w:r>
      <w:r w:rsidRPr="000F17A2">
        <w:rPr>
          <w:rFonts w:ascii="Calibri" w:eastAsia="Calibri" w:hAnsi="Calibri" w:cs="Times New Roman"/>
          <w:b/>
        </w:rPr>
        <w:t>, 2017</w:t>
      </w:r>
    </w:p>
    <w:p w14:paraId="17E7E38E" w14:textId="3A16E2BF" w:rsidR="00420EF2" w:rsidRDefault="007E4863" w:rsidP="00D33F4D">
      <w:pPr>
        <w:spacing w:line="276" w:lineRule="auto"/>
        <w:rPr>
          <w:rFonts w:ascii="Calibri" w:eastAsia="Calibri" w:hAnsi="Calibri" w:cs="Times New Roman"/>
          <w:b/>
        </w:rPr>
      </w:pPr>
      <w:r>
        <w:rPr>
          <w:noProof/>
        </w:rPr>
        <w:drawing>
          <wp:inline distT="0" distB="0" distL="0" distR="0" wp14:anchorId="1B058ECF" wp14:editId="298FEFE5">
            <wp:extent cx="5369356" cy="3708806"/>
            <wp:effectExtent l="0" t="0" r="3175" b="6350"/>
            <wp:docPr id="5" name="Chart 5">
              <a:extLst xmlns:a="http://schemas.openxmlformats.org/drawingml/2006/main">
                <a:ext uri="{FF2B5EF4-FFF2-40B4-BE49-F238E27FC236}">
                  <a16:creationId xmlns:a16="http://schemas.microsoft.com/office/drawing/2014/main" id="{AC21C18E-5A5B-463D-9F0A-8D911B47A8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6539A80" w14:textId="2A9625C0" w:rsidR="00D33F4D" w:rsidRPr="000F17A2" w:rsidRDefault="000F17A2" w:rsidP="00843CA2">
      <w:pPr>
        <w:spacing w:line="276" w:lineRule="auto"/>
        <w:rPr>
          <w:rFonts w:ascii="Calibri" w:eastAsia="Calibri" w:hAnsi="Calibri" w:cs="Times New Roman"/>
          <w:sz w:val="16"/>
          <w:szCs w:val="16"/>
        </w:rPr>
      </w:pPr>
      <w:r w:rsidRPr="000F17A2">
        <w:rPr>
          <w:rFonts w:ascii="Calibri" w:eastAsia="Calibri" w:hAnsi="Calibri" w:cs="Times New Roman"/>
          <w:sz w:val="16"/>
          <w:szCs w:val="16"/>
        </w:rPr>
        <w:t>Source: National Records of Scotland, Mid-2017 Population Estimates, Scotland</w:t>
      </w:r>
      <w:r w:rsidRPr="000F17A2">
        <w:rPr>
          <w:rFonts w:ascii="Calibri" w:eastAsia="Calibri" w:hAnsi="Calibri" w:cs="Times New Roman"/>
          <w:sz w:val="16"/>
          <w:szCs w:val="16"/>
        </w:rPr>
        <w:tab/>
      </w:r>
    </w:p>
    <w:p w14:paraId="0F18270C" w14:textId="67972548" w:rsidR="000F17A2" w:rsidRDefault="000F17A2" w:rsidP="00843CA2">
      <w:pPr>
        <w:spacing w:line="276" w:lineRule="auto"/>
        <w:rPr>
          <w:rFonts w:ascii="Calibri" w:eastAsia="Calibri" w:hAnsi="Calibri" w:cs="Times New Roman"/>
        </w:rPr>
      </w:pPr>
    </w:p>
    <w:p w14:paraId="2C7E3118" w14:textId="56CC7B90" w:rsidR="007D2025" w:rsidRDefault="007D2025" w:rsidP="00843CA2">
      <w:pPr>
        <w:spacing w:line="276" w:lineRule="auto"/>
        <w:rPr>
          <w:rFonts w:ascii="Calibri" w:eastAsia="Calibri" w:hAnsi="Calibri" w:cs="Times New Roman"/>
        </w:rPr>
      </w:pPr>
    </w:p>
    <w:p w14:paraId="7DAD2D2F" w14:textId="0D082531" w:rsidR="0035765B" w:rsidRDefault="0035765B" w:rsidP="00843CA2">
      <w:pPr>
        <w:spacing w:line="276" w:lineRule="auto"/>
        <w:rPr>
          <w:rFonts w:ascii="Calibri" w:eastAsia="Calibri" w:hAnsi="Calibri" w:cs="Times New Roman"/>
        </w:rPr>
      </w:pPr>
    </w:p>
    <w:p w14:paraId="0C8791DC" w14:textId="70A33442" w:rsidR="0035765B" w:rsidRDefault="0035765B" w:rsidP="00843CA2">
      <w:pPr>
        <w:spacing w:line="276" w:lineRule="auto"/>
        <w:rPr>
          <w:rFonts w:ascii="Calibri" w:eastAsia="Calibri" w:hAnsi="Calibri" w:cs="Times New Roman"/>
        </w:rPr>
      </w:pPr>
    </w:p>
    <w:p w14:paraId="4018CABA" w14:textId="607C1E67" w:rsidR="0035765B" w:rsidRDefault="0035765B" w:rsidP="0035765B">
      <w:pPr>
        <w:pStyle w:val="Heading2"/>
        <w:numPr>
          <w:ilvl w:val="2"/>
          <w:numId w:val="4"/>
        </w:numPr>
        <w:spacing w:after="240"/>
        <w:rPr>
          <w:rFonts w:eastAsia="Calibri" w:cs="Times New Roman"/>
        </w:rPr>
      </w:pPr>
      <w:bookmarkStart w:id="12" w:name="_Toc519088550"/>
      <w:r w:rsidRPr="0035765B">
        <w:rPr>
          <w:rFonts w:eastAsia="Calibri" w:cs="Times New Roman"/>
        </w:rPr>
        <w:lastRenderedPageBreak/>
        <w:t>Age structure by neighbourhood</w:t>
      </w:r>
      <w:bookmarkEnd w:id="12"/>
    </w:p>
    <w:p w14:paraId="390BD561" w14:textId="798B41DF" w:rsidR="0035765B" w:rsidRDefault="0035765B" w:rsidP="0035765B">
      <w:r>
        <w:t xml:space="preserve">The age structure of the population varies by neighbourhood.  The proportion of children (0-14 years) is lowest in Hanover and City Centre at 7% and highest in Middlefield at 22%.  The working-age population is highest in Hanover, George Street, City Centre and Old Aberdeen (86%) and lowest in Dyce and Hazlehead (61%). The population aged 65+ years is highest in Dyce (24%) and lowest in Froghall, Powis &amp; Sunnybank, Old Aberdeen, City Centre and George Street (6%). </w:t>
      </w:r>
    </w:p>
    <w:p w14:paraId="1A61430C" w14:textId="77777777" w:rsidR="0035765B" w:rsidRPr="0035765B" w:rsidRDefault="0035765B" w:rsidP="0035765B"/>
    <w:p w14:paraId="065E184C" w14:textId="62421834" w:rsidR="0035765B" w:rsidRDefault="0035765B" w:rsidP="00843CA2">
      <w:pPr>
        <w:spacing w:line="276" w:lineRule="auto"/>
        <w:rPr>
          <w:rFonts w:ascii="Calibri" w:eastAsia="Calibri" w:hAnsi="Calibri" w:cs="Times New Roman"/>
        </w:rPr>
      </w:pPr>
      <w:r>
        <w:rPr>
          <w:noProof/>
        </w:rPr>
        <w:drawing>
          <wp:inline distT="0" distB="0" distL="0" distR="0" wp14:anchorId="1CA78113" wp14:editId="6C8BC7DA">
            <wp:extent cx="5731510" cy="3174797"/>
            <wp:effectExtent l="0" t="0" r="2540" b="6985"/>
            <wp:docPr id="93" name="Chart 93">
              <a:extLst xmlns:a="http://schemas.openxmlformats.org/drawingml/2006/main">
                <a:ext uri="{FF2B5EF4-FFF2-40B4-BE49-F238E27FC236}">
                  <a16:creationId xmlns:a16="http://schemas.microsoft.com/office/drawing/2014/main" id="{E93B3C67-E15A-422C-BEBC-9CCC9DF23A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BE00277" w14:textId="77777777" w:rsidR="0035765B" w:rsidRPr="00A400B5" w:rsidRDefault="0035765B" w:rsidP="0035765B">
      <w:pPr>
        <w:rPr>
          <w:sz w:val="16"/>
          <w:szCs w:val="16"/>
        </w:rPr>
      </w:pPr>
      <w:r w:rsidRPr="00A400B5">
        <w:rPr>
          <w:sz w:val="16"/>
          <w:szCs w:val="16"/>
        </w:rPr>
        <w:t>Source: National Records of Scotland, Small Area Population Estimates, 2016</w:t>
      </w:r>
    </w:p>
    <w:p w14:paraId="005FDD03" w14:textId="77777777" w:rsidR="0035765B" w:rsidRPr="00843CA2" w:rsidRDefault="0035765B" w:rsidP="00843CA2">
      <w:pPr>
        <w:spacing w:line="276" w:lineRule="auto"/>
        <w:rPr>
          <w:rFonts w:ascii="Calibri" w:eastAsia="Calibri" w:hAnsi="Calibri" w:cs="Times New Roman"/>
        </w:rPr>
      </w:pPr>
    </w:p>
    <w:p w14:paraId="606736C3" w14:textId="0B1F6147" w:rsidR="002A56B7" w:rsidRDefault="002A56B7" w:rsidP="0035765B">
      <w:pPr>
        <w:pStyle w:val="Heading2"/>
        <w:numPr>
          <w:ilvl w:val="1"/>
          <w:numId w:val="4"/>
        </w:numPr>
        <w:spacing w:after="160"/>
      </w:pPr>
      <w:bookmarkStart w:id="13" w:name="_Toc519088551"/>
      <w:r>
        <w:t>Ethnic</w:t>
      </w:r>
      <w:r w:rsidR="00F7668B">
        <w:t xml:space="preserve"> composition</w:t>
      </w:r>
      <w:bookmarkEnd w:id="13"/>
    </w:p>
    <w:p w14:paraId="6AB44E2D" w14:textId="5C072CDF" w:rsidR="00E76D40" w:rsidRDefault="00F7668B" w:rsidP="00C6614C">
      <w:r>
        <w:t xml:space="preserve">Compared to Scotland, Aberdeen City has a more diverse ethnic composition.  </w:t>
      </w:r>
      <w:r w:rsidR="00C6614C">
        <w:t xml:space="preserve">At the time of the 2011 Census, 75% of Aberdeen City’s population </w:t>
      </w:r>
      <w:r>
        <w:t>classified themselves</w:t>
      </w:r>
      <w:r w:rsidR="00C6614C">
        <w:t xml:space="preserve"> as White Scottish compared to 84% of the population of Scotland as a whole.  The proportion </w:t>
      </w:r>
      <w:r>
        <w:t xml:space="preserve">of </w:t>
      </w:r>
      <w:r w:rsidR="00C6614C">
        <w:t>White Polish, White Other, Asian, Asian Scottish or Asian British and Other ethnic groups was higher in Aberdeen City than in Scotland as a whole.</w:t>
      </w:r>
    </w:p>
    <w:p w14:paraId="1A513EC1" w14:textId="77777777" w:rsidR="0035765B" w:rsidRDefault="0035765B" w:rsidP="00C6614C"/>
    <w:p w14:paraId="71C9AF05" w14:textId="206BB32A" w:rsidR="00E76D40" w:rsidRDefault="00C6614C" w:rsidP="00C6614C">
      <w:r>
        <w:rPr>
          <w:noProof/>
        </w:rPr>
        <w:drawing>
          <wp:inline distT="0" distB="0" distL="0" distR="0" wp14:anchorId="6BECD4F8" wp14:editId="4D056997">
            <wp:extent cx="4772025" cy="2048256"/>
            <wp:effectExtent l="0" t="0" r="9525" b="9525"/>
            <wp:docPr id="3" name="Chart 3">
              <a:extLst xmlns:a="http://schemas.openxmlformats.org/drawingml/2006/main">
                <a:ext uri="{FF2B5EF4-FFF2-40B4-BE49-F238E27FC236}">
                  <a16:creationId xmlns:a16="http://schemas.microsoft.com/office/drawing/2014/main" id="{8F4CD186-D26D-4461-A113-836823AB34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EC52607" w14:textId="2884ACE9" w:rsidR="00C6614C" w:rsidRPr="0035765B" w:rsidRDefault="00C6614C" w:rsidP="00C6614C">
      <w:pPr>
        <w:rPr>
          <w:sz w:val="16"/>
          <w:szCs w:val="16"/>
        </w:rPr>
      </w:pPr>
      <w:r w:rsidRPr="0035765B">
        <w:rPr>
          <w:sz w:val="16"/>
          <w:szCs w:val="16"/>
        </w:rPr>
        <w:t>Scotland’s Census 2011</w:t>
      </w:r>
    </w:p>
    <w:p w14:paraId="04EA38D8" w14:textId="780BBC5E" w:rsidR="00D33F4D" w:rsidRPr="00E76D40" w:rsidRDefault="00D33F4D" w:rsidP="00833E46">
      <w:r>
        <w:lastRenderedPageBreak/>
        <w:t>More recent figures from National Records of Scotland (year ending June 2017) estimate that 24% of Aberdeen City’s population was born outside the UK</w:t>
      </w:r>
      <w:r w:rsidR="0035765B">
        <w:t xml:space="preserve"> </w:t>
      </w:r>
      <w:r>
        <w:t>compared to</w:t>
      </w:r>
      <w:r w:rsidR="00F7668B">
        <w:t xml:space="preserve"> a figure of</w:t>
      </w:r>
      <w:r>
        <w:t xml:space="preserve"> 9.0% for Scotland.  Of those born outside the UK in Aberdeen, it is estimated that 60% are from EU countries and 40% from non-EU countries.  </w:t>
      </w:r>
    </w:p>
    <w:p w14:paraId="688C77A7" w14:textId="77777777" w:rsidR="002A56B7" w:rsidRDefault="002A56B7" w:rsidP="002A56B7">
      <w:pPr>
        <w:pStyle w:val="Heading2"/>
      </w:pPr>
    </w:p>
    <w:p w14:paraId="3FAA3C15" w14:textId="0B6E9C23" w:rsidR="002A56B7" w:rsidRDefault="002A56B7" w:rsidP="00872523">
      <w:pPr>
        <w:pStyle w:val="Heading2"/>
        <w:numPr>
          <w:ilvl w:val="1"/>
          <w:numId w:val="4"/>
        </w:numPr>
        <w:spacing w:after="120"/>
      </w:pPr>
      <w:bookmarkStart w:id="14" w:name="_Toc519088552"/>
      <w:bookmarkStart w:id="15" w:name="_Hlk516754065"/>
      <w:r>
        <w:t xml:space="preserve">Population </w:t>
      </w:r>
      <w:r w:rsidR="003471B4">
        <w:t>change</w:t>
      </w:r>
      <w:bookmarkEnd w:id="14"/>
    </w:p>
    <w:p w14:paraId="6AFD26B1" w14:textId="06043122" w:rsidR="003024CB" w:rsidRDefault="00C46447" w:rsidP="00F479D6">
      <w:r>
        <w:t xml:space="preserve">Aberdeen’s population fell slightly in both 2016 and 2017.  </w:t>
      </w:r>
      <w:r w:rsidR="00F479D6" w:rsidRPr="00843CA2">
        <w:t>The small decreases seen in both 2016 (-0.2%) and 2017 (-0.5%) follow a</w:t>
      </w:r>
      <w:r w:rsidR="00F479D6">
        <w:t>n</w:t>
      </w:r>
      <w:r w:rsidR="00F479D6" w:rsidRPr="00843CA2">
        <w:t xml:space="preserve"> 11-year period of year-on-year population increases</w:t>
      </w:r>
      <w:r w:rsidR="00110693">
        <w:t>.  Since 1997, the population has increased by 5.3%</w:t>
      </w:r>
      <w:r w:rsidR="0019539C">
        <w:t xml:space="preserve"> (11,500 people)</w:t>
      </w:r>
      <w:r w:rsidR="00110693">
        <w:t>.</w:t>
      </w:r>
      <w:r w:rsidR="00A073AC">
        <w:t xml:space="preserve">  In Scotland the population increased by 0.4% between 2016 and 2017.</w:t>
      </w:r>
    </w:p>
    <w:p w14:paraId="6A20D636" w14:textId="77777777" w:rsidR="003024CB" w:rsidRDefault="003024CB" w:rsidP="00F479D6"/>
    <w:p w14:paraId="3AAB0C56" w14:textId="53DCE543" w:rsidR="00F479D6" w:rsidRDefault="00110693" w:rsidP="00F479D6">
      <w:r>
        <w:t xml:space="preserve"> </w:t>
      </w:r>
      <w:bookmarkEnd w:id="15"/>
      <w:r w:rsidR="00F479D6">
        <w:rPr>
          <w:noProof/>
        </w:rPr>
        <w:drawing>
          <wp:inline distT="0" distB="0" distL="0" distR="0" wp14:anchorId="115A72A3" wp14:editId="1E645C02">
            <wp:extent cx="5164455" cy="2062886"/>
            <wp:effectExtent l="0" t="0" r="17145" b="13970"/>
            <wp:docPr id="1" name="Chart 1">
              <a:extLst xmlns:a="http://schemas.openxmlformats.org/drawingml/2006/main">
                <a:ext uri="{FF2B5EF4-FFF2-40B4-BE49-F238E27FC236}">
                  <a16:creationId xmlns:a16="http://schemas.microsoft.com/office/drawing/2014/main" id="{EF11D1EB-F834-4C79-94F0-7F992C1E11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F0503A7" w14:textId="65F87A56" w:rsidR="00F479D6" w:rsidRDefault="00F479D6" w:rsidP="005577D3">
      <w:pPr>
        <w:rPr>
          <w:rStyle w:val="Hyperlink"/>
          <w:sz w:val="16"/>
          <w:szCs w:val="16"/>
        </w:rPr>
      </w:pPr>
      <w:r w:rsidRPr="00843CA2">
        <w:rPr>
          <w:sz w:val="16"/>
          <w:szCs w:val="16"/>
        </w:rPr>
        <w:t>Source: National Records of Scotland, Population Estimates Time Series Data</w:t>
      </w:r>
    </w:p>
    <w:p w14:paraId="346DB817" w14:textId="703C24CB" w:rsidR="003471B4" w:rsidRDefault="003471B4" w:rsidP="00F479D6">
      <w:pPr>
        <w:rPr>
          <w:sz w:val="16"/>
          <w:szCs w:val="16"/>
        </w:rPr>
      </w:pPr>
    </w:p>
    <w:p w14:paraId="31D8BBB0" w14:textId="76A649F2" w:rsidR="00872523" w:rsidRDefault="00872523" w:rsidP="00872523">
      <w:pPr>
        <w:pStyle w:val="Heading2"/>
        <w:numPr>
          <w:ilvl w:val="2"/>
          <w:numId w:val="4"/>
        </w:numPr>
        <w:spacing w:after="240"/>
      </w:pPr>
      <w:bookmarkStart w:id="16" w:name="_Toc519088553"/>
      <w:bookmarkStart w:id="17" w:name="_Hlk516754350"/>
      <w:r>
        <w:t>Population change by age group</w:t>
      </w:r>
      <w:bookmarkEnd w:id="16"/>
    </w:p>
    <w:p w14:paraId="4E5C62CD" w14:textId="162202F9" w:rsidR="003471B4" w:rsidRDefault="005577D3" w:rsidP="00F479D6">
      <w:r>
        <w:t>Population change has not been consistent across all age groups</w:t>
      </w:r>
      <w:r w:rsidR="00C22F2A">
        <w:t xml:space="preserve">.  The largest </w:t>
      </w:r>
      <w:r w:rsidR="0019539C">
        <w:t xml:space="preserve">percentage </w:t>
      </w:r>
      <w:r w:rsidR="00C22F2A">
        <w:t xml:space="preserve">increases in population </w:t>
      </w:r>
      <w:r w:rsidR="00833E46">
        <w:t>between 1997 and 2017 were in the 45-64 year age group (17%) and the 75+ years age group (16%)</w:t>
      </w:r>
      <w:r w:rsidR="009644AE">
        <w:t xml:space="preserve"> – although in both cases the rate of increase was lower in Aberdeen than in Scotland</w:t>
      </w:r>
      <w:r w:rsidR="00833E46">
        <w:t xml:space="preserve">.  </w:t>
      </w:r>
      <w:r w:rsidR="00673458">
        <w:t>In contrast, t</w:t>
      </w:r>
      <w:r w:rsidR="00833E46">
        <w:t xml:space="preserve">he number of people in the 16-24 year age group and the 0-15 year age group decreased over the period (-10% and -8% respectively). </w:t>
      </w:r>
      <w:r>
        <w:t xml:space="preserve"> </w:t>
      </w:r>
    </w:p>
    <w:bookmarkEnd w:id="17"/>
    <w:p w14:paraId="678214A0" w14:textId="77777777" w:rsidR="0035765B" w:rsidRDefault="0035765B" w:rsidP="00F479D6"/>
    <w:p w14:paraId="4B3F41F1" w14:textId="359506B9" w:rsidR="003471B4" w:rsidRDefault="003471B4" w:rsidP="00833E46">
      <w:r>
        <w:rPr>
          <w:noProof/>
        </w:rPr>
        <w:drawing>
          <wp:inline distT="0" distB="0" distL="0" distR="0" wp14:anchorId="21AE2CFE" wp14:editId="6880CEC1">
            <wp:extent cx="5410200" cy="2613546"/>
            <wp:effectExtent l="0" t="0" r="0" b="15875"/>
            <wp:docPr id="6" name="Chart 6">
              <a:extLst xmlns:a="http://schemas.openxmlformats.org/drawingml/2006/main">
                <a:ext uri="{FF2B5EF4-FFF2-40B4-BE49-F238E27FC236}">
                  <a16:creationId xmlns:a16="http://schemas.microsoft.com/office/drawing/2014/main" id="{0088FAE6-3EB6-4644-A091-F69AA4EF88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B3C6547" w14:textId="503F2080" w:rsidR="00833E46" w:rsidRDefault="00833E46" w:rsidP="00833E46">
      <w:pPr>
        <w:rPr>
          <w:sz w:val="16"/>
          <w:szCs w:val="16"/>
        </w:rPr>
      </w:pPr>
      <w:r w:rsidRPr="00833E46">
        <w:rPr>
          <w:sz w:val="16"/>
          <w:szCs w:val="16"/>
        </w:rPr>
        <w:t>Source: National Records of Scotland, Population Estimates Time Series Data</w:t>
      </w:r>
    </w:p>
    <w:p w14:paraId="20CEA4E5" w14:textId="79E7D5D7" w:rsidR="000172EC" w:rsidRDefault="000172EC" w:rsidP="00833E46">
      <w:pPr>
        <w:rPr>
          <w:sz w:val="16"/>
          <w:szCs w:val="16"/>
          <w:u w:val="single"/>
        </w:rPr>
      </w:pPr>
    </w:p>
    <w:p w14:paraId="42BFC3F5" w14:textId="747A277B" w:rsidR="00B36569" w:rsidRDefault="00B36569" w:rsidP="00833E46">
      <w:pPr>
        <w:rPr>
          <w:sz w:val="16"/>
          <w:szCs w:val="16"/>
          <w:u w:val="single"/>
        </w:rPr>
      </w:pPr>
      <w:r>
        <w:rPr>
          <w:noProof/>
        </w:rPr>
        <w:drawing>
          <wp:inline distT="0" distB="0" distL="0" distR="0" wp14:anchorId="72992132" wp14:editId="779B6064">
            <wp:extent cx="4572000" cy="2743200"/>
            <wp:effectExtent l="0" t="0" r="0" b="0"/>
            <wp:docPr id="99" name="Chart 99">
              <a:extLst xmlns:a="http://schemas.openxmlformats.org/drawingml/2006/main">
                <a:ext uri="{FF2B5EF4-FFF2-40B4-BE49-F238E27FC236}">
                  <a16:creationId xmlns:a16="http://schemas.microsoft.com/office/drawing/2014/main" id="{8B355E9B-6D99-48FB-BA49-A023614C96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1112A70" w14:textId="77777777" w:rsidR="00B36569" w:rsidRPr="00B36569" w:rsidRDefault="00B36569" w:rsidP="00B36569">
      <w:pPr>
        <w:rPr>
          <w:sz w:val="16"/>
          <w:szCs w:val="16"/>
        </w:rPr>
      </w:pPr>
      <w:r w:rsidRPr="00B36569">
        <w:rPr>
          <w:sz w:val="16"/>
          <w:szCs w:val="16"/>
        </w:rPr>
        <w:t>Source: National Records of Scotland, Population Estimates Time Series Data</w:t>
      </w:r>
    </w:p>
    <w:p w14:paraId="0D498270" w14:textId="77777777" w:rsidR="00B36569" w:rsidRDefault="00B36569" w:rsidP="00833E46">
      <w:pPr>
        <w:rPr>
          <w:sz w:val="16"/>
          <w:szCs w:val="16"/>
          <w:u w:val="single"/>
        </w:rPr>
      </w:pPr>
    </w:p>
    <w:p w14:paraId="573DE8FD" w14:textId="77777777" w:rsidR="000172EC" w:rsidRPr="00833E46" w:rsidRDefault="000172EC" w:rsidP="00833E46">
      <w:pPr>
        <w:rPr>
          <w:sz w:val="16"/>
          <w:szCs w:val="16"/>
          <w:u w:val="single"/>
        </w:rPr>
      </w:pPr>
    </w:p>
    <w:p w14:paraId="0845F1DD" w14:textId="3D63690F" w:rsidR="00C46447" w:rsidRDefault="00C46447" w:rsidP="00E87CC7">
      <w:pPr>
        <w:pStyle w:val="Heading2"/>
        <w:numPr>
          <w:ilvl w:val="1"/>
          <w:numId w:val="4"/>
        </w:numPr>
        <w:spacing w:after="120"/>
      </w:pPr>
      <w:bookmarkStart w:id="18" w:name="_Toc519088554"/>
      <w:r>
        <w:t>Components of population change</w:t>
      </w:r>
      <w:bookmarkEnd w:id="18"/>
      <w:r>
        <w:t xml:space="preserve"> </w:t>
      </w:r>
    </w:p>
    <w:p w14:paraId="7F210ADF" w14:textId="5C5938A4" w:rsidR="00E87CC7" w:rsidRDefault="00E87CC7" w:rsidP="00E87CC7">
      <w:r>
        <w:t xml:space="preserve">Population change is calculated from two main components; (1) natural change (births minus deaths) and (2) net migration (the sum of migration to/from Scotland and internal migration).  It also includes other changes (e.g. changes in prisoner and armed forces population) although these tend to make up a smaller proportion of changes.  In Aberdeen City, while there was a positive natural change between mid-2016 and mid-2017 (354), there was negative net migration (-1,416) over the period.  In contrast, in Scotland there was negative natural change and positive net migration. </w:t>
      </w:r>
    </w:p>
    <w:p w14:paraId="2A9A313F" w14:textId="77777777" w:rsidR="00E87CC7" w:rsidRDefault="00E87CC7" w:rsidP="00E87CC7"/>
    <w:p w14:paraId="31AB1B9A" w14:textId="57CFB307" w:rsidR="00E87CC7" w:rsidRPr="00945F43" w:rsidRDefault="00E87CC7" w:rsidP="00E87CC7">
      <w:pPr>
        <w:rPr>
          <w:b/>
        </w:rPr>
      </w:pPr>
      <w:r>
        <w:rPr>
          <w:b/>
        </w:rPr>
        <w:t>C</w:t>
      </w:r>
      <w:r w:rsidRPr="00945F43">
        <w:rPr>
          <w:b/>
        </w:rPr>
        <w:t>omponents of population change</w:t>
      </w:r>
      <w:r>
        <w:rPr>
          <w:b/>
        </w:rPr>
        <w:t>, Aberdeen City and Scotland, mid-2016 to mid-2017</w:t>
      </w:r>
    </w:p>
    <w:tbl>
      <w:tblPr>
        <w:tblStyle w:val="TableGrid"/>
        <w:tblW w:w="8745" w:type="dxa"/>
        <w:tblInd w:w="704" w:type="dxa"/>
        <w:tblLayout w:type="fixed"/>
        <w:tblLook w:val="0000" w:firstRow="0" w:lastRow="0" w:firstColumn="0" w:lastColumn="0" w:noHBand="0" w:noVBand="0"/>
      </w:tblPr>
      <w:tblGrid>
        <w:gridCol w:w="1112"/>
        <w:gridCol w:w="1191"/>
        <w:gridCol w:w="1020"/>
        <w:gridCol w:w="1113"/>
        <w:gridCol w:w="964"/>
        <w:gridCol w:w="1134"/>
        <w:gridCol w:w="1020"/>
        <w:gridCol w:w="1191"/>
      </w:tblGrid>
      <w:tr w:rsidR="00E87CC7" w:rsidRPr="006969E0" w14:paraId="354FB19C" w14:textId="77777777" w:rsidTr="00E87CC7">
        <w:trPr>
          <w:trHeight w:val="227"/>
        </w:trPr>
        <w:tc>
          <w:tcPr>
            <w:tcW w:w="1112" w:type="dxa"/>
            <w:shd w:val="clear" w:color="auto" w:fill="D9E2F3" w:themeFill="accent1" w:themeFillTint="33"/>
          </w:tcPr>
          <w:p w14:paraId="0C4EAFE6" w14:textId="77777777" w:rsidR="00E87CC7" w:rsidRPr="006969E0" w:rsidRDefault="00E87CC7" w:rsidP="00E87CC7">
            <w:pPr>
              <w:ind w:left="0"/>
              <w:rPr>
                <w:rFonts w:eastAsia="Times New Roman" w:cstheme="minorHAnsi"/>
                <w:b/>
                <w:sz w:val="20"/>
                <w:szCs w:val="20"/>
              </w:rPr>
            </w:pPr>
          </w:p>
        </w:tc>
        <w:tc>
          <w:tcPr>
            <w:tcW w:w="1191" w:type="dxa"/>
            <w:shd w:val="clear" w:color="auto" w:fill="D9E2F3" w:themeFill="accent1" w:themeFillTint="33"/>
            <w:vAlign w:val="center"/>
          </w:tcPr>
          <w:p w14:paraId="41BED2F0" w14:textId="77777777" w:rsidR="00E87CC7" w:rsidRPr="006969E0" w:rsidRDefault="00E87CC7" w:rsidP="00E87CC7">
            <w:pPr>
              <w:ind w:left="0"/>
              <w:jc w:val="center"/>
              <w:rPr>
                <w:rFonts w:eastAsia="Times New Roman" w:cstheme="minorHAnsi"/>
                <w:b/>
                <w:sz w:val="20"/>
                <w:szCs w:val="20"/>
              </w:rPr>
            </w:pPr>
            <w:r w:rsidRPr="006969E0">
              <w:rPr>
                <w:rFonts w:eastAsia="Times New Roman" w:cstheme="minorHAnsi"/>
                <w:b/>
                <w:sz w:val="20"/>
                <w:szCs w:val="20"/>
              </w:rPr>
              <w:t>Population 201</w:t>
            </w:r>
            <w:r>
              <w:rPr>
                <w:rFonts w:eastAsia="Times New Roman" w:cstheme="minorHAnsi"/>
                <w:b/>
                <w:sz w:val="20"/>
                <w:szCs w:val="20"/>
              </w:rPr>
              <w:t>6</w:t>
            </w:r>
          </w:p>
        </w:tc>
        <w:tc>
          <w:tcPr>
            <w:tcW w:w="1020" w:type="dxa"/>
            <w:shd w:val="clear" w:color="auto" w:fill="D9E2F3" w:themeFill="accent1" w:themeFillTint="33"/>
            <w:vAlign w:val="center"/>
          </w:tcPr>
          <w:p w14:paraId="50AF067F" w14:textId="77777777" w:rsidR="00E87CC7" w:rsidRPr="006969E0" w:rsidRDefault="00E87CC7" w:rsidP="00E87CC7">
            <w:pPr>
              <w:ind w:left="0"/>
              <w:jc w:val="center"/>
              <w:rPr>
                <w:b/>
                <w:sz w:val="20"/>
                <w:szCs w:val="20"/>
              </w:rPr>
            </w:pPr>
            <w:r w:rsidRPr="006969E0">
              <w:rPr>
                <w:b/>
                <w:sz w:val="20"/>
                <w:szCs w:val="20"/>
              </w:rPr>
              <w:t>Natural change</w:t>
            </w:r>
          </w:p>
        </w:tc>
        <w:tc>
          <w:tcPr>
            <w:tcW w:w="1113" w:type="dxa"/>
            <w:shd w:val="clear" w:color="auto" w:fill="D9E2F3" w:themeFill="accent1" w:themeFillTint="33"/>
            <w:vAlign w:val="center"/>
          </w:tcPr>
          <w:p w14:paraId="659910A6" w14:textId="77777777" w:rsidR="00E87CC7" w:rsidRPr="006969E0" w:rsidRDefault="00E87CC7" w:rsidP="00E87CC7">
            <w:pPr>
              <w:ind w:left="0"/>
              <w:jc w:val="center"/>
              <w:rPr>
                <w:b/>
                <w:sz w:val="20"/>
                <w:szCs w:val="20"/>
              </w:rPr>
            </w:pPr>
            <w:r w:rsidRPr="006969E0">
              <w:rPr>
                <w:b/>
                <w:sz w:val="20"/>
                <w:szCs w:val="20"/>
              </w:rPr>
              <w:t>Net migration</w:t>
            </w:r>
          </w:p>
        </w:tc>
        <w:tc>
          <w:tcPr>
            <w:tcW w:w="964" w:type="dxa"/>
            <w:shd w:val="clear" w:color="auto" w:fill="D9E2F3" w:themeFill="accent1" w:themeFillTint="33"/>
            <w:vAlign w:val="center"/>
          </w:tcPr>
          <w:p w14:paraId="3C209A54" w14:textId="77777777" w:rsidR="00E87CC7" w:rsidRPr="006969E0" w:rsidRDefault="00E87CC7" w:rsidP="00E87CC7">
            <w:pPr>
              <w:ind w:left="0"/>
              <w:jc w:val="center"/>
              <w:rPr>
                <w:rFonts w:eastAsia="Times New Roman" w:cstheme="minorHAnsi"/>
                <w:b/>
                <w:sz w:val="20"/>
                <w:szCs w:val="20"/>
              </w:rPr>
            </w:pPr>
            <w:r w:rsidRPr="006969E0">
              <w:rPr>
                <w:rFonts w:eastAsia="Times New Roman" w:cstheme="minorHAnsi"/>
                <w:b/>
                <w:sz w:val="20"/>
                <w:szCs w:val="20"/>
              </w:rPr>
              <w:t>Other changes</w:t>
            </w:r>
          </w:p>
        </w:tc>
        <w:tc>
          <w:tcPr>
            <w:tcW w:w="1134" w:type="dxa"/>
            <w:shd w:val="clear" w:color="auto" w:fill="D9E2F3" w:themeFill="accent1" w:themeFillTint="33"/>
            <w:vAlign w:val="center"/>
          </w:tcPr>
          <w:p w14:paraId="49CD632E" w14:textId="77777777" w:rsidR="00E87CC7" w:rsidRPr="006969E0" w:rsidRDefault="00E87CC7" w:rsidP="00E87CC7">
            <w:pPr>
              <w:ind w:left="0"/>
              <w:jc w:val="center"/>
              <w:rPr>
                <w:rFonts w:eastAsia="Times New Roman" w:cstheme="minorHAnsi"/>
                <w:b/>
                <w:sz w:val="20"/>
                <w:szCs w:val="20"/>
              </w:rPr>
            </w:pPr>
            <w:r>
              <w:rPr>
                <w:rFonts w:eastAsia="Times New Roman" w:cstheme="minorHAnsi"/>
                <w:b/>
                <w:sz w:val="20"/>
                <w:szCs w:val="20"/>
              </w:rPr>
              <w:t>Population 2017</w:t>
            </w:r>
          </w:p>
        </w:tc>
        <w:tc>
          <w:tcPr>
            <w:tcW w:w="1020" w:type="dxa"/>
            <w:shd w:val="clear" w:color="auto" w:fill="D9E2F3" w:themeFill="accent1" w:themeFillTint="33"/>
          </w:tcPr>
          <w:p w14:paraId="6762AD4E" w14:textId="77777777" w:rsidR="00E87CC7" w:rsidRPr="006969E0" w:rsidRDefault="00E87CC7" w:rsidP="00E87CC7">
            <w:pPr>
              <w:ind w:left="0"/>
              <w:jc w:val="center"/>
              <w:rPr>
                <w:rFonts w:eastAsia="Times New Roman" w:cstheme="minorHAnsi"/>
                <w:b/>
                <w:sz w:val="20"/>
                <w:szCs w:val="20"/>
              </w:rPr>
            </w:pPr>
            <w:r w:rsidRPr="006969E0">
              <w:rPr>
                <w:rFonts w:eastAsia="Times New Roman" w:cstheme="minorHAnsi"/>
                <w:b/>
                <w:sz w:val="20"/>
                <w:szCs w:val="20"/>
              </w:rPr>
              <w:t>Total change</w:t>
            </w:r>
          </w:p>
        </w:tc>
        <w:tc>
          <w:tcPr>
            <w:tcW w:w="1191" w:type="dxa"/>
            <w:shd w:val="clear" w:color="auto" w:fill="D9E2F3" w:themeFill="accent1" w:themeFillTint="33"/>
            <w:vAlign w:val="center"/>
          </w:tcPr>
          <w:p w14:paraId="4F9F821F" w14:textId="77777777" w:rsidR="00E87CC7" w:rsidRPr="006969E0" w:rsidRDefault="00E87CC7" w:rsidP="00E87CC7">
            <w:pPr>
              <w:ind w:left="0"/>
              <w:jc w:val="center"/>
              <w:rPr>
                <w:rFonts w:eastAsia="Times New Roman" w:cstheme="minorHAnsi"/>
                <w:b/>
                <w:sz w:val="20"/>
                <w:szCs w:val="20"/>
              </w:rPr>
            </w:pPr>
            <w:r w:rsidRPr="006969E0">
              <w:rPr>
                <w:rFonts w:eastAsia="Times New Roman" w:cstheme="minorHAnsi"/>
                <w:b/>
                <w:sz w:val="20"/>
                <w:szCs w:val="20"/>
              </w:rPr>
              <w:t>Percentage change</w:t>
            </w:r>
          </w:p>
        </w:tc>
      </w:tr>
      <w:tr w:rsidR="00E87CC7" w:rsidRPr="006969E0" w14:paraId="1BB546D5" w14:textId="77777777" w:rsidTr="00E87CC7">
        <w:trPr>
          <w:trHeight w:val="227"/>
        </w:trPr>
        <w:tc>
          <w:tcPr>
            <w:tcW w:w="1112" w:type="dxa"/>
            <w:shd w:val="clear" w:color="auto" w:fill="D9E2F3" w:themeFill="accent1" w:themeFillTint="33"/>
          </w:tcPr>
          <w:p w14:paraId="4D5D790D" w14:textId="77777777" w:rsidR="00E87CC7" w:rsidRPr="006969E0" w:rsidRDefault="00E87CC7" w:rsidP="00E87CC7">
            <w:pPr>
              <w:ind w:left="0"/>
              <w:rPr>
                <w:rFonts w:eastAsia="Times New Roman" w:cstheme="minorHAnsi"/>
                <w:b/>
                <w:sz w:val="20"/>
                <w:szCs w:val="20"/>
              </w:rPr>
            </w:pPr>
          </w:p>
        </w:tc>
        <w:tc>
          <w:tcPr>
            <w:tcW w:w="1191" w:type="dxa"/>
            <w:tcBorders>
              <w:bottom w:val="single" w:sz="4" w:space="0" w:color="auto"/>
            </w:tcBorders>
            <w:shd w:val="clear" w:color="auto" w:fill="D9E2F3" w:themeFill="accent1" w:themeFillTint="33"/>
            <w:vAlign w:val="center"/>
          </w:tcPr>
          <w:p w14:paraId="15F9B739" w14:textId="77777777" w:rsidR="00E87CC7" w:rsidRPr="006969E0" w:rsidRDefault="00E87CC7" w:rsidP="00E87CC7">
            <w:pPr>
              <w:ind w:left="0"/>
              <w:jc w:val="center"/>
              <w:rPr>
                <w:rFonts w:eastAsia="Times New Roman" w:cstheme="minorHAnsi"/>
                <w:b/>
                <w:sz w:val="20"/>
                <w:szCs w:val="20"/>
              </w:rPr>
            </w:pPr>
            <w:r w:rsidRPr="006969E0">
              <w:rPr>
                <w:rFonts w:eastAsia="Times New Roman" w:cstheme="minorHAnsi"/>
                <w:b/>
                <w:sz w:val="20"/>
                <w:szCs w:val="20"/>
              </w:rPr>
              <w:t>n</w:t>
            </w:r>
          </w:p>
        </w:tc>
        <w:tc>
          <w:tcPr>
            <w:tcW w:w="1020" w:type="dxa"/>
            <w:tcBorders>
              <w:bottom w:val="single" w:sz="4" w:space="0" w:color="auto"/>
            </w:tcBorders>
            <w:shd w:val="clear" w:color="auto" w:fill="D9E2F3" w:themeFill="accent1" w:themeFillTint="33"/>
            <w:vAlign w:val="center"/>
          </w:tcPr>
          <w:p w14:paraId="27F6D4D5" w14:textId="77777777" w:rsidR="00E87CC7" w:rsidRPr="006969E0" w:rsidRDefault="00E87CC7" w:rsidP="00E87CC7">
            <w:pPr>
              <w:ind w:left="0"/>
              <w:jc w:val="center"/>
              <w:rPr>
                <w:b/>
                <w:sz w:val="20"/>
                <w:szCs w:val="20"/>
              </w:rPr>
            </w:pPr>
            <w:r w:rsidRPr="006969E0">
              <w:rPr>
                <w:b/>
                <w:sz w:val="20"/>
                <w:szCs w:val="20"/>
              </w:rPr>
              <w:t>n</w:t>
            </w:r>
          </w:p>
        </w:tc>
        <w:tc>
          <w:tcPr>
            <w:tcW w:w="1113" w:type="dxa"/>
            <w:tcBorders>
              <w:bottom w:val="single" w:sz="4" w:space="0" w:color="auto"/>
            </w:tcBorders>
            <w:shd w:val="clear" w:color="auto" w:fill="D9E2F3" w:themeFill="accent1" w:themeFillTint="33"/>
            <w:vAlign w:val="center"/>
          </w:tcPr>
          <w:p w14:paraId="434FC206" w14:textId="77777777" w:rsidR="00E87CC7" w:rsidRPr="006969E0" w:rsidRDefault="00E87CC7" w:rsidP="00E87CC7">
            <w:pPr>
              <w:ind w:left="0"/>
              <w:jc w:val="center"/>
              <w:rPr>
                <w:b/>
                <w:sz w:val="20"/>
                <w:szCs w:val="20"/>
              </w:rPr>
            </w:pPr>
            <w:r w:rsidRPr="006969E0">
              <w:rPr>
                <w:b/>
                <w:sz w:val="20"/>
                <w:szCs w:val="20"/>
              </w:rPr>
              <w:t>n</w:t>
            </w:r>
          </w:p>
        </w:tc>
        <w:tc>
          <w:tcPr>
            <w:tcW w:w="964" w:type="dxa"/>
            <w:tcBorders>
              <w:bottom w:val="single" w:sz="4" w:space="0" w:color="auto"/>
            </w:tcBorders>
            <w:shd w:val="clear" w:color="auto" w:fill="D9E2F3" w:themeFill="accent1" w:themeFillTint="33"/>
            <w:vAlign w:val="center"/>
          </w:tcPr>
          <w:p w14:paraId="65D3476E" w14:textId="77777777" w:rsidR="00E87CC7" w:rsidRPr="006969E0" w:rsidRDefault="00E87CC7" w:rsidP="00E87CC7">
            <w:pPr>
              <w:ind w:left="0"/>
              <w:jc w:val="center"/>
              <w:rPr>
                <w:sz w:val="20"/>
                <w:szCs w:val="20"/>
              </w:rPr>
            </w:pPr>
            <w:r w:rsidRPr="006969E0">
              <w:rPr>
                <w:rFonts w:eastAsia="Times New Roman" w:cstheme="minorHAnsi"/>
                <w:b/>
                <w:sz w:val="20"/>
                <w:szCs w:val="20"/>
              </w:rPr>
              <w:t xml:space="preserve">n </w:t>
            </w:r>
          </w:p>
        </w:tc>
        <w:tc>
          <w:tcPr>
            <w:tcW w:w="1134" w:type="dxa"/>
            <w:tcBorders>
              <w:bottom w:val="single" w:sz="4" w:space="0" w:color="auto"/>
            </w:tcBorders>
            <w:shd w:val="clear" w:color="auto" w:fill="D9E2F3" w:themeFill="accent1" w:themeFillTint="33"/>
            <w:vAlign w:val="center"/>
          </w:tcPr>
          <w:p w14:paraId="75682C56" w14:textId="77777777" w:rsidR="00E87CC7" w:rsidRPr="006969E0" w:rsidRDefault="00E87CC7" w:rsidP="00E87CC7">
            <w:pPr>
              <w:ind w:left="0"/>
              <w:jc w:val="center"/>
              <w:rPr>
                <w:sz w:val="20"/>
                <w:szCs w:val="20"/>
              </w:rPr>
            </w:pPr>
            <w:r w:rsidRPr="006969E0">
              <w:rPr>
                <w:rFonts w:eastAsia="Times New Roman" w:cstheme="minorHAnsi"/>
                <w:b/>
                <w:sz w:val="20"/>
                <w:szCs w:val="20"/>
              </w:rPr>
              <w:t xml:space="preserve">n </w:t>
            </w:r>
          </w:p>
        </w:tc>
        <w:tc>
          <w:tcPr>
            <w:tcW w:w="1020" w:type="dxa"/>
            <w:tcBorders>
              <w:bottom w:val="single" w:sz="4" w:space="0" w:color="auto"/>
            </w:tcBorders>
            <w:shd w:val="clear" w:color="auto" w:fill="D9E2F3" w:themeFill="accent1" w:themeFillTint="33"/>
          </w:tcPr>
          <w:p w14:paraId="3879D63B" w14:textId="77777777" w:rsidR="00E87CC7" w:rsidRPr="006969E0" w:rsidRDefault="00E87CC7" w:rsidP="00E87CC7">
            <w:pPr>
              <w:ind w:left="0"/>
              <w:jc w:val="center"/>
              <w:rPr>
                <w:rFonts w:eastAsia="Times New Roman" w:cstheme="minorHAnsi"/>
                <w:b/>
                <w:sz w:val="20"/>
                <w:szCs w:val="20"/>
              </w:rPr>
            </w:pPr>
            <w:r>
              <w:rPr>
                <w:rFonts w:eastAsia="Times New Roman" w:cstheme="minorHAnsi"/>
                <w:b/>
                <w:sz w:val="20"/>
                <w:szCs w:val="20"/>
              </w:rPr>
              <w:t>n</w:t>
            </w:r>
          </w:p>
        </w:tc>
        <w:tc>
          <w:tcPr>
            <w:tcW w:w="1191" w:type="dxa"/>
            <w:tcBorders>
              <w:bottom w:val="single" w:sz="4" w:space="0" w:color="auto"/>
            </w:tcBorders>
            <w:shd w:val="clear" w:color="auto" w:fill="D9E2F3" w:themeFill="accent1" w:themeFillTint="33"/>
            <w:vAlign w:val="center"/>
          </w:tcPr>
          <w:p w14:paraId="351C59FE" w14:textId="77777777" w:rsidR="00E87CC7" w:rsidRPr="006969E0" w:rsidRDefault="00E87CC7" w:rsidP="00E87CC7">
            <w:pPr>
              <w:ind w:left="0"/>
              <w:jc w:val="center"/>
              <w:rPr>
                <w:rFonts w:eastAsia="Times New Roman" w:cstheme="minorHAnsi"/>
                <w:b/>
                <w:sz w:val="20"/>
                <w:szCs w:val="20"/>
              </w:rPr>
            </w:pPr>
            <w:r w:rsidRPr="006969E0">
              <w:rPr>
                <w:rFonts w:eastAsia="Times New Roman" w:cstheme="minorHAnsi"/>
                <w:b/>
                <w:sz w:val="20"/>
                <w:szCs w:val="20"/>
              </w:rPr>
              <w:t>%</w:t>
            </w:r>
          </w:p>
        </w:tc>
      </w:tr>
      <w:tr w:rsidR="00E87CC7" w:rsidRPr="006969E0" w14:paraId="25B63B83" w14:textId="77777777" w:rsidTr="00E87CC7">
        <w:trPr>
          <w:trHeight w:val="454"/>
        </w:trPr>
        <w:tc>
          <w:tcPr>
            <w:tcW w:w="1112" w:type="dxa"/>
            <w:vAlign w:val="center"/>
          </w:tcPr>
          <w:p w14:paraId="146B1FE4" w14:textId="77777777" w:rsidR="00E87CC7" w:rsidRPr="0076042B" w:rsidRDefault="00E87CC7" w:rsidP="00E87CC7">
            <w:pPr>
              <w:ind w:left="0"/>
              <w:rPr>
                <w:rFonts w:eastAsia="Times New Roman" w:cstheme="minorHAnsi"/>
                <w:b/>
                <w:sz w:val="20"/>
                <w:szCs w:val="20"/>
              </w:rPr>
            </w:pPr>
            <w:r w:rsidRPr="0076042B">
              <w:rPr>
                <w:rFonts w:eastAsia="Times New Roman" w:cstheme="minorHAnsi"/>
                <w:b/>
                <w:sz w:val="20"/>
                <w:szCs w:val="20"/>
              </w:rPr>
              <w:t>Aberdeen City</w:t>
            </w:r>
          </w:p>
        </w:tc>
        <w:tc>
          <w:tcPr>
            <w:tcW w:w="1191" w:type="dxa"/>
            <w:tcBorders>
              <w:top w:val="single" w:sz="4" w:space="0" w:color="auto"/>
              <w:left w:val="nil"/>
              <w:bottom w:val="single" w:sz="4" w:space="0" w:color="auto"/>
              <w:right w:val="single" w:sz="4" w:space="0" w:color="auto"/>
            </w:tcBorders>
            <w:shd w:val="clear" w:color="000000" w:fill="FFFFFF"/>
            <w:vAlign w:val="center"/>
          </w:tcPr>
          <w:p w14:paraId="6CB31E61" w14:textId="77777777" w:rsidR="00E87CC7" w:rsidRPr="00DD165E" w:rsidRDefault="00E87CC7" w:rsidP="00E87CC7">
            <w:pPr>
              <w:ind w:left="0"/>
              <w:jc w:val="center"/>
              <w:rPr>
                <w:rFonts w:cs="Arial"/>
                <w:sz w:val="20"/>
                <w:szCs w:val="20"/>
              </w:rPr>
            </w:pPr>
            <w:r w:rsidRPr="00DD165E">
              <w:rPr>
                <w:rFonts w:cs="Arial"/>
                <w:sz w:val="20"/>
                <w:szCs w:val="20"/>
              </w:rPr>
              <w:t>229,840</w:t>
            </w:r>
          </w:p>
        </w:tc>
        <w:tc>
          <w:tcPr>
            <w:tcW w:w="1020" w:type="dxa"/>
            <w:tcBorders>
              <w:top w:val="single" w:sz="4" w:space="0" w:color="auto"/>
              <w:left w:val="single" w:sz="4" w:space="0" w:color="auto"/>
              <w:bottom w:val="single" w:sz="4" w:space="0" w:color="auto"/>
              <w:right w:val="single" w:sz="4" w:space="0" w:color="auto"/>
            </w:tcBorders>
            <w:shd w:val="clear" w:color="000000" w:fill="FFFFFF"/>
            <w:vAlign w:val="center"/>
          </w:tcPr>
          <w:p w14:paraId="2EA1640E" w14:textId="77777777" w:rsidR="00E87CC7" w:rsidRPr="00DD165E" w:rsidRDefault="00E87CC7" w:rsidP="00E87CC7">
            <w:pPr>
              <w:ind w:left="0"/>
              <w:jc w:val="center"/>
              <w:rPr>
                <w:rFonts w:cs="Arial"/>
                <w:sz w:val="20"/>
                <w:szCs w:val="20"/>
              </w:rPr>
            </w:pPr>
            <w:r w:rsidRPr="00DD165E">
              <w:rPr>
                <w:rFonts w:cs="Arial"/>
                <w:sz w:val="20"/>
                <w:szCs w:val="20"/>
              </w:rPr>
              <w:t>354</w:t>
            </w:r>
          </w:p>
        </w:tc>
        <w:tc>
          <w:tcPr>
            <w:tcW w:w="1113" w:type="dxa"/>
            <w:tcBorders>
              <w:top w:val="single" w:sz="4" w:space="0" w:color="auto"/>
              <w:left w:val="single" w:sz="4" w:space="0" w:color="auto"/>
              <w:bottom w:val="single" w:sz="4" w:space="0" w:color="auto"/>
              <w:right w:val="single" w:sz="4" w:space="0" w:color="auto"/>
            </w:tcBorders>
            <w:shd w:val="clear" w:color="000000" w:fill="FFFFFF"/>
            <w:vAlign w:val="center"/>
          </w:tcPr>
          <w:p w14:paraId="00882776" w14:textId="77777777" w:rsidR="00E87CC7" w:rsidRPr="00DD165E" w:rsidRDefault="00E87CC7" w:rsidP="00E87CC7">
            <w:pPr>
              <w:ind w:left="0"/>
              <w:jc w:val="center"/>
              <w:rPr>
                <w:rFonts w:cs="Arial"/>
                <w:sz w:val="20"/>
                <w:szCs w:val="20"/>
              </w:rPr>
            </w:pPr>
            <w:r w:rsidRPr="00DD165E">
              <w:rPr>
                <w:rFonts w:cs="Arial"/>
                <w:sz w:val="20"/>
                <w:szCs w:val="20"/>
              </w:rPr>
              <w:t>-1,416</w:t>
            </w:r>
          </w:p>
        </w:tc>
        <w:tc>
          <w:tcPr>
            <w:tcW w:w="964" w:type="dxa"/>
            <w:tcBorders>
              <w:top w:val="single" w:sz="4" w:space="0" w:color="auto"/>
              <w:left w:val="single" w:sz="4" w:space="0" w:color="auto"/>
              <w:bottom w:val="single" w:sz="4" w:space="0" w:color="auto"/>
              <w:right w:val="single" w:sz="4" w:space="0" w:color="auto"/>
            </w:tcBorders>
            <w:shd w:val="clear" w:color="000000" w:fill="FFFFFF"/>
            <w:vAlign w:val="center"/>
          </w:tcPr>
          <w:p w14:paraId="025E7A17" w14:textId="77777777" w:rsidR="00E87CC7" w:rsidRPr="00DD165E" w:rsidRDefault="00E87CC7" w:rsidP="00E87CC7">
            <w:pPr>
              <w:ind w:left="0"/>
              <w:jc w:val="center"/>
              <w:rPr>
                <w:rFonts w:cs="Arial"/>
                <w:sz w:val="20"/>
                <w:szCs w:val="20"/>
              </w:rPr>
            </w:pPr>
            <w:r w:rsidRPr="00DD165E">
              <w:rPr>
                <w:rFonts w:cs="Arial"/>
                <w:sz w:val="20"/>
                <w:szCs w:val="20"/>
              </w:rPr>
              <w:t>22</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7D7E7BE0" w14:textId="77777777" w:rsidR="00E87CC7" w:rsidRPr="00DD165E" w:rsidRDefault="00E87CC7" w:rsidP="00E87CC7">
            <w:pPr>
              <w:ind w:left="0"/>
              <w:jc w:val="center"/>
              <w:rPr>
                <w:rFonts w:cs="Arial"/>
                <w:sz w:val="20"/>
                <w:szCs w:val="20"/>
              </w:rPr>
            </w:pPr>
            <w:r w:rsidRPr="00DD165E">
              <w:rPr>
                <w:rFonts w:cs="Arial"/>
                <w:sz w:val="20"/>
                <w:szCs w:val="20"/>
              </w:rPr>
              <w:t>228,800</w:t>
            </w:r>
          </w:p>
        </w:tc>
        <w:tc>
          <w:tcPr>
            <w:tcW w:w="1020" w:type="dxa"/>
            <w:tcBorders>
              <w:top w:val="single" w:sz="4" w:space="0" w:color="auto"/>
              <w:left w:val="single" w:sz="4" w:space="0" w:color="auto"/>
              <w:bottom w:val="single" w:sz="4" w:space="0" w:color="auto"/>
              <w:right w:val="single" w:sz="4" w:space="0" w:color="auto"/>
            </w:tcBorders>
            <w:shd w:val="clear" w:color="000000" w:fill="FFFFFF"/>
            <w:vAlign w:val="center"/>
          </w:tcPr>
          <w:p w14:paraId="78633C90" w14:textId="77777777" w:rsidR="00E87CC7" w:rsidRPr="00DD165E" w:rsidRDefault="00E87CC7" w:rsidP="00E87CC7">
            <w:pPr>
              <w:ind w:left="0"/>
              <w:jc w:val="center"/>
              <w:rPr>
                <w:rFonts w:cs="Arial"/>
                <w:sz w:val="20"/>
                <w:szCs w:val="20"/>
              </w:rPr>
            </w:pPr>
            <w:r w:rsidRPr="00DD165E">
              <w:rPr>
                <w:rFonts w:cs="Arial"/>
                <w:sz w:val="20"/>
                <w:szCs w:val="20"/>
              </w:rPr>
              <w:t>-1,040</w:t>
            </w:r>
          </w:p>
        </w:tc>
        <w:tc>
          <w:tcPr>
            <w:tcW w:w="1191" w:type="dxa"/>
            <w:tcBorders>
              <w:top w:val="single" w:sz="4" w:space="0" w:color="auto"/>
              <w:left w:val="single" w:sz="4" w:space="0" w:color="auto"/>
              <w:bottom w:val="single" w:sz="4" w:space="0" w:color="auto"/>
              <w:right w:val="single" w:sz="4" w:space="0" w:color="auto"/>
            </w:tcBorders>
            <w:shd w:val="clear" w:color="000000" w:fill="FFFFFF"/>
            <w:vAlign w:val="center"/>
          </w:tcPr>
          <w:p w14:paraId="12175F78" w14:textId="77777777" w:rsidR="00E87CC7" w:rsidRPr="00DD165E" w:rsidRDefault="00E87CC7" w:rsidP="00E87CC7">
            <w:pPr>
              <w:ind w:left="0"/>
              <w:jc w:val="center"/>
              <w:rPr>
                <w:rFonts w:cs="Arial"/>
                <w:i/>
                <w:iCs/>
                <w:sz w:val="20"/>
                <w:szCs w:val="20"/>
              </w:rPr>
            </w:pPr>
            <w:r w:rsidRPr="00DD165E">
              <w:rPr>
                <w:rFonts w:cs="Arial"/>
                <w:i/>
                <w:iCs/>
                <w:sz w:val="20"/>
                <w:szCs w:val="20"/>
              </w:rPr>
              <w:t>-0.5</w:t>
            </w:r>
          </w:p>
        </w:tc>
      </w:tr>
      <w:tr w:rsidR="00E87CC7" w:rsidRPr="006969E0" w14:paraId="39A94196" w14:textId="77777777" w:rsidTr="00E87CC7">
        <w:trPr>
          <w:trHeight w:val="454"/>
        </w:trPr>
        <w:tc>
          <w:tcPr>
            <w:tcW w:w="1112" w:type="dxa"/>
            <w:vAlign w:val="center"/>
          </w:tcPr>
          <w:p w14:paraId="5B15DDEA" w14:textId="77777777" w:rsidR="00E87CC7" w:rsidRPr="0076042B" w:rsidRDefault="00E87CC7" w:rsidP="00E87CC7">
            <w:pPr>
              <w:ind w:left="0"/>
              <w:rPr>
                <w:rFonts w:eastAsia="Times New Roman" w:cstheme="minorHAnsi"/>
                <w:b/>
                <w:sz w:val="20"/>
                <w:szCs w:val="20"/>
              </w:rPr>
            </w:pPr>
            <w:r w:rsidRPr="0076042B">
              <w:rPr>
                <w:rFonts w:eastAsia="Times New Roman" w:cstheme="minorHAnsi"/>
                <w:b/>
                <w:sz w:val="20"/>
                <w:szCs w:val="20"/>
              </w:rPr>
              <w:t>Scotland</w:t>
            </w:r>
          </w:p>
        </w:tc>
        <w:tc>
          <w:tcPr>
            <w:tcW w:w="1191" w:type="dxa"/>
            <w:tcBorders>
              <w:top w:val="single" w:sz="4" w:space="0" w:color="auto"/>
              <w:left w:val="nil"/>
              <w:bottom w:val="single" w:sz="4" w:space="0" w:color="auto"/>
              <w:right w:val="single" w:sz="4" w:space="0" w:color="auto"/>
            </w:tcBorders>
            <w:shd w:val="clear" w:color="000000" w:fill="FFFFFF"/>
            <w:vAlign w:val="center"/>
          </w:tcPr>
          <w:p w14:paraId="70EF453A" w14:textId="77777777" w:rsidR="00E87CC7" w:rsidRPr="00DD165E" w:rsidRDefault="00E87CC7" w:rsidP="00E87CC7">
            <w:pPr>
              <w:ind w:left="0"/>
              <w:jc w:val="center"/>
              <w:rPr>
                <w:rFonts w:cs="Arial"/>
                <w:bCs/>
                <w:sz w:val="20"/>
                <w:szCs w:val="20"/>
              </w:rPr>
            </w:pPr>
            <w:r w:rsidRPr="00DD165E">
              <w:rPr>
                <w:rFonts w:cs="Arial"/>
                <w:bCs/>
                <w:sz w:val="20"/>
                <w:szCs w:val="20"/>
              </w:rPr>
              <w:t>5,404,700</w:t>
            </w:r>
          </w:p>
        </w:tc>
        <w:tc>
          <w:tcPr>
            <w:tcW w:w="1020" w:type="dxa"/>
            <w:tcBorders>
              <w:top w:val="single" w:sz="4" w:space="0" w:color="auto"/>
              <w:left w:val="single" w:sz="4" w:space="0" w:color="auto"/>
              <w:bottom w:val="single" w:sz="4" w:space="0" w:color="auto"/>
              <w:right w:val="single" w:sz="4" w:space="0" w:color="auto"/>
            </w:tcBorders>
            <w:shd w:val="clear" w:color="000000" w:fill="FFFFFF"/>
            <w:vAlign w:val="center"/>
          </w:tcPr>
          <w:p w14:paraId="263FBF81" w14:textId="77777777" w:rsidR="00E87CC7" w:rsidRPr="00DD165E" w:rsidRDefault="00E87CC7" w:rsidP="00E87CC7">
            <w:pPr>
              <w:ind w:left="0"/>
              <w:jc w:val="center"/>
              <w:rPr>
                <w:rFonts w:cs="Arial"/>
                <w:bCs/>
                <w:sz w:val="20"/>
                <w:szCs w:val="20"/>
              </w:rPr>
            </w:pPr>
            <w:r w:rsidRPr="00DD165E">
              <w:rPr>
                <w:rFonts w:cs="Arial"/>
                <w:bCs/>
                <w:sz w:val="20"/>
                <w:szCs w:val="20"/>
              </w:rPr>
              <w:t>-3,810</w:t>
            </w:r>
          </w:p>
        </w:tc>
        <w:tc>
          <w:tcPr>
            <w:tcW w:w="1113" w:type="dxa"/>
            <w:tcBorders>
              <w:top w:val="single" w:sz="4" w:space="0" w:color="auto"/>
              <w:left w:val="single" w:sz="4" w:space="0" w:color="auto"/>
              <w:bottom w:val="single" w:sz="4" w:space="0" w:color="auto"/>
              <w:right w:val="single" w:sz="4" w:space="0" w:color="auto"/>
            </w:tcBorders>
            <w:shd w:val="clear" w:color="000000" w:fill="FFFFFF"/>
            <w:vAlign w:val="center"/>
          </w:tcPr>
          <w:p w14:paraId="76A26E09" w14:textId="77777777" w:rsidR="00E87CC7" w:rsidRPr="00DD165E" w:rsidRDefault="00E87CC7" w:rsidP="00E87CC7">
            <w:pPr>
              <w:ind w:left="0"/>
              <w:jc w:val="center"/>
              <w:rPr>
                <w:rFonts w:cs="Arial"/>
                <w:bCs/>
                <w:sz w:val="20"/>
                <w:szCs w:val="20"/>
              </w:rPr>
            </w:pPr>
            <w:r w:rsidRPr="00DD165E">
              <w:rPr>
                <w:rFonts w:cs="Arial"/>
                <w:bCs/>
                <w:sz w:val="20"/>
                <w:szCs w:val="20"/>
              </w:rPr>
              <w:t>23,855</w:t>
            </w:r>
          </w:p>
        </w:tc>
        <w:tc>
          <w:tcPr>
            <w:tcW w:w="964" w:type="dxa"/>
            <w:tcBorders>
              <w:top w:val="single" w:sz="4" w:space="0" w:color="auto"/>
              <w:left w:val="single" w:sz="4" w:space="0" w:color="auto"/>
              <w:bottom w:val="single" w:sz="4" w:space="0" w:color="auto"/>
              <w:right w:val="single" w:sz="4" w:space="0" w:color="auto"/>
            </w:tcBorders>
            <w:shd w:val="clear" w:color="000000" w:fill="FFFFFF"/>
            <w:vAlign w:val="center"/>
          </w:tcPr>
          <w:p w14:paraId="5064359F" w14:textId="77777777" w:rsidR="00E87CC7" w:rsidRPr="00DD165E" w:rsidRDefault="00E87CC7" w:rsidP="00E87CC7">
            <w:pPr>
              <w:ind w:left="0"/>
              <w:jc w:val="center"/>
              <w:rPr>
                <w:rFonts w:cs="Arial"/>
                <w:bCs/>
                <w:sz w:val="20"/>
                <w:szCs w:val="20"/>
              </w:rPr>
            </w:pPr>
            <w:r w:rsidRPr="00DD165E">
              <w:rPr>
                <w:rFonts w:cs="Arial"/>
                <w:bCs/>
                <w:sz w:val="20"/>
                <w:szCs w:val="20"/>
              </w:rPr>
              <w:t>55</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2F69F366" w14:textId="77777777" w:rsidR="00E87CC7" w:rsidRPr="00DD165E" w:rsidRDefault="00E87CC7" w:rsidP="00E87CC7">
            <w:pPr>
              <w:ind w:left="0"/>
              <w:jc w:val="center"/>
              <w:rPr>
                <w:rFonts w:cs="Arial"/>
                <w:bCs/>
                <w:sz w:val="20"/>
                <w:szCs w:val="20"/>
              </w:rPr>
            </w:pPr>
            <w:r w:rsidRPr="00DD165E">
              <w:rPr>
                <w:rFonts w:cs="Arial"/>
                <w:bCs/>
                <w:sz w:val="20"/>
                <w:szCs w:val="20"/>
              </w:rPr>
              <w:t>5,424,800</w:t>
            </w:r>
          </w:p>
        </w:tc>
        <w:tc>
          <w:tcPr>
            <w:tcW w:w="1020" w:type="dxa"/>
            <w:tcBorders>
              <w:top w:val="single" w:sz="4" w:space="0" w:color="auto"/>
              <w:left w:val="single" w:sz="4" w:space="0" w:color="auto"/>
              <w:bottom w:val="single" w:sz="4" w:space="0" w:color="auto"/>
              <w:right w:val="single" w:sz="4" w:space="0" w:color="auto"/>
            </w:tcBorders>
            <w:shd w:val="clear" w:color="000000" w:fill="FFFFFF"/>
            <w:vAlign w:val="center"/>
          </w:tcPr>
          <w:p w14:paraId="0EAB5358" w14:textId="77777777" w:rsidR="00E87CC7" w:rsidRPr="00DD165E" w:rsidRDefault="00E87CC7" w:rsidP="00E87CC7">
            <w:pPr>
              <w:ind w:left="0"/>
              <w:jc w:val="center"/>
              <w:rPr>
                <w:rFonts w:cs="Arial"/>
                <w:bCs/>
                <w:sz w:val="20"/>
                <w:szCs w:val="20"/>
              </w:rPr>
            </w:pPr>
            <w:r w:rsidRPr="00DD165E">
              <w:rPr>
                <w:rFonts w:cs="Arial"/>
                <w:bCs/>
                <w:sz w:val="20"/>
                <w:szCs w:val="20"/>
              </w:rPr>
              <w:t>20,100</w:t>
            </w:r>
          </w:p>
        </w:tc>
        <w:tc>
          <w:tcPr>
            <w:tcW w:w="1191" w:type="dxa"/>
            <w:tcBorders>
              <w:top w:val="single" w:sz="4" w:space="0" w:color="auto"/>
              <w:left w:val="single" w:sz="4" w:space="0" w:color="auto"/>
              <w:bottom w:val="single" w:sz="4" w:space="0" w:color="auto"/>
              <w:right w:val="single" w:sz="4" w:space="0" w:color="auto"/>
            </w:tcBorders>
            <w:shd w:val="clear" w:color="000000" w:fill="FFFFFF"/>
            <w:vAlign w:val="center"/>
          </w:tcPr>
          <w:p w14:paraId="5DA90ECA" w14:textId="77777777" w:rsidR="00E87CC7" w:rsidRPr="00DD165E" w:rsidRDefault="00E87CC7" w:rsidP="00E87CC7">
            <w:pPr>
              <w:ind w:left="0"/>
              <w:jc w:val="center"/>
              <w:rPr>
                <w:rFonts w:cs="Arial"/>
                <w:bCs/>
                <w:i/>
                <w:iCs/>
                <w:sz w:val="20"/>
                <w:szCs w:val="20"/>
              </w:rPr>
            </w:pPr>
            <w:r w:rsidRPr="00DD165E">
              <w:rPr>
                <w:rFonts w:cs="Arial"/>
                <w:bCs/>
                <w:i/>
                <w:iCs/>
                <w:sz w:val="20"/>
                <w:szCs w:val="20"/>
              </w:rPr>
              <w:t>0.4</w:t>
            </w:r>
          </w:p>
        </w:tc>
      </w:tr>
    </w:tbl>
    <w:p w14:paraId="2D45E80B" w14:textId="0FDEAA15" w:rsidR="00E87CC7" w:rsidRPr="00DD165E" w:rsidRDefault="00E87CC7" w:rsidP="00E87CC7">
      <w:pPr>
        <w:rPr>
          <w:sz w:val="16"/>
          <w:szCs w:val="16"/>
        </w:rPr>
      </w:pPr>
      <w:r w:rsidRPr="00DD165E">
        <w:rPr>
          <w:sz w:val="16"/>
          <w:szCs w:val="16"/>
        </w:rPr>
        <w:t xml:space="preserve">Source: National Records of Scotland, Mid-2017 Population Estimates, Scotland, available at: </w:t>
      </w:r>
      <w:hyperlink r:id="rId37" w:history="1">
        <w:r w:rsidRPr="00DD165E">
          <w:rPr>
            <w:rStyle w:val="Hyperlink"/>
            <w:sz w:val="16"/>
            <w:szCs w:val="16"/>
          </w:rPr>
          <w:t>https://www.nrscotland.gov.uk/statistics-and-data/statistics/statistics-by-theme/population/population-estimates/mid-year-population-estimates/mid-2017/list-of-figures</w:t>
        </w:r>
      </w:hyperlink>
    </w:p>
    <w:p w14:paraId="6DE3AB96" w14:textId="77777777" w:rsidR="00E87CC7" w:rsidRDefault="00E87CC7" w:rsidP="00E87CC7">
      <w:pPr>
        <w:rPr>
          <w:sz w:val="16"/>
          <w:szCs w:val="16"/>
        </w:rPr>
      </w:pPr>
      <w:r>
        <w:rPr>
          <w:sz w:val="16"/>
          <w:szCs w:val="16"/>
        </w:rPr>
        <w:t>n = number, % = percent</w:t>
      </w:r>
    </w:p>
    <w:p w14:paraId="523A7F2B" w14:textId="77777777" w:rsidR="00E87CC7" w:rsidRDefault="00E87CC7" w:rsidP="00E87CC7">
      <w:pPr>
        <w:rPr>
          <w:b/>
        </w:rPr>
      </w:pPr>
    </w:p>
    <w:p w14:paraId="292D8132" w14:textId="017EAB61" w:rsidR="00E87CC7" w:rsidRDefault="00E87CC7" w:rsidP="00E87CC7">
      <w:r>
        <w:t>The negative net-migration in Aberdeen City for 2016-2017 indicates that more people moved out of the City than moved into it.  The table below</w:t>
      </w:r>
      <w:r w:rsidRPr="003F4B4A">
        <w:t xml:space="preserve"> </w:t>
      </w:r>
      <w:r>
        <w:t xml:space="preserve">gives a breakdown of the migration figures for Aberdeen City for 2016-2017.  It shows the figures for in-migration and out-migration as well as net-migration.  Within-Scotland migration (i.e. people moving to and from Aberdeen City from other parts of Scotland) makes up the largest component of migration, accounting for 53.6% of all people moving into the City and 65.1% of people moving out of the City.  Within Scotland migration was also the largest contributor to the negative net migration experienced in the City.  Net migration between Aberdeen City and </w:t>
      </w:r>
      <w:r>
        <w:lastRenderedPageBreak/>
        <w:t xml:space="preserve">the Rest of the UK was also negative.  Only net migration between Aberdeen and Overseas was positive.  </w:t>
      </w:r>
    </w:p>
    <w:p w14:paraId="51C21635" w14:textId="77777777" w:rsidR="00E87CC7" w:rsidRPr="00487F00" w:rsidRDefault="00E87CC7" w:rsidP="00E87CC7">
      <w:pPr>
        <w:rPr>
          <w:sz w:val="18"/>
          <w:szCs w:val="18"/>
        </w:rPr>
      </w:pPr>
    </w:p>
    <w:p w14:paraId="1DDACE31" w14:textId="138BFE2E" w:rsidR="00E87CC7" w:rsidRPr="00B55A1C" w:rsidRDefault="00E87CC7" w:rsidP="00E87CC7">
      <w:pPr>
        <w:ind w:left="0" w:firstLine="720"/>
        <w:rPr>
          <w:b/>
        </w:rPr>
      </w:pPr>
      <w:r w:rsidRPr="00B55A1C">
        <w:rPr>
          <w:b/>
        </w:rPr>
        <w:t>Components of migration, Aberdeen City, mid</w:t>
      </w:r>
      <w:r>
        <w:rPr>
          <w:b/>
        </w:rPr>
        <w:t>-</w:t>
      </w:r>
      <w:r w:rsidRPr="00B55A1C">
        <w:rPr>
          <w:b/>
        </w:rPr>
        <w:t>201</w:t>
      </w:r>
      <w:r>
        <w:rPr>
          <w:b/>
        </w:rPr>
        <w:t>6 to mid-</w:t>
      </w:r>
      <w:r w:rsidRPr="00B55A1C">
        <w:rPr>
          <w:b/>
        </w:rPr>
        <w:t>201</w:t>
      </w:r>
      <w:r>
        <w:rPr>
          <w:b/>
        </w:rPr>
        <w:t>7</w:t>
      </w:r>
    </w:p>
    <w:tbl>
      <w:tblPr>
        <w:tblStyle w:val="TableGrid"/>
        <w:tblW w:w="4448" w:type="pct"/>
        <w:tblInd w:w="607" w:type="dxa"/>
        <w:tblLook w:val="04A0" w:firstRow="1" w:lastRow="0" w:firstColumn="1" w:lastColumn="0" w:noHBand="0" w:noVBand="1"/>
      </w:tblPr>
      <w:tblGrid>
        <w:gridCol w:w="2119"/>
        <w:gridCol w:w="2884"/>
        <w:gridCol w:w="3018"/>
      </w:tblGrid>
      <w:tr w:rsidR="00E87CC7" w:rsidRPr="003F4B4A" w14:paraId="27DB864C" w14:textId="77777777" w:rsidTr="00E87CC7">
        <w:trPr>
          <w:trHeight w:val="255"/>
        </w:trPr>
        <w:tc>
          <w:tcPr>
            <w:tcW w:w="1321" w:type="pct"/>
            <w:shd w:val="clear" w:color="auto" w:fill="D9E2F3" w:themeFill="accent1" w:themeFillTint="33"/>
            <w:noWrap/>
            <w:hideMark/>
          </w:tcPr>
          <w:p w14:paraId="6E24E698" w14:textId="77777777" w:rsidR="00E87CC7" w:rsidRPr="003F4B4A" w:rsidRDefault="00E87CC7" w:rsidP="00286AB2">
            <w:pPr>
              <w:rPr>
                <w:bCs/>
                <w:sz w:val="20"/>
                <w:szCs w:val="20"/>
              </w:rPr>
            </w:pPr>
            <w:r w:rsidRPr="003F4B4A">
              <w:rPr>
                <w:bCs/>
                <w:sz w:val="20"/>
                <w:szCs w:val="20"/>
              </w:rPr>
              <w:t> </w:t>
            </w:r>
          </w:p>
        </w:tc>
        <w:tc>
          <w:tcPr>
            <w:tcW w:w="1798" w:type="pct"/>
            <w:shd w:val="clear" w:color="auto" w:fill="D9E2F3" w:themeFill="accent1" w:themeFillTint="33"/>
            <w:noWrap/>
            <w:hideMark/>
          </w:tcPr>
          <w:p w14:paraId="18AF4949" w14:textId="77777777" w:rsidR="00E87CC7" w:rsidRPr="003F4B4A" w:rsidRDefault="00E87CC7" w:rsidP="00286AB2">
            <w:pPr>
              <w:rPr>
                <w:bCs/>
                <w:sz w:val="20"/>
                <w:szCs w:val="20"/>
              </w:rPr>
            </w:pPr>
            <w:r w:rsidRPr="003F4B4A">
              <w:rPr>
                <w:bCs/>
                <w:sz w:val="20"/>
                <w:szCs w:val="20"/>
              </w:rPr>
              <w:t> </w:t>
            </w:r>
          </w:p>
          <w:p w14:paraId="179B36EF" w14:textId="77777777" w:rsidR="00E87CC7" w:rsidRPr="003F4B4A" w:rsidRDefault="00E87CC7" w:rsidP="00286AB2">
            <w:pPr>
              <w:rPr>
                <w:bCs/>
                <w:sz w:val="20"/>
                <w:szCs w:val="20"/>
              </w:rPr>
            </w:pPr>
            <w:r w:rsidRPr="003F4B4A">
              <w:rPr>
                <w:bCs/>
                <w:sz w:val="20"/>
                <w:szCs w:val="20"/>
              </w:rPr>
              <w:t> </w:t>
            </w:r>
          </w:p>
        </w:tc>
        <w:tc>
          <w:tcPr>
            <w:tcW w:w="1881" w:type="pct"/>
            <w:tcBorders>
              <w:bottom w:val="single" w:sz="4" w:space="0" w:color="auto"/>
            </w:tcBorders>
            <w:shd w:val="clear" w:color="auto" w:fill="D9E2F3" w:themeFill="accent1" w:themeFillTint="33"/>
          </w:tcPr>
          <w:p w14:paraId="38973841" w14:textId="77777777" w:rsidR="00E87CC7" w:rsidRDefault="00E87CC7" w:rsidP="00286AB2">
            <w:pPr>
              <w:jc w:val="center"/>
              <w:rPr>
                <w:b/>
                <w:sz w:val="20"/>
                <w:szCs w:val="20"/>
              </w:rPr>
            </w:pPr>
            <w:r>
              <w:rPr>
                <w:b/>
                <w:sz w:val="20"/>
                <w:szCs w:val="20"/>
              </w:rPr>
              <w:t>Aberdeen City</w:t>
            </w:r>
          </w:p>
          <w:p w14:paraId="1C55EFC1" w14:textId="77777777" w:rsidR="00E87CC7" w:rsidRPr="003F4B4A" w:rsidRDefault="00E87CC7" w:rsidP="00286AB2">
            <w:pPr>
              <w:jc w:val="center"/>
              <w:rPr>
                <w:b/>
                <w:sz w:val="20"/>
                <w:szCs w:val="20"/>
              </w:rPr>
            </w:pPr>
            <w:r>
              <w:rPr>
                <w:b/>
                <w:sz w:val="20"/>
                <w:szCs w:val="20"/>
              </w:rPr>
              <w:t>2016-2017</w:t>
            </w:r>
          </w:p>
        </w:tc>
      </w:tr>
      <w:tr w:rsidR="00E87CC7" w:rsidRPr="003F4B4A" w14:paraId="5544F29F" w14:textId="77777777" w:rsidTr="00E87CC7">
        <w:trPr>
          <w:trHeight w:val="255"/>
        </w:trPr>
        <w:tc>
          <w:tcPr>
            <w:tcW w:w="1321" w:type="pct"/>
            <w:vMerge w:val="restart"/>
            <w:noWrap/>
            <w:hideMark/>
          </w:tcPr>
          <w:p w14:paraId="065CAB58" w14:textId="77777777" w:rsidR="00E87CC7" w:rsidRPr="003F4B4A" w:rsidRDefault="00E87CC7" w:rsidP="00286AB2">
            <w:pPr>
              <w:rPr>
                <w:b/>
                <w:bCs/>
                <w:sz w:val="20"/>
                <w:szCs w:val="20"/>
              </w:rPr>
            </w:pPr>
            <w:r w:rsidRPr="003F4B4A">
              <w:rPr>
                <w:b/>
                <w:bCs/>
                <w:sz w:val="20"/>
                <w:szCs w:val="20"/>
              </w:rPr>
              <w:t>In-migration</w:t>
            </w:r>
          </w:p>
        </w:tc>
        <w:tc>
          <w:tcPr>
            <w:tcW w:w="1798" w:type="pct"/>
          </w:tcPr>
          <w:p w14:paraId="2C26115B" w14:textId="77777777" w:rsidR="00E87CC7" w:rsidRPr="0076042B" w:rsidRDefault="00E87CC7" w:rsidP="00286AB2">
            <w:pPr>
              <w:rPr>
                <w:bCs/>
                <w:i/>
                <w:sz w:val="20"/>
                <w:szCs w:val="20"/>
              </w:rPr>
            </w:pPr>
            <w:r w:rsidRPr="0076042B">
              <w:rPr>
                <w:bCs/>
                <w:i/>
                <w:sz w:val="20"/>
                <w:szCs w:val="20"/>
              </w:rPr>
              <w:t>Within Scotland</w:t>
            </w:r>
          </w:p>
        </w:tc>
        <w:tc>
          <w:tcPr>
            <w:tcW w:w="1881" w:type="pct"/>
            <w:tcBorders>
              <w:top w:val="single" w:sz="4" w:space="0" w:color="auto"/>
              <w:left w:val="nil"/>
              <w:bottom w:val="single" w:sz="4" w:space="0" w:color="auto"/>
              <w:right w:val="single" w:sz="4" w:space="0" w:color="auto"/>
            </w:tcBorders>
            <w:shd w:val="clear" w:color="auto" w:fill="auto"/>
            <w:vAlign w:val="bottom"/>
          </w:tcPr>
          <w:p w14:paraId="4B74A75A" w14:textId="77777777" w:rsidR="00E87CC7" w:rsidRPr="008E0EE8" w:rsidRDefault="00E87CC7" w:rsidP="00286AB2">
            <w:pPr>
              <w:jc w:val="center"/>
              <w:rPr>
                <w:i/>
                <w:sz w:val="20"/>
                <w:szCs w:val="20"/>
              </w:rPr>
            </w:pPr>
            <w:r w:rsidRPr="008E0EE8">
              <w:rPr>
                <w:i/>
                <w:sz w:val="20"/>
                <w:szCs w:val="20"/>
              </w:rPr>
              <w:t>6</w:t>
            </w:r>
            <w:r>
              <w:rPr>
                <w:i/>
                <w:sz w:val="20"/>
                <w:szCs w:val="20"/>
              </w:rPr>
              <w:t>,</w:t>
            </w:r>
            <w:r w:rsidRPr="008E0EE8">
              <w:rPr>
                <w:i/>
                <w:sz w:val="20"/>
                <w:szCs w:val="20"/>
              </w:rPr>
              <w:t>074</w:t>
            </w:r>
          </w:p>
        </w:tc>
      </w:tr>
      <w:tr w:rsidR="00E87CC7" w:rsidRPr="003F4B4A" w14:paraId="27E1441E" w14:textId="77777777" w:rsidTr="00E87CC7">
        <w:trPr>
          <w:trHeight w:val="255"/>
        </w:trPr>
        <w:tc>
          <w:tcPr>
            <w:tcW w:w="1321" w:type="pct"/>
            <w:vMerge/>
            <w:hideMark/>
          </w:tcPr>
          <w:p w14:paraId="511CB02D" w14:textId="77777777" w:rsidR="00E87CC7" w:rsidRPr="003F4B4A" w:rsidRDefault="00E87CC7" w:rsidP="00286AB2">
            <w:pPr>
              <w:rPr>
                <w:b/>
                <w:bCs/>
                <w:sz w:val="20"/>
                <w:szCs w:val="20"/>
              </w:rPr>
            </w:pPr>
          </w:p>
        </w:tc>
        <w:tc>
          <w:tcPr>
            <w:tcW w:w="1798" w:type="pct"/>
            <w:hideMark/>
          </w:tcPr>
          <w:p w14:paraId="549F9633" w14:textId="77777777" w:rsidR="00E87CC7" w:rsidRPr="0076042B" w:rsidRDefault="00E87CC7" w:rsidP="00286AB2">
            <w:pPr>
              <w:rPr>
                <w:bCs/>
                <w:i/>
                <w:sz w:val="20"/>
                <w:szCs w:val="20"/>
              </w:rPr>
            </w:pPr>
            <w:r w:rsidRPr="0076042B">
              <w:rPr>
                <w:bCs/>
                <w:i/>
                <w:sz w:val="20"/>
                <w:szCs w:val="20"/>
              </w:rPr>
              <w:t>Rest of UK</w:t>
            </w:r>
          </w:p>
        </w:tc>
        <w:tc>
          <w:tcPr>
            <w:tcW w:w="1881" w:type="pct"/>
            <w:tcBorders>
              <w:top w:val="single" w:sz="4" w:space="0" w:color="auto"/>
              <w:left w:val="nil"/>
              <w:bottom w:val="single" w:sz="4" w:space="0" w:color="auto"/>
              <w:right w:val="single" w:sz="4" w:space="0" w:color="auto"/>
            </w:tcBorders>
            <w:shd w:val="clear" w:color="auto" w:fill="auto"/>
            <w:vAlign w:val="bottom"/>
          </w:tcPr>
          <w:p w14:paraId="0951F2EE" w14:textId="77777777" w:rsidR="00E87CC7" w:rsidRPr="008E0EE8" w:rsidRDefault="00E87CC7" w:rsidP="00286AB2">
            <w:pPr>
              <w:jc w:val="center"/>
              <w:rPr>
                <w:i/>
                <w:sz w:val="20"/>
                <w:szCs w:val="20"/>
              </w:rPr>
            </w:pPr>
            <w:r w:rsidRPr="008E0EE8">
              <w:rPr>
                <w:i/>
                <w:sz w:val="20"/>
                <w:szCs w:val="20"/>
              </w:rPr>
              <w:t>2</w:t>
            </w:r>
            <w:r>
              <w:rPr>
                <w:i/>
                <w:sz w:val="20"/>
                <w:szCs w:val="20"/>
              </w:rPr>
              <w:t>,</w:t>
            </w:r>
            <w:r w:rsidRPr="008E0EE8">
              <w:rPr>
                <w:i/>
                <w:sz w:val="20"/>
                <w:szCs w:val="20"/>
              </w:rPr>
              <w:t>078</w:t>
            </w:r>
          </w:p>
        </w:tc>
      </w:tr>
      <w:tr w:rsidR="00E87CC7" w:rsidRPr="003F4B4A" w14:paraId="7726B1D0" w14:textId="77777777" w:rsidTr="00E87CC7">
        <w:trPr>
          <w:trHeight w:val="255"/>
        </w:trPr>
        <w:tc>
          <w:tcPr>
            <w:tcW w:w="1321" w:type="pct"/>
            <w:vMerge/>
            <w:hideMark/>
          </w:tcPr>
          <w:p w14:paraId="07FEFA75" w14:textId="77777777" w:rsidR="00E87CC7" w:rsidRPr="003F4B4A" w:rsidRDefault="00E87CC7" w:rsidP="00286AB2">
            <w:pPr>
              <w:rPr>
                <w:b/>
                <w:bCs/>
                <w:sz w:val="20"/>
                <w:szCs w:val="20"/>
              </w:rPr>
            </w:pPr>
          </w:p>
        </w:tc>
        <w:tc>
          <w:tcPr>
            <w:tcW w:w="1798" w:type="pct"/>
            <w:hideMark/>
          </w:tcPr>
          <w:p w14:paraId="5BDB1FE3" w14:textId="77777777" w:rsidR="00E87CC7" w:rsidRPr="0076042B" w:rsidRDefault="00E87CC7" w:rsidP="00286AB2">
            <w:pPr>
              <w:rPr>
                <w:bCs/>
                <w:i/>
                <w:sz w:val="20"/>
                <w:szCs w:val="20"/>
              </w:rPr>
            </w:pPr>
            <w:r w:rsidRPr="0076042B">
              <w:rPr>
                <w:bCs/>
                <w:i/>
                <w:sz w:val="20"/>
                <w:szCs w:val="20"/>
              </w:rPr>
              <w:t>Overseas</w:t>
            </w:r>
          </w:p>
        </w:tc>
        <w:tc>
          <w:tcPr>
            <w:tcW w:w="1881" w:type="pct"/>
            <w:tcBorders>
              <w:top w:val="single" w:sz="4" w:space="0" w:color="auto"/>
              <w:left w:val="nil"/>
              <w:bottom w:val="single" w:sz="4" w:space="0" w:color="auto"/>
              <w:right w:val="single" w:sz="4" w:space="0" w:color="auto"/>
            </w:tcBorders>
            <w:shd w:val="clear" w:color="auto" w:fill="auto"/>
            <w:vAlign w:val="bottom"/>
          </w:tcPr>
          <w:p w14:paraId="006328F3" w14:textId="77777777" w:rsidR="00E87CC7" w:rsidRPr="008E0EE8" w:rsidRDefault="00E87CC7" w:rsidP="00286AB2">
            <w:pPr>
              <w:jc w:val="center"/>
              <w:rPr>
                <w:i/>
                <w:sz w:val="20"/>
                <w:szCs w:val="20"/>
              </w:rPr>
            </w:pPr>
            <w:r w:rsidRPr="008E0EE8">
              <w:rPr>
                <w:i/>
                <w:sz w:val="20"/>
                <w:szCs w:val="20"/>
              </w:rPr>
              <w:t>3</w:t>
            </w:r>
            <w:r>
              <w:rPr>
                <w:i/>
                <w:sz w:val="20"/>
                <w:szCs w:val="20"/>
              </w:rPr>
              <w:t>,</w:t>
            </w:r>
            <w:r w:rsidRPr="008E0EE8">
              <w:rPr>
                <w:i/>
                <w:sz w:val="20"/>
                <w:szCs w:val="20"/>
              </w:rPr>
              <w:t>182</w:t>
            </w:r>
          </w:p>
        </w:tc>
      </w:tr>
      <w:tr w:rsidR="00E87CC7" w:rsidRPr="003F4B4A" w14:paraId="726F8F91" w14:textId="77777777" w:rsidTr="00E87CC7">
        <w:trPr>
          <w:trHeight w:val="255"/>
        </w:trPr>
        <w:tc>
          <w:tcPr>
            <w:tcW w:w="1321" w:type="pct"/>
            <w:vMerge/>
            <w:hideMark/>
          </w:tcPr>
          <w:p w14:paraId="228079F8" w14:textId="77777777" w:rsidR="00E87CC7" w:rsidRPr="003F4B4A" w:rsidRDefault="00E87CC7" w:rsidP="00286AB2">
            <w:pPr>
              <w:rPr>
                <w:b/>
                <w:bCs/>
                <w:sz w:val="20"/>
                <w:szCs w:val="20"/>
              </w:rPr>
            </w:pPr>
          </w:p>
        </w:tc>
        <w:tc>
          <w:tcPr>
            <w:tcW w:w="1798" w:type="pct"/>
            <w:hideMark/>
          </w:tcPr>
          <w:p w14:paraId="35D3D545" w14:textId="77777777" w:rsidR="00E87CC7" w:rsidRPr="0076042B" w:rsidRDefault="00E87CC7" w:rsidP="00286AB2">
            <w:pPr>
              <w:rPr>
                <w:b/>
                <w:bCs/>
                <w:sz w:val="20"/>
                <w:szCs w:val="20"/>
              </w:rPr>
            </w:pPr>
            <w:r w:rsidRPr="0076042B">
              <w:rPr>
                <w:b/>
                <w:bCs/>
                <w:sz w:val="20"/>
                <w:szCs w:val="20"/>
              </w:rPr>
              <w:t>Total</w:t>
            </w:r>
          </w:p>
        </w:tc>
        <w:tc>
          <w:tcPr>
            <w:tcW w:w="1881" w:type="pct"/>
            <w:tcBorders>
              <w:top w:val="single" w:sz="4" w:space="0" w:color="auto"/>
              <w:left w:val="nil"/>
              <w:bottom w:val="single" w:sz="4" w:space="0" w:color="auto"/>
              <w:right w:val="single" w:sz="4" w:space="0" w:color="auto"/>
            </w:tcBorders>
            <w:shd w:val="clear" w:color="000000" w:fill="FFFFFF"/>
            <w:vAlign w:val="bottom"/>
          </w:tcPr>
          <w:p w14:paraId="1AA9780F" w14:textId="77777777" w:rsidR="00E87CC7" w:rsidRPr="008E0EE8" w:rsidRDefault="00E87CC7" w:rsidP="00286AB2">
            <w:pPr>
              <w:jc w:val="center"/>
              <w:rPr>
                <w:b/>
                <w:sz w:val="20"/>
                <w:szCs w:val="20"/>
              </w:rPr>
            </w:pPr>
            <w:r w:rsidRPr="008E0EE8">
              <w:rPr>
                <w:b/>
                <w:sz w:val="20"/>
                <w:szCs w:val="20"/>
              </w:rPr>
              <w:t>11,334</w:t>
            </w:r>
          </w:p>
        </w:tc>
      </w:tr>
      <w:tr w:rsidR="00E87CC7" w:rsidRPr="003F4B4A" w14:paraId="155E3E11" w14:textId="77777777" w:rsidTr="00E87CC7">
        <w:trPr>
          <w:trHeight w:val="57"/>
        </w:trPr>
        <w:tc>
          <w:tcPr>
            <w:tcW w:w="1321" w:type="pct"/>
            <w:shd w:val="clear" w:color="auto" w:fill="D9E2F3" w:themeFill="accent1" w:themeFillTint="33"/>
            <w:noWrap/>
            <w:hideMark/>
          </w:tcPr>
          <w:p w14:paraId="3CE3AFC0" w14:textId="77777777" w:rsidR="00E87CC7" w:rsidRPr="003F4B4A" w:rsidRDefault="00E87CC7" w:rsidP="00286AB2">
            <w:pPr>
              <w:rPr>
                <w:b/>
                <w:bCs/>
                <w:sz w:val="6"/>
                <w:szCs w:val="6"/>
              </w:rPr>
            </w:pPr>
            <w:r w:rsidRPr="003F4B4A">
              <w:rPr>
                <w:b/>
                <w:bCs/>
                <w:sz w:val="6"/>
                <w:szCs w:val="6"/>
              </w:rPr>
              <w:t> </w:t>
            </w:r>
          </w:p>
        </w:tc>
        <w:tc>
          <w:tcPr>
            <w:tcW w:w="1798" w:type="pct"/>
            <w:shd w:val="clear" w:color="auto" w:fill="D9E2F3" w:themeFill="accent1" w:themeFillTint="33"/>
          </w:tcPr>
          <w:p w14:paraId="05DA3F2E" w14:textId="77777777" w:rsidR="00E87CC7" w:rsidRPr="003F4B4A" w:rsidRDefault="00E87CC7" w:rsidP="00286AB2">
            <w:pPr>
              <w:rPr>
                <w:bCs/>
                <w:sz w:val="6"/>
                <w:szCs w:val="6"/>
              </w:rPr>
            </w:pPr>
          </w:p>
        </w:tc>
        <w:tc>
          <w:tcPr>
            <w:tcW w:w="1881" w:type="pct"/>
            <w:shd w:val="clear" w:color="auto" w:fill="D9E2F3" w:themeFill="accent1" w:themeFillTint="33"/>
          </w:tcPr>
          <w:p w14:paraId="20B686CE" w14:textId="77777777" w:rsidR="00E87CC7" w:rsidRPr="003F4B4A" w:rsidRDefault="00E87CC7" w:rsidP="00286AB2">
            <w:pPr>
              <w:jc w:val="center"/>
              <w:rPr>
                <w:sz w:val="6"/>
                <w:szCs w:val="6"/>
              </w:rPr>
            </w:pPr>
          </w:p>
        </w:tc>
      </w:tr>
      <w:tr w:rsidR="00E87CC7" w:rsidRPr="003F4B4A" w14:paraId="694DC2F0" w14:textId="77777777" w:rsidTr="00E87CC7">
        <w:trPr>
          <w:trHeight w:val="255"/>
        </w:trPr>
        <w:tc>
          <w:tcPr>
            <w:tcW w:w="1321" w:type="pct"/>
            <w:vMerge w:val="restart"/>
            <w:noWrap/>
            <w:hideMark/>
          </w:tcPr>
          <w:p w14:paraId="5B7FD29D" w14:textId="77777777" w:rsidR="00E87CC7" w:rsidRPr="003F4B4A" w:rsidRDefault="00E87CC7" w:rsidP="00286AB2">
            <w:pPr>
              <w:rPr>
                <w:b/>
                <w:bCs/>
                <w:sz w:val="20"/>
                <w:szCs w:val="20"/>
              </w:rPr>
            </w:pPr>
            <w:r w:rsidRPr="003F4B4A">
              <w:rPr>
                <w:b/>
                <w:bCs/>
                <w:sz w:val="20"/>
                <w:szCs w:val="20"/>
              </w:rPr>
              <w:t>Out-migration</w:t>
            </w:r>
          </w:p>
        </w:tc>
        <w:tc>
          <w:tcPr>
            <w:tcW w:w="1798" w:type="pct"/>
          </w:tcPr>
          <w:p w14:paraId="51BFB2F7" w14:textId="77777777" w:rsidR="00E87CC7" w:rsidRPr="0076042B" w:rsidRDefault="00E87CC7" w:rsidP="00286AB2">
            <w:pPr>
              <w:rPr>
                <w:bCs/>
                <w:i/>
                <w:sz w:val="20"/>
                <w:szCs w:val="20"/>
              </w:rPr>
            </w:pPr>
            <w:r w:rsidRPr="0076042B">
              <w:rPr>
                <w:bCs/>
                <w:i/>
                <w:sz w:val="20"/>
                <w:szCs w:val="20"/>
              </w:rPr>
              <w:t>Within Scotland</w:t>
            </w:r>
          </w:p>
        </w:tc>
        <w:tc>
          <w:tcPr>
            <w:tcW w:w="1881" w:type="pct"/>
            <w:tcBorders>
              <w:top w:val="single" w:sz="4" w:space="0" w:color="auto"/>
              <w:left w:val="nil"/>
              <w:bottom w:val="single" w:sz="4" w:space="0" w:color="auto"/>
              <w:right w:val="single" w:sz="4" w:space="0" w:color="auto"/>
            </w:tcBorders>
            <w:shd w:val="clear" w:color="auto" w:fill="auto"/>
            <w:vAlign w:val="bottom"/>
          </w:tcPr>
          <w:p w14:paraId="42419714" w14:textId="77777777" w:rsidR="00E87CC7" w:rsidRPr="008E0EE8" w:rsidRDefault="00E87CC7" w:rsidP="00286AB2">
            <w:pPr>
              <w:jc w:val="center"/>
              <w:rPr>
                <w:i/>
                <w:sz w:val="20"/>
                <w:szCs w:val="20"/>
              </w:rPr>
            </w:pPr>
            <w:r w:rsidRPr="008E0EE8">
              <w:rPr>
                <w:i/>
                <w:sz w:val="20"/>
                <w:szCs w:val="20"/>
              </w:rPr>
              <w:t>8</w:t>
            </w:r>
            <w:r>
              <w:rPr>
                <w:i/>
                <w:sz w:val="20"/>
                <w:szCs w:val="20"/>
              </w:rPr>
              <w:t>,</w:t>
            </w:r>
            <w:r w:rsidRPr="008E0EE8">
              <w:rPr>
                <w:i/>
                <w:sz w:val="20"/>
                <w:szCs w:val="20"/>
              </w:rPr>
              <w:t>296</w:t>
            </w:r>
          </w:p>
        </w:tc>
      </w:tr>
      <w:tr w:rsidR="00E87CC7" w:rsidRPr="003F4B4A" w14:paraId="1581C8CE" w14:textId="77777777" w:rsidTr="00E87CC7">
        <w:trPr>
          <w:trHeight w:val="255"/>
        </w:trPr>
        <w:tc>
          <w:tcPr>
            <w:tcW w:w="1321" w:type="pct"/>
            <w:vMerge/>
            <w:hideMark/>
          </w:tcPr>
          <w:p w14:paraId="673C67DF" w14:textId="77777777" w:rsidR="00E87CC7" w:rsidRPr="003F4B4A" w:rsidRDefault="00E87CC7" w:rsidP="00286AB2">
            <w:pPr>
              <w:rPr>
                <w:b/>
                <w:bCs/>
                <w:sz w:val="20"/>
                <w:szCs w:val="20"/>
              </w:rPr>
            </w:pPr>
          </w:p>
        </w:tc>
        <w:tc>
          <w:tcPr>
            <w:tcW w:w="1798" w:type="pct"/>
          </w:tcPr>
          <w:p w14:paraId="1369CB6D" w14:textId="77777777" w:rsidR="00E87CC7" w:rsidRPr="0076042B" w:rsidRDefault="00E87CC7" w:rsidP="00286AB2">
            <w:pPr>
              <w:rPr>
                <w:bCs/>
                <w:i/>
                <w:sz w:val="20"/>
                <w:szCs w:val="20"/>
              </w:rPr>
            </w:pPr>
            <w:r w:rsidRPr="0076042B">
              <w:rPr>
                <w:bCs/>
                <w:i/>
                <w:sz w:val="20"/>
                <w:szCs w:val="20"/>
              </w:rPr>
              <w:t>Rest of UK</w:t>
            </w:r>
          </w:p>
        </w:tc>
        <w:tc>
          <w:tcPr>
            <w:tcW w:w="1881" w:type="pct"/>
            <w:tcBorders>
              <w:top w:val="single" w:sz="4" w:space="0" w:color="auto"/>
              <w:left w:val="nil"/>
              <w:bottom w:val="single" w:sz="4" w:space="0" w:color="auto"/>
              <w:right w:val="single" w:sz="4" w:space="0" w:color="auto"/>
            </w:tcBorders>
            <w:shd w:val="clear" w:color="auto" w:fill="auto"/>
            <w:vAlign w:val="bottom"/>
          </w:tcPr>
          <w:p w14:paraId="5CADE046" w14:textId="77777777" w:rsidR="00E87CC7" w:rsidRPr="008E0EE8" w:rsidRDefault="00E87CC7" w:rsidP="00286AB2">
            <w:pPr>
              <w:jc w:val="center"/>
              <w:rPr>
                <w:i/>
                <w:sz w:val="20"/>
                <w:szCs w:val="20"/>
              </w:rPr>
            </w:pPr>
            <w:r w:rsidRPr="008E0EE8">
              <w:rPr>
                <w:i/>
                <w:sz w:val="20"/>
                <w:szCs w:val="20"/>
              </w:rPr>
              <w:t>2</w:t>
            </w:r>
            <w:r>
              <w:rPr>
                <w:i/>
                <w:sz w:val="20"/>
                <w:szCs w:val="20"/>
              </w:rPr>
              <w:t>,</w:t>
            </w:r>
            <w:r w:rsidRPr="008E0EE8">
              <w:rPr>
                <w:i/>
                <w:sz w:val="20"/>
                <w:szCs w:val="20"/>
              </w:rPr>
              <w:t>763</w:t>
            </w:r>
          </w:p>
        </w:tc>
      </w:tr>
      <w:tr w:rsidR="00E87CC7" w:rsidRPr="003F4B4A" w14:paraId="721C8D5F" w14:textId="77777777" w:rsidTr="00E87CC7">
        <w:trPr>
          <w:trHeight w:val="255"/>
        </w:trPr>
        <w:tc>
          <w:tcPr>
            <w:tcW w:w="1321" w:type="pct"/>
            <w:vMerge/>
            <w:hideMark/>
          </w:tcPr>
          <w:p w14:paraId="2F01457A" w14:textId="77777777" w:rsidR="00E87CC7" w:rsidRPr="003F4B4A" w:rsidRDefault="00E87CC7" w:rsidP="00286AB2">
            <w:pPr>
              <w:rPr>
                <w:b/>
                <w:bCs/>
                <w:sz w:val="20"/>
                <w:szCs w:val="20"/>
              </w:rPr>
            </w:pPr>
          </w:p>
        </w:tc>
        <w:tc>
          <w:tcPr>
            <w:tcW w:w="1798" w:type="pct"/>
          </w:tcPr>
          <w:p w14:paraId="5ED32D77" w14:textId="77777777" w:rsidR="00E87CC7" w:rsidRPr="0076042B" w:rsidRDefault="00E87CC7" w:rsidP="00286AB2">
            <w:pPr>
              <w:rPr>
                <w:bCs/>
                <w:i/>
                <w:sz w:val="20"/>
                <w:szCs w:val="20"/>
              </w:rPr>
            </w:pPr>
            <w:r w:rsidRPr="0076042B">
              <w:rPr>
                <w:bCs/>
                <w:i/>
                <w:sz w:val="20"/>
                <w:szCs w:val="20"/>
              </w:rPr>
              <w:t>Overseas</w:t>
            </w:r>
          </w:p>
        </w:tc>
        <w:tc>
          <w:tcPr>
            <w:tcW w:w="1881" w:type="pct"/>
            <w:tcBorders>
              <w:top w:val="single" w:sz="4" w:space="0" w:color="auto"/>
              <w:left w:val="nil"/>
              <w:bottom w:val="single" w:sz="4" w:space="0" w:color="auto"/>
              <w:right w:val="single" w:sz="4" w:space="0" w:color="auto"/>
            </w:tcBorders>
            <w:shd w:val="clear" w:color="auto" w:fill="auto"/>
            <w:vAlign w:val="bottom"/>
          </w:tcPr>
          <w:p w14:paraId="66840765" w14:textId="77777777" w:rsidR="00E87CC7" w:rsidRPr="008E0EE8" w:rsidRDefault="00E87CC7" w:rsidP="00286AB2">
            <w:pPr>
              <w:jc w:val="center"/>
              <w:rPr>
                <w:i/>
                <w:sz w:val="20"/>
                <w:szCs w:val="20"/>
              </w:rPr>
            </w:pPr>
            <w:r w:rsidRPr="008E0EE8">
              <w:rPr>
                <w:i/>
                <w:sz w:val="20"/>
                <w:szCs w:val="20"/>
              </w:rPr>
              <w:t>1</w:t>
            </w:r>
            <w:r>
              <w:rPr>
                <w:i/>
                <w:sz w:val="20"/>
                <w:szCs w:val="20"/>
              </w:rPr>
              <w:t>,</w:t>
            </w:r>
            <w:r w:rsidRPr="008E0EE8">
              <w:rPr>
                <w:i/>
                <w:sz w:val="20"/>
                <w:szCs w:val="20"/>
              </w:rPr>
              <w:t>691</w:t>
            </w:r>
          </w:p>
        </w:tc>
      </w:tr>
      <w:tr w:rsidR="00E87CC7" w:rsidRPr="003F4B4A" w14:paraId="3E284B83" w14:textId="77777777" w:rsidTr="00E87CC7">
        <w:trPr>
          <w:trHeight w:val="255"/>
        </w:trPr>
        <w:tc>
          <w:tcPr>
            <w:tcW w:w="1321" w:type="pct"/>
            <w:vMerge/>
          </w:tcPr>
          <w:p w14:paraId="4C6873FE" w14:textId="77777777" w:rsidR="00E87CC7" w:rsidRPr="003F4B4A" w:rsidRDefault="00E87CC7" w:rsidP="00286AB2">
            <w:pPr>
              <w:rPr>
                <w:b/>
                <w:bCs/>
                <w:sz w:val="20"/>
                <w:szCs w:val="20"/>
              </w:rPr>
            </w:pPr>
          </w:p>
        </w:tc>
        <w:tc>
          <w:tcPr>
            <w:tcW w:w="1798" w:type="pct"/>
          </w:tcPr>
          <w:p w14:paraId="5E36A220" w14:textId="77777777" w:rsidR="00E87CC7" w:rsidRPr="0076042B" w:rsidRDefault="00E87CC7" w:rsidP="00286AB2">
            <w:pPr>
              <w:rPr>
                <w:b/>
                <w:bCs/>
                <w:sz w:val="20"/>
                <w:szCs w:val="20"/>
              </w:rPr>
            </w:pPr>
            <w:r w:rsidRPr="0076042B">
              <w:rPr>
                <w:b/>
                <w:bCs/>
                <w:sz w:val="20"/>
                <w:szCs w:val="20"/>
              </w:rPr>
              <w:t>Total</w:t>
            </w:r>
          </w:p>
        </w:tc>
        <w:tc>
          <w:tcPr>
            <w:tcW w:w="1881" w:type="pct"/>
            <w:tcBorders>
              <w:top w:val="single" w:sz="4" w:space="0" w:color="auto"/>
              <w:left w:val="nil"/>
              <w:bottom w:val="single" w:sz="4" w:space="0" w:color="auto"/>
              <w:right w:val="single" w:sz="4" w:space="0" w:color="auto"/>
            </w:tcBorders>
            <w:shd w:val="clear" w:color="000000" w:fill="FFFFFF"/>
            <w:vAlign w:val="bottom"/>
          </w:tcPr>
          <w:p w14:paraId="70F69112" w14:textId="77777777" w:rsidR="00E87CC7" w:rsidRPr="008E0EE8" w:rsidRDefault="00E87CC7" w:rsidP="00286AB2">
            <w:pPr>
              <w:jc w:val="center"/>
              <w:rPr>
                <w:b/>
                <w:sz w:val="20"/>
                <w:szCs w:val="20"/>
              </w:rPr>
            </w:pPr>
            <w:r w:rsidRPr="008E0EE8">
              <w:rPr>
                <w:b/>
                <w:sz w:val="20"/>
                <w:szCs w:val="20"/>
              </w:rPr>
              <w:t>12,750</w:t>
            </w:r>
          </w:p>
        </w:tc>
      </w:tr>
      <w:tr w:rsidR="00E87CC7" w:rsidRPr="003F4B4A" w14:paraId="4A391563" w14:textId="77777777" w:rsidTr="00E87CC7">
        <w:trPr>
          <w:trHeight w:val="20"/>
        </w:trPr>
        <w:tc>
          <w:tcPr>
            <w:tcW w:w="1321" w:type="pct"/>
            <w:shd w:val="clear" w:color="auto" w:fill="D9E2F3" w:themeFill="accent1" w:themeFillTint="33"/>
            <w:noWrap/>
            <w:hideMark/>
          </w:tcPr>
          <w:p w14:paraId="2AE5B0B1" w14:textId="77777777" w:rsidR="00E87CC7" w:rsidRPr="003F4B4A" w:rsidRDefault="00E87CC7" w:rsidP="00286AB2">
            <w:pPr>
              <w:rPr>
                <w:b/>
                <w:bCs/>
                <w:sz w:val="6"/>
                <w:szCs w:val="6"/>
              </w:rPr>
            </w:pPr>
            <w:r w:rsidRPr="003F4B4A">
              <w:rPr>
                <w:b/>
                <w:bCs/>
                <w:sz w:val="6"/>
                <w:szCs w:val="6"/>
              </w:rPr>
              <w:t> </w:t>
            </w:r>
          </w:p>
        </w:tc>
        <w:tc>
          <w:tcPr>
            <w:tcW w:w="1798" w:type="pct"/>
            <w:shd w:val="clear" w:color="auto" w:fill="D9E2F3" w:themeFill="accent1" w:themeFillTint="33"/>
          </w:tcPr>
          <w:p w14:paraId="48B83072" w14:textId="77777777" w:rsidR="00E87CC7" w:rsidRPr="003F4B4A" w:rsidRDefault="00E87CC7" w:rsidP="00286AB2">
            <w:pPr>
              <w:rPr>
                <w:bCs/>
                <w:sz w:val="6"/>
                <w:szCs w:val="6"/>
              </w:rPr>
            </w:pPr>
          </w:p>
        </w:tc>
        <w:tc>
          <w:tcPr>
            <w:tcW w:w="1881" w:type="pct"/>
            <w:shd w:val="clear" w:color="auto" w:fill="D9E2F3" w:themeFill="accent1" w:themeFillTint="33"/>
          </w:tcPr>
          <w:p w14:paraId="5D275D74" w14:textId="77777777" w:rsidR="00E87CC7" w:rsidRPr="003F4B4A" w:rsidRDefault="00E87CC7" w:rsidP="00286AB2">
            <w:pPr>
              <w:jc w:val="center"/>
              <w:rPr>
                <w:sz w:val="6"/>
                <w:szCs w:val="6"/>
              </w:rPr>
            </w:pPr>
          </w:p>
        </w:tc>
      </w:tr>
      <w:tr w:rsidR="00E87CC7" w:rsidRPr="003F4B4A" w14:paraId="7A5A9A6C" w14:textId="77777777" w:rsidTr="00E87CC7">
        <w:trPr>
          <w:trHeight w:val="255"/>
        </w:trPr>
        <w:tc>
          <w:tcPr>
            <w:tcW w:w="1321" w:type="pct"/>
            <w:vMerge w:val="restart"/>
            <w:noWrap/>
            <w:hideMark/>
          </w:tcPr>
          <w:p w14:paraId="0AF66689" w14:textId="77777777" w:rsidR="00E87CC7" w:rsidRPr="003F4B4A" w:rsidRDefault="00E87CC7" w:rsidP="00286AB2">
            <w:pPr>
              <w:rPr>
                <w:b/>
                <w:bCs/>
                <w:sz w:val="20"/>
                <w:szCs w:val="20"/>
              </w:rPr>
            </w:pPr>
            <w:r w:rsidRPr="003F4B4A">
              <w:rPr>
                <w:b/>
                <w:bCs/>
                <w:sz w:val="20"/>
                <w:szCs w:val="20"/>
              </w:rPr>
              <w:t>Net-migration</w:t>
            </w:r>
          </w:p>
        </w:tc>
        <w:tc>
          <w:tcPr>
            <w:tcW w:w="1798" w:type="pct"/>
          </w:tcPr>
          <w:p w14:paraId="29C85B01" w14:textId="77777777" w:rsidR="00E87CC7" w:rsidRPr="0076042B" w:rsidRDefault="00E87CC7" w:rsidP="00286AB2">
            <w:pPr>
              <w:rPr>
                <w:bCs/>
                <w:i/>
                <w:sz w:val="20"/>
                <w:szCs w:val="20"/>
              </w:rPr>
            </w:pPr>
            <w:r w:rsidRPr="0076042B">
              <w:rPr>
                <w:bCs/>
                <w:i/>
                <w:sz w:val="20"/>
                <w:szCs w:val="20"/>
              </w:rPr>
              <w:t>Within Scotland</w:t>
            </w:r>
          </w:p>
        </w:tc>
        <w:tc>
          <w:tcPr>
            <w:tcW w:w="1881" w:type="pct"/>
            <w:tcBorders>
              <w:top w:val="single" w:sz="4" w:space="0" w:color="auto"/>
              <w:left w:val="nil"/>
              <w:bottom w:val="single" w:sz="4" w:space="0" w:color="auto"/>
              <w:right w:val="single" w:sz="4" w:space="0" w:color="auto"/>
            </w:tcBorders>
            <w:shd w:val="clear" w:color="000000" w:fill="FFFFFF"/>
            <w:vAlign w:val="bottom"/>
          </w:tcPr>
          <w:p w14:paraId="065808EA" w14:textId="77777777" w:rsidR="00E87CC7" w:rsidRPr="008E0EE8" w:rsidRDefault="00E87CC7" w:rsidP="00286AB2">
            <w:pPr>
              <w:jc w:val="center"/>
              <w:rPr>
                <w:i/>
                <w:sz w:val="20"/>
                <w:szCs w:val="20"/>
              </w:rPr>
            </w:pPr>
            <w:r w:rsidRPr="008E0EE8">
              <w:rPr>
                <w:i/>
                <w:sz w:val="20"/>
                <w:szCs w:val="20"/>
              </w:rPr>
              <w:t>-2,222</w:t>
            </w:r>
          </w:p>
        </w:tc>
      </w:tr>
      <w:tr w:rsidR="00E87CC7" w:rsidRPr="003F4B4A" w14:paraId="1E1CB966" w14:textId="77777777" w:rsidTr="00E87CC7">
        <w:trPr>
          <w:trHeight w:val="255"/>
        </w:trPr>
        <w:tc>
          <w:tcPr>
            <w:tcW w:w="1321" w:type="pct"/>
            <w:vMerge/>
            <w:hideMark/>
          </w:tcPr>
          <w:p w14:paraId="00E321E4" w14:textId="77777777" w:rsidR="00E87CC7" w:rsidRPr="003F4B4A" w:rsidRDefault="00E87CC7" w:rsidP="00286AB2">
            <w:pPr>
              <w:rPr>
                <w:bCs/>
                <w:sz w:val="20"/>
                <w:szCs w:val="20"/>
              </w:rPr>
            </w:pPr>
          </w:p>
        </w:tc>
        <w:tc>
          <w:tcPr>
            <w:tcW w:w="1798" w:type="pct"/>
          </w:tcPr>
          <w:p w14:paraId="2497D6A9" w14:textId="77777777" w:rsidR="00E87CC7" w:rsidRPr="0076042B" w:rsidRDefault="00E87CC7" w:rsidP="00286AB2">
            <w:pPr>
              <w:rPr>
                <w:bCs/>
                <w:i/>
                <w:sz w:val="20"/>
                <w:szCs w:val="20"/>
              </w:rPr>
            </w:pPr>
            <w:r w:rsidRPr="0076042B">
              <w:rPr>
                <w:bCs/>
                <w:i/>
                <w:sz w:val="20"/>
                <w:szCs w:val="20"/>
              </w:rPr>
              <w:t>Rest of UK</w:t>
            </w:r>
          </w:p>
        </w:tc>
        <w:tc>
          <w:tcPr>
            <w:tcW w:w="1881" w:type="pct"/>
            <w:tcBorders>
              <w:top w:val="single" w:sz="4" w:space="0" w:color="auto"/>
              <w:left w:val="nil"/>
              <w:bottom w:val="single" w:sz="4" w:space="0" w:color="auto"/>
              <w:right w:val="single" w:sz="4" w:space="0" w:color="auto"/>
            </w:tcBorders>
            <w:shd w:val="clear" w:color="000000" w:fill="FFFFFF"/>
            <w:vAlign w:val="bottom"/>
          </w:tcPr>
          <w:p w14:paraId="7012D906" w14:textId="77777777" w:rsidR="00E87CC7" w:rsidRPr="008E0EE8" w:rsidRDefault="00E87CC7" w:rsidP="00286AB2">
            <w:pPr>
              <w:jc w:val="center"/>
              <w:rPr>
                <w:i/>
                <w:sz w:val="20"/>
                <w:szCs w:val="20"/>
              </w:rPr>
            </w:pPr>
            <w:r w:rsidRPr="008E0EE8">
              <w:rPr>
                <w:i/>
                <w:sz w:val="20"/>
                <w:szCs w:val="20"/>
              </w:rPr>
              <w:t>-685</w:t>
            </w:r>
          </w:p>
        </w:tc>
      </w:tr>
      <w:tr w:rsidR="00E87CC7" w:rsidRPr="003F4B4A" w14:paraId="27B9E4CF" w14:textId="77777777" w:rsidTr="00E87CC7">
        <w:trPr>
          <w:trHeight w:val="255"/>
        </w:trPr>
        <w:tc>
          <w:tcPr>
            <w:tcW w:w="1321" w:type="pct"/>
            <w:vMerge/>
            <w:hideMark/>
          </w:tcPr>
          <w:p w14:paraId="4F0143D0" w14:textId="77777777" w:rsidR="00E87CC7" w:rsidRPr="003F4B4A" w:rsidRDefault="00E87CC7" w:rsidP="00286AB2">
            <w:pPr>
              <w:rPr>
                <w:bCs/>
                <w:sz w:val="20"/>
                <w:szCs w:val="20"/>
              </w:rPr>
            </w:pPr>
          </w:p>
        </w:tc>
        <w:tc>
          <w:tcPr>
            <w:tcW w:w="1798" w:type="pct"/>
            <w:hideMark/>
          </w:tcPr>
          <w:p w14:paraId="7E936085" w14:textId="77777777" w:rsidR="00E87CC7" w:rsidRPr="0076042B" w:rsidRDefault="00E87CC7" w:rsidP="00286AB2">
            <w:pPr>
              <w:rPr>
                <w:bCs/>
                <w:i/>
                <w:sz w:val="20"/>
                <w:szCs w:val="20"/>
              </w:rPr>
            </w:pPr>
            <w:r w:rsidRPr="0076042B">
              <w:rPr>
                <w:bCs/>
                <w:i/>
                <w:sz w:val="20"/>
                <w:szCs w:val="20"/>
              </w:rPr>
              <w:t>Overseas</w:t>
            </w:r>
          </w:p>
        </w:tc>
        <w:tc>
          <w:tcPr>
            <w:tcW w:w="1881" w:type="pct"/>
            <w:tcBorders>
              <w:top w:val="single" w:sz="4" w:space="0" w:color="auto"/>
              <w:left w:val="nil"/>
              <w:bottom w:val="single" w:sz="4" w:space="0" w:color="auto"/>
              <w:right w:val="single" w:sz="4" w:space="0" w:color="auto"/>
            </w:tcBorders>
            <w:shd w:val="clear" w:color="000000" w:fill="FFFFFF"/>
            <w:vAlign w:val="bottom"/>
          </w:tcPr>
          <w:p w14:paraId="76EAC5F9" w14:textId="77777777" w:rsidR="00E87CC7" w:rsidRPr="008E0EE8" w:rsidRDefault="00E87CC7" w:rsidP="00286AB2">
            <w:pPr>
              <w:jc w:val="center"/>
              <w:rPr>
                <w:i/>
                <w:sz w:val="20"/>
                <w:szCs w:val="20"/>
              </w:rPr>
            </w:pPr>
            <w:r w:rsidRPr="008E0EE8">
              <w:rPr>
                <w:i/>
                <w:sz w:val="20"/>
                <w:szCs w:val="20"/>
              </w:rPr>
              <w:t>1,491</w:t>
            </w:r>
          </w:p>
        </w:tc>
      </w:tr>
      <w:tr w:rsidR="00E87CC7" w:rsidRPr="003F4B4A" w14:paraId="54302E5F" w14:textId="77777777" w:rsidTr="00E87CC7">
        <w:trPr>
          <w:trHeight w:val="255"/>
        </w:trPr>
        <w:tc>
          <w:tcPr>
            <w:tcW w:w="1321" w:type="pct"/>
            <w:vMerge/>
            <w:hideMark/>
          </w:tcPr>
          <w:p w14:paraId="218B9CB6" w14:textId="77777777" w:rsidR="00E87CC7" w:rsidRPr="003F4B4A" w:rsidRDefault="00E87CC7" w:rsidP="00286AB2">
            <w:pPr>
              <w:rPr>
                <w:bCs/>
                <w:sz w:val="20"/>
                <w:szCs w:val="20"/>
              </w:rPr>
            </w:pPr>
          </w:p>
        </w:tc>
        <w:tc>
          <w:tcPr>
            <w:tcW w:w="1798" w:type="pct"/>
          </w:tcPr>
          <w:p w14:paraId="0407BED9" w14:textId="77777777" w:rsidR="00E87CC7" w:rsidRPr="0076042B" w:rsidRDefault="00E87CC7" w:rsidP="00286AB2">
            <w:pPr>
              <w:rPr>
                <w:b/>
                <w:bCs/>
                <w:sz w:val="20"/>
                <w:szCs w:val="20"/>
              </w:rPr>
            </w:pPr>
            <w:r w:rsidRPr="0076042B">
              <w:rPr>
                <w:b/>
                <w:bCs/>
                <w:sz w:val="20"/>
                <w:szCs w:val="20"/>
              </w:rPr>
              <w:t>Total</w:t>
            </w:r>
          </w:p>
        </w:tc>
        <w:tc>
          <w:tcPr>
            <w:tcW w:w="1881" w:type="pct"/>
            <w:tcBorders>
              <w:top w:val="single" w:sz="4" w:space="0" w:color="auto"/>
              <w:left w:val="nil"/>
              <w:bottom w:val="single" w:sz="4" w:space="0" w:color="auto"/>
              <w:right w:val="single" w:sz="4" w:space="0" w:color="auto"/>
            </w:tcBorders>
            <w:shd w:val="clear" w:color="000000" w:fill="FFFFFF"/>
            <w:vAlign w:val="bottom"/>
          </w:tcPr>
          <w:p w14:paraId="38313E4F" w14:textId="77777777" w:rsidR="00E87CC7" w:rsidRPr="008E0EE8" w:rsidRDefault="00E87CC7" w:rsidP="00286AB2">
            <w:pPr>
              <w:jc w:val="center"/>
              <w:rPr>
                <w:b/>
                <w:sz w:val="20"/>
                <w:szCs w:val="20"/>
              </w:rPr>
            </w:pPr>
            <w:r w:rsidRPr="008E0EE8">
              <w:rPr>
                <w:b/>
                <w:sz w:val="20"/>
                <w:szCs w:val="20"/>
              </w:rPr>
              <w:t>-1,416</w:t>
            </w:r>
          </w:p>
        </w:tc>
      </w:tr>
    </w:tbl>
    <w:p w14:paraId="576FCBE6" w14:textId="6C2FA9A3" w:rsidR="00E87CC7" w:rsidRDefault="00E87CC7" w:rsidP="00E87CC7">
      <w:pPr>
        <w:rPr>
          <w:rStyle w:val="Hyperlink"/>
          <w:sz w:val="16"/>
          <w:szCs w:val="16"/>
        </w:rPr>
      </w:pPr>
      <w:r w:rsidRPr="008E0EE8">
        <w:rPr>
          <w:sz w:val="16"/>
          <w:szCs w:val="16"/>
        </w:rPr>
        <w:t xml:space="preserve">Source: National Records of Scotland, Mid-2017 Population Estimates, Scotland, available at: </w:t>
      </w:r>
      <w:hyperlink r:id="rId38" w:history="1">
        <w:r w:rsidRPr="008E0EE8">
          <w:rPr>
            <w:rStyle w:val="Hyperlink"/>
            <w:sz w:val="16"/>
            <w:szCs w:val="16"/>
          </w:rPr>
          <w:t>https://www.nrscotland.gov.uk/statistics-and-data/statistics/statistics-by-theme/population/population-estimates/mid-year-population-estimates/mid-2017/list-of-figures</w:t>
        </w:r>
      </w:hyperlink>
    </w:p>
    <w:p w14:paraId="7FEB12ED" w14:textId="77777777" w:rsidR="00615002" w:rsidRDefault="00615002" w:rsidP="00E87CC7"/>
    <w:p w14:paraId="29F9F632" w14:textId="79C46F34" w:rsidR="00E87CC7" w:rsidRDefault="00E87CC7" w:rsidP="00E87CC7">
      <w:r>
        <w:t>The figure below shows</w:t>
      </w:r>
      <w:r w:rsidRPr="00BF7581">
        <w:t xml:space="preserve"> the contribution of different components of </w:t>
      </w:r>
      <w:r w:rsidRPr="00BF7581">
        <w:rPr>
          <w:b/>
        </w:rPr>
        <w:t>net</w:t>
      </w:r>
      <w:r w:rsidRPr="00BF7581">
        <w:t xml:space="preserve"> migration </w:t>
      </w:r>
      <w:r>
        <w:t>to</w:t>
      </w:r>
      <w:r w:rsidRPr="00BF7581">
        <w:t xml:space="preserve"> Aberdeen City for 2011-2012 to 201</w:t>
      </w:r>
      <w:r>
        <w:t>6</w:t>
      </w:r>
      <w:r w:rsidRPr="00BF7581">
        <w:t>-1</w:t>
      </w:r>
      <w:r>
        <w:t>7</w:t>
      </w:r>
      <w:r w:rsidRPr="00BF7581">
        <w:t>.  The chart shows the changing patterns of net migration</w:t>
      </w:r>
      <w:r>
        <w:t xml:space="preserve">, </w:t>
      </w:r>
      <w:r w:rsidRPr="00BF7581">
        <w:t xml:space="preserve">in particular it highlights the </w:t>
      </w:r>
      <w:r>
        <w:t>increased</w:t>
      </w:r>
      <w:r w:rsidRPr="00BF7581">
        <w:t xml:space="preserve"> levels of negative net migration from Aberdeen to other areas of Scotland in </w:t>
      </w:r>
      <w:r>
        <w:t>recent years</w:t>
      </w:r>
      <w:r w:rsidRPr="00BF7581">
        <w:t xml:space="preserve">. </w:t>
      </w:r>
      <w:r>
        <w:t xml:space="preserve"> It also shows that levels of net overseas migration, while still positive, have more than halved since their peak in 2014-2015.</w:t>
      </w:r>
    </w:p>
    <w:p w14:paraId="7566A837" w14:textId="77777777" w:rsidR="00E87CC7" w:rsidRPr="00BF7581" w:rsidRDefault="00E87CC7" w:rsidP="00E87CC7"/>
    <w:p w14:paraId="7E502DD4" w14:textId="5604664E" w:rsidR="00E87CC7" w:rsidRPr="00E1132B" w:rsidRDefault="00E87CC7" w:rsidP="005B7974">
      <w:pPr>
        <w:tabs>
          <w:tab w:val="right" w:pos="9026"/>
        </w:tabs>
        <w:rPr>
          <w:b/>
        </w:rPr>
      </w:pPr>
      <w:r w:rsidRPr="00E1132B">
        <w:rPr>
          <w:b/>
        </w:rPr>
        <w:t>Components of net migration, Aberdeen City, mid 2011-2012 to mid 201</w:t>
      </w:r>
      <w:r>
        <w:rPr>
          <w:b/>
        </w:rPr>
        <w:t>6</w:t>
      </w:r>
      <w:r w:rsidRPr="00E1132B">
        <w:rPr>
          <w:b/>
        </w:rPr>
        <w:t>-201</w:t>
      </w:r>
      <w:r>
        <w:rPr>
          <w:b/>
        </w:rPr>
        <w:t>7</w:t>
      </w:r>
      <w:r w:rsidR="005B7974">
        <w:rPr>
          <w:b/>
        </w:rPr>
        <w:tab/>
      </w:r>
    </w:p>
    <w:p w14:paraId="64FB14ED" w14:textId="77777777" w:rsidR="00E87CC7" w:rsidRPr="00BF7581" w:rsidRDefault="00E87CC7" w:rsidP="00E87CC7">
      <w:r>
        <w:rPr>
          <w:noProof/>
        </w:rPr>
        <w:drawing>
          <wp:inline distT="0" distB="0" distL="0" distR="0" wp14:anchorId="3DFE3445" wp14:editId="6C673A28">
            <wp:extent cx="5222875" cy="2487168"/>
            <wp:effectExtent l="0" t="0" r="15875" b="8890"/>
            <wp:docPr id="95" name="Chart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5F69328" w14:textId="7B8BD363" w:rsidR="00E87CC7" w:rsidRDefault="00E87CC7" w:rsidP="00E87CC7">
      <w:pPr>
        <w:pStyle w:val="ListParagraph"/>
        <w:rPr>
          <w:rStyle w:val="Hyperlink"/>
          <w:sz w:val="16"/>
          <w:szCs w:val="16"/>
        </w:rPr>
      </w:pPr>
      <w:r>
        <w:rPr>
          <w:sz w:val="16"/>
          <w:szCs w:val="16"/>
        </w:rPr>
        <w:t xml:space="preserve"> </w:t>
      </w:r>
      <w:r w:rsidRPr="00E1132B">
        <w:rPr>
          <w:sz w:val="16"/>
          <w:szCs w:val="16"/>
        </w:rPr>
        <w:t xml:space="preserve">Source: National Records of Scotland, Mid-year Population Estimates, Scotland, available at: </w:t>
      </w:r>
      <w:hyperlink r:id="rId40" w:history="1">
        <w:r w:rsidRPr="00E1132B">
          <w:rPr>
            <w:rStyle w:val="Hyperlink"/>
            <w:sz w:val="16"/>
            <w:szCs w:val="16"/>
          </w:rPr>
          <w:t>https://www.nrscotland.gov.uk/statistics-and-data/statistics/statistics-by-theme/population/population-estimates/mid-year-population-estimates</w:t>
        </w:r>
      </w:hyperlink>
    </w:p>
    <w:p w14:paraId="470F5E7D" w14:textId="77777777" w:rsidR="00E87CC7" w:rsidRDefault="00E87CC7" w:rsidP="00E87CC7">
      <w:pPr>
        <w:pStyle w:val="ListParagraph"/>
        <w:rPr>
          <w:b/>
        </w:rPr>
      </w:pPr>
    </w:p>
    <w:p w14:paraId="0E69F14B" w14:textId="6B0DB782" w:rsidR="00F479D6" w:rsidRDefault="003471B4" w:rsidP="003471B4">
      <w:pPr>
        <w:pStyle w:val="Heading2"/>
        <w:numPr>
          <w:ilvl w:val="1"/>
          <w:numId w:val="4"/>
        </w:numPr>
        <w:spacing w:after="240"/>
      </w:pPr>
      <w:bookmarkStart w:id="19" w:name="_Toc519088555"/>
      <w:bookmarkStart w:id="20" w:name="_Hlk516755804"/>
      <w:r>
        <w:lastRenderedPageBreak/>
        <w:t>Population projections</w:t>
      </w:r>
      <w:bookmarkEnd w:id="19"/>
    </w:p>
    <w:p w14:paraId="3202D4C6" w14:textId="471C7163" w:rsidR="005B7974" w:rsidRPr="00FC6409" w:rsidRDefault="00FC6409" w:rsidP="005B7974">
      <w:pPr>
        <w:pStyle w:val="ListParagraph"/>
      </w:pPr>
      <w:r>
        <w:t xml:space="preserve">By 2026 the population in Aberdeen City is projected to increase by </w:t>
      </w:r>
      <w:r w:rsidRPr="00FC6409">
        <w:rPr>
          <w:b/>
        </w:rPr>
        <w:t>3.2%</w:t>
      </w:r>
      <w:r w:rsidRPr="00FC6409">
        <w:t xml:space="preserve"> from 229,840 in 2016 to </w:t>
      </w:r>
      <w:r w:rsidRPr="00FC6409">
        <w:rPr>
          <w:b/>
        </w:rPr>
        <w:t>237,169</w:t>
      </w:r>
      <w:r w:rsidRPr="00FC6409">
        <w:t xml:space="preserve"> in 2026.</w:t>
      </w:r>
      <w:r>
        <w:t xml:space="preserve">  The rate of increase in Aberdeen is the same as that for Scotland as a whole.  </w:t>
      </w:r>
      <w:r w:rsidR="00DE5426">
        <w:t>(Note: NRS now tend to focus on 10-year projections rather than 25-year projections as these are more stable, and also new projections are released every two years).</w:t>
      </w:r>
    </w:p>
    <w:p w14:paraId="7DCF81F8" w14:textId="1A4E1885" w:rsidR="00FC6409" w:rsidRPr="00FC6409" w:rsidRDefault="00FC6409" w:rsidP="005B7974">
      <w:pPr>
        <w:spacing w:before="240" w:line="276" w:lineRule="auto"/>
        <w:rPr>
          <w:rFonts w:ascii="Calibri" w:eastAsia="Calibri" w:hAnsi="Calibri" w:cs="Times New Roman"/>
        </w:rPr>
      </w:pPr>
      <w:r w:rsidRPr="00FC6409">
        <w:rPr>
          <w:rFonts w:ascii="Calibri" w:eastAsia="Calibri" w:hAnsi="Calibri" w:cs="Times New Roman"/>
          <w:b/>
        </w:rPr>
        <w:t xml:space="preserve">Projected change by gender:  </w:t>
      </w:r>
      <w:r w:rsidRPr="00FC6409">
        <w:rPr>
          <w:rFonts w:ascii="Calibri" w:eastAsia="Calibri" w:hAnsi="Calibri" w:cs="Times New Roman"/>
        </w:rPr>
        <w:t>the projected increase is higher for males (4.2%) than for females (2.2%).  This would mean that by 2026, the number of males in Aberdeen City would, in contrast to recent trends, be higher than the number of females.</w:t>
      </w:r>
    </w:p>
    <w:bookmarkEnd w:id="20"/>
    <w:p w14:paraId="1CBA0CB2" w14:textId="77777777" w:rsidR="00FC6409" w:rsidRPr="005B7974" w:rsidRDefault="00FC6409" w:rsidP="00FC6409">
      <w:pPr>
        <w:spacing w:line="276" w:lineRule="auto"/>
        <w:rPr>
          <w:rFonts w:ascii="Calibri" w:eastAsia="Calibri" w:hAnsi="Calibri" w:cs="Times New Roman"/>
          <w:sz w:val="16"/>
          <w:szCs w:val="16"/>
        </w:rPr>
      </w:pPr>
    </w:p>
    <w:p w14:paraId="2CCC0B8C" w14:textId="77777777" w:rsidR="00FC6409" w:rsidRPr="00FC6409" w:rsidRDefault="00FC6409" w:rsidP="00FC6409">
      <w:pPr>
        <w:spacing w:line="276" w:lineRule="auto"/>
        <w:rPr>
          <w:rFonts w:ascii="Calibri" w:eastAsia="Calibri" w:hAnsi="Calibri" w:cs="Times New Roman"/>
          <w:b/>
        </w:rPr>
      </w:pPr>
      <w:r w:rsidRPr="00FC6409">
        <w:rPr>
          <w:rFonts w:ascii="Calibri" w:eastAsia="Calibri" w:hAnsi="Calibri" w:cs="Times New Roman"/>
          <w:noProof/>
          <w:lang w:eastAsia="en-GB"/>
        </w:rPr>
        <w:drawing>
          <wp:inline distT="0" distB="0" distL="0" distR="0" wp14:anchorId="37FC2EFF" wp14:editId="3A14A1B9">
            <wp:extent cx="5156835" cy="2048256"/>
            <wp:effectExtent l="0" t="0" r="5715" b="9525"/>
            <wp:docPr id="7" name="Chart 7">
              <a:extLst xmlns:a="http://schemas.openxmlformats.org/drawingml/2006/main">
                <a:ext uri="{FF2B5EF4-FFF2-40B4-BE49-F238E27FC236}">
                  <a16:creationId xmlns:a16="http://schemas.microsoft.com/office/drawing/2014/main" id="{DE7BEBD7-D6E3-4515-941E-EBB3B994E9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AE3B893" w14:textId="7B907C6F" w:rsidR="00FC6409" w:rsidRPr="00FC6409" w:rsidRDefault="00FC6409" w:rsidP="00FC6409">
      <w:pPr>
        <w:spacing w:line="276" w:lineRule="auto"/>
        <w:rPr>
          <w:rFonts w:ascii="Calibri" w:eastAsia="Calibri" w:hAnsi="Calibri" w:cs="Times New Roman"/>
          <w:sz w:val="16"/>
          <w:szCs w:val="16"/>
        </w:rPr>
      </w:pPr>
      <w:r w:rsidRPr="00FC6409">
        <w:rPr>
          <w:rFonts w:ascii="Calibri" w:eastAsia="Calibri" w:hAnsi="Calibri" w:cs="Times New Roman"/>
          <w:sz w:val="16"/>
          <w:szCs w:val="16"/>
        </w:rPr>
        <w:t xml:space="preserve">Source: National Records of Scotland, Population projections for Scottish Areas </w:t>
      </w:r>
      <w:r w:rsidR="00110693">
        <w:rPr>
          <w:rFonts w:ascii="Calibri" w:eastAsia="Calibri" w:hAnsi="Calibri" w:cs="Times New Roman"/>
          <w:sz w:val="16"/>
          <w:szCs w:val="16"/>
        </w:rPr>
        <w:t>(</w:t>
      </w:r>
      <w:r w:rsidRPr="00FC6409">
        <w:rPr>
          <w:rFonts w:ascii="Calibri" w:eastAsia="Calibri" w:hAnsi="Calibri" w:cs="Times New Roman"/>
          <w:sz w:val="16"/>
          <w:szCs w:val="16"/>
        </w:rPr>
        <w:t>2016-based)</w:t>
      </w:r>
    </w:p>
    <w:p w14:paraId="6F4CC853" w14:textId="77777777" w:rsidR="00072678" w:rsidRDefault="00072678" w:rsidP="00673458">
      <w:pPr>
        <w:pStyle w:val="ListParagraph"/>
        <w:rPr>
          <w:b/>
        </w:rPr>
      </w:pPr>
    </w:p>
    <w:p w14:paraId="741AD8B1" w14:textId="32F154BE" w:rsidR="00341495" w:rsidRDefault="00F24151" w:rsidP="00673458">
      <w:pPr>
        <w:pStyle w:val="ListParagraph"/>
      </w:pPr>
      <w:r w:rsidRPr="00F24151">
        <w:rPr>
          <w:b/>
        </w:rPr>
        <w:t xml:space="preserve">Projected change by age group:  </w:t>
      </w:r>
      <w:r>
        <w:t>the projected change is not consistent across all age groups</w:t>
      </w:r>
      <w:r w:rsidR="00673458">
        <w:t>.</w:t>
      </w:r>
      <w:r>
        <w:t xml:space="preserve"> </w:t>
      </w:r>
      <w:r w:rsidR="00110693">
        <w:t>Continuing the trends of the past 30 years, b</w:t>
      </w:r>
      <w:r w:rsidR="00673458" w:rsidRPr="00673458">
        <w:t xml:space="preserve">etween 2016 and 2026, the 16 to 24 age group is projected to see the largest percentage decrease (-10.7%) and the 75 and over age group is projected to see the largest percentage increase (+15.5%). In terms of size, however, 25 to 44 </w:t>
      </w:r>
      <w:r w:rsidR="00056145">
        <w:t xml:space="preserve">years </w:t>
      </w:r>
      <w:r w:rsidR="00673458" w:rsidRPr="00673458">
        <w:t>is projected to remain the largest age group</w:t>
      </w:r>
      <w:r w:rsidR="00673458">
        <w:t xml:space="preserve"> with the 75+ years group projected to remain the smallest group. </w:t>
      </w:r>
    </w:p>
    <w:p w14:paraId="18269397" w14:textId="44F7F669" w:rsidR="00F7668B" w:rsidRPr="00673458" w:rsidRDefault="00F7668B" w:rsidP="00673458">
      <w:pPr>
        <w:pStyle w:val="ListParagraph"/>
      </w:pPr>
    </w:p>
    <w:p w14:paraId="48419043" w14:textId="4BB0A527" w:rsidR="00341495" w:rsidRDefault="00F24151" w:rsidP="00110693">
      <w:pPr>
        <w:pStyle w:val="ListParagraph"/>
        <w:rPr>
          <w:b/>
        </w:rPr>
      </w:pPr>
      <w:r w:rsidRPr="00F24151">
        <w:rPr>
          <w:b/>
        </w:rPr>
        <w:lastRenderedPageBreak/>
        <w:t>Figure 2.6: Projected population change by age group, Aberdeen City, 2016-2026</w:t>
      </w:r>
      <w:r w:rsidR="00341495">
        <w:rPr>
          <w:noProof/>
        </w:rPr>
        <w:drawing>
          <wp:inline distT="0" distB="0" distL="0" distR="0" wp14:anchorId="59CF9755" wp14:editId="77DA653A">
            <wp:extent cx="5273675" cy="2823667"/>
            <wp:effectExtent l="0" t="0" r="3175" b="15240"/>
            <wp:docPr id="12" name="Chart 12">
              <a:extLst xmlns:a="http://schemas.openxmlformats.org/drawingml/2006/main">
                <a:ext uri="{FF2B5EF4-FFF2-40B4-BE49-F238E27FC236}">
                  <a16:creationId xmlns:a16="http://schemas.microsoft.com/office/drawing/2014/main" id="{3B9BAF26-FBF7-40E2-9337-BF095CDCBC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77815B2" w14:textId="77777777" w:rsidR="00110693" w:rsidRPr="00FC6409" w:rsidRDefault="00110693" w:rsidP="00110693">
      <w:pPr>
        <w:spacing w:line="276" w:lineRule="auto"/>
        <w:rPr>
          <w:rFonts w:ascii="Calibri" w:eastAsia="Calibri" w:hAnsi="Calibri" w:cs="Times New Roman"/>
          <w:sz w:val="16"/>
          <w:szCs w:val="16"/>
        </w:rPr>
      </w:pPr>
      <w:r w:rsidRPr="00FC6409">
        <w:rPr>
          <w:rFonts w:ascii="Calibri" w:eastAsia="Calibri" w:hAnsi="Calibri" w:cs="Times New Roman"/>
          <w:sz w:val="16"/>
          <w:szCs w:val="16"/>
        </w:rPr>
        <w:t xml:space="preserve">Source: National Records of Scotland, Population projections for Scottish Areas </w:t>
      </w:r>
      <w:r>
        <w:rPr>
          <w:rFonts w:ascii="Calibri" w:eastAsia="Calibri" w:hAnsi="Calibri" w:cs="Times New Roman"/>
          <w:sz w:val="16"/>
          <w:szCs w:val="16"/>
        </w:rPr>
        <w:t>(</w:t>
      </w:r>
      <w:r w:rsidRPr="00FC6409">
        <w:rPr>
          <w:rFonts w:ascii="Calibri" w:eastAsia="Calibri" w:hAnsi="Calibri" w:cs="Times New Roman"/>
          <w:sz w:val="16"/>
          <w:szCs w:val="16"/>
        </w:rPr>
        <w:t>2016-based)</w:t>
      </w:r>
    </w:p>
    <w:p w14:paraId="3F1B1B47" w14:textId="0DF24238" w:rsidR="00673458" w:rsidRDefault="00673458" w:rsidP="00110693"/>
    <w:p w14:paraId="0A860A6B" w14:textId="6CE7CCA2" w:rsidR="005B7974" w:rsidRDefault="005B7974" w:rsidP="005B7974">
      <w:pPr>
        <w:pStyle w:val="ListParagraph"/>
        <w:rPr>
          <w:highlight w:val="yellow"/>
        </w:rPr>
      </w:pPr>
      <w:r w:rsidRPr="0023091C">
        <w:rPr>
          <w:b/>
        </w:rPr>
        <w:t>Comparison with previous projections</w:t>
      </w:r>
      <w:r>
        <w:t xml:space="preserve">: A point to note is that the 2016-based projections for Aberdeen City are lower than previous projections.  </w:t>
      </w:r>
      <w:r w:rsidRPr="001D23BB">
        <w:t xml:space="preserve">The 2014-based projected population in Aberdeen City for 2026 was 248,990 compared to a projected population of 237,169 using the 2016-based projections – </w:t>
      </w:r>
      <w:r>
        <w:rPr>
          <w:b/>
        </w:rPr>
        <w:t>equivalent to</w:t>
      </w:r>
      <w:r w:rsidRPr="001D23BB">
        <w:rPr>
          <w:b/>
        </w:rPr>
        <w:t xml:space="preserve"> 4.7%</w:t>
      </w:r>
      <w:r>
        <w:rPr>
          <w:b/>
        </w:rPr>
        <w:t xml:space="preserve"> lower than the previous projection</w:t>
      </w:r>
      <w:r w:rsidRPr="001D23BB">
        <w:rPr>
          <w:b/>
        </w:rPr>
        <w:t>.</w:t>
      </w:r>
      <w:r w:rsidRPr="001D23BB">
        <w:t xml:space="preserve">  </w:t>
      </w:r>
      <w:r w:rsidRPr="00592551">
        <w:t xml:space="preserve">(Note: - population decreased in 2017 due to negative net migration.  Likely therefore (unless there’s a substantial increase in positive </w:t>
      </w:r>
      <w:r w:rsidR="00DE5426" w:rsidRPr="00592551">
        <w:t xml:space="preserve">net </w:t>
      </w:r>
      <w:r w:rsidRPr="00592551">
        <w:t>migration over the next year) that the next projections will be lower again – i.e. there will be a smaller population increase than currently projected.)</w:t>
      </w:r>
    </w:p>
    <w:p w14:paraId="755C880C" w14:textId="77777777" w:rsidR="005B7974" w:rsidRDefault="005B7974" w:rsidP="005B7974">
      <w:pPr>
        <w:pStyle w:val="ListParagraph"/>
        <w:rPr>
          <w:highlight w:val="yellow"/>
        </w:rPr>
      </w:pPr>
    </w:p>
    <w:p w14:paraId="6408DB12" w14:textId="77777777" w:rsidR="005B7974" w:rsidRDefault="005B7974" w:rsidP="005B7974">
      <w:pPr>
        <w:pStyle w:val="ListParagraph"/>
      </w:pPr>
      <w:r w:rsidRPr="005B7974">
        <w:rPr>
          <w:b/>
        </w:rPr>
        <w:t xml:space="preserve">Variant projections:  </w:t>
      </w:r>
      <w:r w:rsidRPr="00580CFC">
        <w:t>NRS also produces variant projections</w:t>
      </w:r>
      <w:r>
        <w:t xml:space="preserve"> based on alternative assumptions for future fertility, mortality and migration to give an indication of the uncertainty of demographic behaviour, particularly for long-term projections.  The variant which most closely matches our current situation is the ‘low migration’ projection. This estimates that the population of Aberdeen will fall by 0.3% between 2016 and 2026 giving an estimated population of 229,172.</w:t>
      </w:r>
    </w:p>
    <w:p w14:paraId="63CBEA8F" w14:textId="77777777" w:rsidR="005B7974" w:rsidRPr="005B7974" w:rsidRDefault="005B7974" w:rsidP="00D64DA8">
      <w:pPr>
        <w:pStyle w:val="ListParagraph"/>
        <w:rPr>
          <w:b/>
        </w:rPr>
      </w:pPr>
    </w:p>
    <w:p w14:paraId="3F623D34" w14:textId="7E42D086" w:rsidR="002A56B7" w:rsidRDefault="002A56B7" w:rsidP="002A56B7">
      <w:pPr>
        <w:pStyle w:val="Heading2"/>
        <w:numPr>
          <w:ilvl w:val="1"/>
          <w:numId w:val="4"/>
        </w:numPr>
      </w:pPr>
      <w:bookmarkStart w:id="21" w:name="_Toc519088556"/>
      <w:r>
        <w:t>Population dependency ratio</w:t>
      </w:r>
      <w:bookmarkEnd w:id="21"/>
    </w:p>
    <w:p w14:paraId="358B0D4B" w14:textId="4F59EB1A" w:rsidR="005B7974" w:rsidRDefault="005B7974" w:rsidP="005B7974"/>
    <w:p w14:paraId="479D1644" w14:textId="684D6D52" w:rsidR="005B7974" w:rsidRDefault="005B7974" w:rsidP="005B7974">
      <w:pPr>
        <w:rPr>
          <w:lang w:val="en"/>
        </w:rPr>
      </w:pPr>
      <w:r w:rsidRPr="005B7974">
        <w:rPr>
          <w:lang w:val="en"/>
        </w:rPr>
        <w:t>Dependency ratios provide simple summary measures of age composition, with respect to relative numbers of people in 'dependent' and 'productive' groups</w:t>
      </w:r>
      <w:r w:rsidR="00413324">
        <w:rPr>
          <w:lang w:val="en"/>
        </w:rPr>
        <w:t>.  A crude dependency ratio can be calculated by looking at the ratio of the non-working age population (under 16 years and 65+ years) compared to the working-age population.  On this basis in 2017 Aberdeen City had a dependency ratio of 44 ‘dependents’ per 100 working-age people.  The dependency ratio for those of a pensionable age was 22 per 100 working-age people and for children it was also 22 per 100 working-age people.</w:t>
      </w:r>
    </w:p>
    <w:p w14:paraId="7D67CB9C" w14:textId="637A5DEF" w:rsidR="00E86321" w:rsidRDefault="00E86321" w:rsidP="005B7974"/>
    <w:p w14:paraId="687295C1" w14:textId="18956BAE" w:rsidR="00E86321" w:rsidRDefault="00E86321" w:rsidP="005B7974">
      <w:r>
        <w:t xml:space="preserve">Dependency ratios are lower in Aberdeen than in Scotland.  The ratio of non-working/working-age population is 55 per 100 working age population in Scotland. The child </w:t>
      </w:r>
      <w:r>
        <w:lastRenderedPageBreak/>
        <w:t>dependency ratio is 26 per 100 working age population and the pensionable age is 29 per 100 working age population.</w:t>
      </w:r>
    </w:p>
    <w:p w14:paraId="3750BB6B" w14:textId="44B7626F" w:rsidR="00E86321" w:rsidRDefault="00E86321" w:rsidP="005B7974"/>
    <w:p w14:paraId="4A4819AF" w14:textId="3284E872" w:rsidR="00E86321" w:rsidRDefault="003D4CC8" w:rsidP="005B7974">
      <w:r>
        <w:rPr>
          <w:noProof/>
        </w:rPr>
        <w:drawing>
          <wp:inline distT="0" distB="0" distL="0" distR="0" wp14:anchorId="738215D7" wp14:editId="5BA1D491">
            <wp:extent cx="4572000" cy="2231136"/>
            <wp:effectExtent l="0" t="0" r="0" b="17145"/>
            <wp:docPr id="96" name="Chart 96">
              <a:extLst xmlns:a="http://schemas.openxmlformats.org/drawingml/2006/main">
                <a:ext uri="{FF2B5EF4-FFF2-40B4-BE49-F238E27FC236}">
                  <a16:creationId xmlns:a16="http://schemas.microsoft.com/office/drawing/2014/main" id="{1D1E4F0B-B8CE-4E2B-9A07-51A546D3EE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FD62233" w14:textId="54539818" w:rsidR="003D4CC8" w:rsidRPr="003D4CC8" w:rsidRDefault="003D4CC8" w:rsidP="005B7974">
      <w:pPr>
        <w:rPr>
          <w:sz w:val="16"/>
          <w:szCs w:val="16"/>
        </w:rPr>
      </w:pPr>
      <w:r w:rsidRPr="003D4CC8">
        <w:rPr>
          <w:sz w:val="16"/>
          <w:szCs w:val="16"/>
        </w:rPr>
        <w:t>Source: Population estimates from National Records of Scotland, Mid-2017 Population Estimates</w:t>
      </w:r>
    </w:p>
    <w:p w14:paraId="7F90EFFE" w14:textId="329BBE2D" w:rsidR="00AF4BA8" w:rsidRDefault="00AF4BA8" w:rsidP="00AF4BA8"/>
    <w:p w14:paraId="1BDB94E6" w14:textId="77777777" w:rsidR="003D4CC8" w:rsidRPr="00AF4BA8" w:rsidRDefault="003D4CC8" w:rsidP="00AF4BA8"/>
    <w:p w14:paraId="133F689F" w14:textId="25DFF2B4" w:rsidR="007C66C7" w:rsidRDefault="007C66C7" w:rsidP="003D4CC8">
      <w:pPr>
        <w:pStyle w:val="Heading2"/>
        <w:numPr>
          <w:ilvl w:val="1"/>
          <w:numId w:val="4"/>
        </w:numPr>
        <w:spacing w:after="240"/>
      </w:pPr>
      <w:bookmarkStart w:id="22" w:name="_Toc519088557"/>
      <w:r>
        <w:t>Birth</w:t>
      </w:r>
      <w:r w:rsidR="00873B32">
        <w:t>s</w:t>
      </w:r>
      <w:bookmarkEnd w:id="22"/>
      <w:r>
        <w:t xml:space="preserve"> </w:t>
      </w:r>
    </w:p>
    <w:p w14:paraId="7F3D2158" w14:textId="5891B2D2" w:rsidR="005751D9" w:rsidRPr="005751D9" w:rsidRDefault="005751D9" w:rsidP="005751D9">
      <w:r w:rsidRPr="005751D9">
        <w:t>In 2017, there were 2,402 births in Aberdeen City. This is a decrease of 4.7% from 2,521 births in 2016. Of these 2,402 births, 1,154 (48.0%) were female and 1,248 (52.0%) were male.</w:t>
      </w:r>
      <w:r>
        <w:t xml:space="preserve"> </w:t>
      </w:r>
      <w:r w:rsidRPr="005751D9">
        <w:t>In Aberdeen City, the standardised birth rate decreased from 8.5 per 1,000 population in 2016 to 8.3 in 2017. In comparison, the rate in Scotland overall decreased from 10.1 to 9.7.</w:t>
      </w:r>
      <w:r>
        <w:t xml:space="preserve">  </w:t>
      </w:r>
      <w:r w:rsidRPr="005751D9">
        <w:t xml:space="preserve">Aberdeen City has the second lowest birth rate of all local authorities (only City of Edinburgh is lower at 7.2). </w:t>
      </w:r>
      <w:r>
        <w:t xml:space="preserve">  </w:t>
      </w:r>
    </w:p>
    <w:p w14:paraId="16C4E59A" w14:textId="6119D0A6" w:rsidR="00873B32" w:rsidRDefault="005751D9" w:rsidP="00873B32">
      <w:r>
        <w:t xml:space="preserve">  </w:t>
      </w:r>
    </w:p>
    <w:p w14:paraId="0A47DCB6" w14:textId="6A83DDDA" w:rsidR="00AF4BA8" w:rsidRDefault="00FE66CA">
      <w:pPr>
        <w:rPr>
          <w:b/>
        </w:rPr>
      </w:pPr>
      <w:r>
        <w:rPr>
          <w:noProof/>
        </w:rPr>
        <w:drawing>
          <wp:inline distT="0" distB="0" distL="0" distR="0" wp14:anchorId="5FE2E197" wp14:editId="1F9BD6B8">
            <wp:extent cx="4985385" cy="2504661"/>
            <wp:effectExtent l="0" t="0" r="5715" b="10160"/>
            <wp:docPr id="250" name="Chart 250">
              <a:extLst xmlns:a="http://schemas.openxmlformats.org/drawingml/2006/main">
                <a:ext uri="{FF2B5EF4-FFF2-40B4-BE49-F238E27FC236}">
                  <a16:creationId xmlns:a16="http://schemas.microsoft.com/office/drawing/2014/main" id="{8D93A50F-8F3A-497A-A508-B3BA4F4011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20C4376" w14:textId="574D4A6A" w:rsidR="00DF6A21" w:rsidRPr="003D4CC8" w:rsidRDefault="00DF6A21" w:rsidP="00873B32">
      <w:pPr>
        <w:rPr>
          <w:sz w:val="16"/>
          <w:szCs w:val="16"/>
        </w:rPr>
      </w:pPr>
      <w:r w:rsidRPr="003D4CC8">
        <w:rPr>
          <w:sz w:val="16"/>
          <w:szCs w:val="16"/>
        </w:rPr>
        <w:t>Source: National Records of Scotland, Births Time Series Data</w:t>
      </w:r>
    </w:p>
    <w:p w14:paraId="04F204A2" w14:textId="77777777" w:rsidR="00FE66CA" w:rsidRDefault="00FE66CA" w:rsidP="005A6511"/>
    <w:p w14:paraId="04DC81FC" w14:textId="4981AAC4" w:rsidR="000172EC" w:rsidRDefault="005A6511" w:rsidP="005A6511">
      <w:r>
        <w:t xml:space="preserve">Compared to 30 years ago, more births are to older mothers.  The number of births to women aged 10-19 years, 20-24 years and 25-29 years has decreased, while the number of births to women aged 30-34 years, 35-39 years and 40 years and over has increased.  </w:t>
      </w:r>
      <w:r w:rsidR="00FE66CA" w:rsidRPr="00FE66CA">
        <w:t xml:space="preserve">In 2017, the most common age group of mothers in Aberdeen City was 30 to 34 </w:t>
      </w:r>
      <w:r w:rsidR="00DE5426">
        <w:t xml:space="preserve">years </w:t>
      </w:r>
      <w:r w:rsidR="00FE66CA" w:rsidRPr="00FE66CA">
        <w:t xml:space="preserve">(821 births), a change from the 25 to 29 </w:t>
      </w:r>
      <w:r w:rsidR="00DE5426">
        <w:t xml:space="preserve">year </w:t>
      </w:r>
      <w:r w:rsidR="00FE66CA" w:rsidRPr="00FE66CA">
        <w:t xml:space="preserve">age group in 1997. The least common age group of </w:t>
      </w:r>
      <w:r w:rsidR="00FE66CA" w:rsidRPr="00FE66CA">
        <w:lastRenderedPageBreak/>
        <w:t>mothers in Aberdeen City was 0 to 19 (69 births), which is a change from the 40 and over age group in 1997.</w:t>
      </w:r>
    </w:p>
    <w:p w14:paraId="793482EB" w14:textId="77777777" w:rsidR="00FE66CA" w:rsidRDefault="00FE66CA" w:rsidP="005A6511"/>
    <w:p w14:paraId="32058BF1" w14:textId="6583EFAC" w:rsidR="00FE66CA" w:rsidRPr="005A6511" w:rsidRDefault="00FE66CA" w:rsidP="005A6511">
      <w:pPr>
        <w:rPr>
          <w:b/>
        </w:rPr>
      </w:pPr>
      <w:r>
        <w:rPr>
          <w:noProof/>
        </w:rPr>
        <w:drawing>
          <wp:inline distT="0" distB="0" distL="0" distR="0" wp14:anchorId="491178BC" wp14:editId="3E51A10F">
            <wp:extent cx="4957763" cy="2943225"/>
            <wp:effectExtent l="0" t="0" r="14605" b="9525"/>
            <wp:docPr id="252" name="Chart 252">
              <a:extLst xmlns:a="http://schemas.openxmlformats.org/drawingml/2006/main">
                <a:ext uri="{FF2B5EF4-FFF2-40B4-BE49-F238E27FC236}">
                  <a16:creationId xmlns:a16="http://schemas.microsoft.com/office/drawing/2014/main" id="{540DDCBB-65EC-403D-9645-FEA6847C04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2A02026" w14:textId="11EEECFE" w:rsidR="005A6511" w:rsidRDefault="005A6511" w:rsidP="000172EC">
      <w:pPr>
        <w:ind w:left="0"/>
        <w:rPr>
          <w:sz w:val="16"/>
          <w:szCs w:val="16"/>
        </w:rPr>
      </w:pPr>
      <w:r w:rsidRPr="000172EC">
        <w:rPr>
          <w:sz w:val="16"/>
          <w:szCs w:val="16"/>
        </w:rPr>
        <w:tab/>
        <w:t>Source: National Records of Scotland, Births Time Series Data</w:t>
      </w:r>
    </w:p>
    <w:p w14:paraId="16067869" w14:textId="77777777" w:rsidR="003D4CC8" w:rsidRPr="000172EC" w:rsidRDefault="003D4CC8" w:rsidP="000172EC">
      <w:pPr>
        <w:ind w:left="0"/>
        <w:rPr>
          <w:sz w:val="16"/>
          <w:szCs w:val="16"/>
        </w:rPr>
      </w:pPr>
    </w:p>
    <w:p w14:paraId="43CB614C" w14:textId="555522E0" w:rsidR="005A6511" w:rsidRDefault="003D4CC8" w:rsidP="003D4CC8">
      <w:pPr>
        <w:pStyle w:val="Heading2"/>
        <w:numPr>
          <w:ilvl w:val="1"/>
          <w:numId w:val="4"/>
        </w:numPr>
        <w:spacing w:after="240"/>
      </w:pPr>
      <w:bookmarkStart w:id="23" w:name="_Toc519088558"/>
      <w:r>
        <w:t>Deaths</w:t>
      </w:r>
      <w:bookmarkEnd w:id="23"/>
    </w:p>
    <w:p w14:paraId="16C184EB" w14:textId="05539EAA" w:rsidR="00DF6A21" w:rsidRDefault="003D4CC8" w:rsidP="00DF6A21">
      <w:r>
        <w:rPr>
          <w:b/>
        </w:rPr>
        <w:t>A</w:t>
      </w:r>
      <w:r w:rsidR="00540926">
        <w:rPr>
          <w:b/>
        </w:rPr>
        <w:t>ll causes</w:t>
      </w:r>
      <w:r w:rsidR="005A6511" w:rsidRPr="005A6511">
        <w:rPr>
          <w:b/>
        </w:rPr>
        <w:t>:</w:t>
      </w:r>
      <w:r w:rsidR="005A6511">
        <w:t xml:space="preserve">  </w:t>
      </w:r>
      <w:r w:rsidR="001539CD" w:rsidRPr="001539CD">
        <w:t xml:space="preserve">In 2017, there were 2,130 deaths in Aberdeen City. This is </w:t>
      </w:r>
      <w:r w:rsidR="001539CD">
        <w:t>essentially unchanged</w:t>
      </w:r>
      <w:r w:rsidR="001539CD" w:rsidRPr="001539CD">
        <w:t xml:space="preserve"> from 2,129 deaths in 2016. Of these 2,130 deaths, 1,102 (51.7%) were female and 1,028 (48.3%) were male. </w:t>
      </w:r>
      <w:r w:rsidR="00AF4BA8">
        <w:t xml:space="preserve"> </w:t>
      </w:r>
      <w:r w:rsidR="001539CD" w:rsidRPr="001539CD">
        <w:t>In Aberdeen City, the standardised death rate in 2016 was 10.6 per 1,000 population and remained the same in 2017. In comparison, the rate in Scotland overall increased from 10.5 to 10.7.</w:t>
      </w:r>
      <w:r w:rsidR="001539CD">
        <w:t xml:space="preserve"> </w:t>
      </w:r>
    </w:p>
    <w:p w14:paraId="73FA92A2" w14:textId="77777777" w:rsidR="00072678" w:rsidRDefault="00072678" w:rsidP="00DF6A21"/>
    <w:p w14:paraId="42BBCE38" w14:textId="1E65CC91" w:rsidR="003D4CC8" w:rsidRDefault="001539CD" w:rsidP="00DF6A21">
      <w:r>
        <w:rPr>
          <w:noProof/>
        </w:rPr>
        <w:drawing>
          <wp:inline distT="0" distB="0" distL="0" distR="0" wp14:anchorId="4265AA85" wp14:editId="639BE59C">
            <wp:extent cx="5180965" cy="2775005"/>
            <wp:effectExtent l="0" t="0" r="635" b="6350"/>
            <wp:docPr id="253" name="Chart 253">
              <a:extLst xmlns:a="http://schemas.openxmlformats.org/drawingml/2006/main">
                <a:ext uri="{FF2B5EF4-FFF2-40B4-BE49-F238E27FC236}">
                  <a16:creationId xmlns:a16="http://schemas.microsoft.com/office/drawing/2014/main" id="{38A67BE3-F3ED-497A-BDA2-E59113501C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6F70CAB" w14:textId="511A258A" w:rsidR="00AF4BA8" w:rsidRPr="000172EC" w:rsidRDefault="00AF4BA8" w:rsidP="00AF4BA8">
      <w:pPr>
        <w:rPr>
          <w:sz w:val="16"/>
          <w:szCs w:val="16"/>
        </w:rPr>
      </w:pPr>
      <w:r w:rsidRPr="000172EC">
        <w:rPr>
          <w:sz w:val="16"/>
          <w:szCs w:val="16"/>
        </w:rPr>
        <w:t>Source: National Records of Scotland, Deaths Time Series Data</w:t>
      </w:r>
    </w:p>
    <w:p w14:paraId="4E03696F" w14:textId="7B8A1739" w:rsidR="002A56B7" w:rsidRDefault="00D627FE" w:rsidP="002A56B7">
      <w:pPr>
        <w:pStyle w:val="Heading2"/>
      </w:pPr>
      <w:r>
        <w:tab/>
      </w:r>
    </w:p>
    <w:p w14:paraId="7BA9E8CA" w14:textId="55A4B127" w:rsidR="00D627FE" w:rsidRDefault="003D4CC8" w:rsidP="00D627FE">
      <w:r>
        <w:rPr>
          <w:b/>
        </w:rPr>
        <w:t xml:space="preserve">By </w:t>
      </w:r>
      <w:r w:rsidR="00540926" w:rsidRPr="00540926">
        <w:rPr>
          <w:b/>
        </w:rPr>
        <w:t>Intermediate Zone:</w:t>
      </w:r>
      <w:r w:rsidR="00540926">
        <w:t xml:space="preserve">  Mortality</w:t>
      </w:r>
      <w:r w:rsidR="00D627FE">
        <w:t xml:space="preserve"> rates vary considerably across the City.  For the period 2014-2016 the average </w:t>
      </w:r>
      <w:r w:rsidR="00540926">
        <w:t>mortality</w:t>
      </w:r>
      <w:r w:rsidR="00D627FE">
        <w:t xml:space="preserve"> rate (directly age-sex standardised per 1,000 population; 3-</w:t>
      </w:r>
      <w:r w:rsidR="00D627FE">
        <w:lastRenderedPageBreak/>
        <w:t>year aggregate</w:t>
      </w:r>
      <w:r w:rsidR="00540926">
        <w:t>s</w:t>
      </w:r>
      <w:r w:rsidR="00D627FE">
        <w:t>) ranged from 6.8 in West End North to 36.0 in Hanover South</w:t>
      </w:r>
      <w:r w:rsidR="00540926">
        <w:t xml:space="preserve"> (Intermediate Zones)</w:t>
      </w:r>
      <w:r w:rsidR="00D627FE">
        <w:t xml:space="preserve">.  The </w:t>
      </w:r>
      <w:r w:rsidR="00540926">
        <w:t>mortality</w:t>
      </w:r>
      <w:r w:rsidR="00D627FE">
        <w:t xml:space="preserve"> rate in Hanover South was twice as high as the next highest</w:t>
      </w:r>
      <w:r w:rsidR="00540926">
        <w:t xml:space="preserve"> rate (18.1 in Seaton) and over three times as high as the average rate for the City as a whole (11.9 per 1,00 population). </w:t>
      </w:r>
    </w:p>
    <w:p w14:paraId="59ADB7F0" w14:textId="77777777" w:rsidR="000172EC" w:rsidRDefault="000172EC" w:rsidP="00D627FE"/>
    <w:p w14:paraId="385672C0" w14:textId="2B3D155F" w:rsidR="00D627FE" w:rsidRPr="00D627FE" w:rsidRDefault="00D627FE" w:rsidP="00540926">
      <w:r>
        <w:rPr>
          <w:noProof/>
        </w:rPr>
        <w:drawing>
          <wp:inline distT="0" distB="0" distL="0" distR="0" wp14:anchorId="6169B33A" wp14:editId="62807196">
            <wp:extent cx="5152390" cy="2618842"/>
            <wp:effectExtent l="0" t="0" r="10160" b="10160"/>
            <wp:docPr id="49" name="Chart 49">
              <a:extLst xmlns:a="http://schemas.openxmlformats.org/drawingml/2006/main">
                <a:ext uri="{FF2B5EF4-FFF2-40B4-BE49-F238E27FC236}">
                  <a16:creationId xmlns:a16="http://schemas.microsoft.com/office/drawing/2014/main" id="{F6295F42-298A-4A55-B298-384FDA08C7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B5934EF" w14:textId="7F8F1924" w:rsidR="00D627FE" w:rsidRPr="003D4CC8" w:rsidRDefault="00540926" w:rsidP="00D627FE">
      <w:pPr>
        <w:rPr>
          <w:sz w:val="16"/>
          <w:szCs w:val="16"/>
        </w:rPr>
      </w:pPr>
      <w:r w:rsidRPr="003D4CC8">
        <w:rPr>
          <w:sz w:val="16"/>
          <w:szCs w:val="16"/>
        </w:rPr>
        <w:t>Source: ScotPHO Health and Wellbeing Profiles</w:t>
      </w:r>
    </w:p>
    <w:p w14:paraId="14210538" w14:textId="3E71B6CA" w:rsidR="00540926" w:rsidRDefault="00540926" w:rsidP="00D627FE"/>
    <w:p w14:paraId="2B7E2DDD" w14:textId="6D019396" w:rsidR="00540926" w:rsidRDefault="00540926" w:rsidP="00540926">
      <w:r w:rsidRPr="00540926">
        <w:rPr>
          <w:b/>
        </w:rPr>
        <w:t>15-44 year-olds (all cause):</w:t>
      </w:r>
      <w:r>
        <w:t xml:space="preserve">  In the period 2014-2016 the average mortality rate (directly age-sex standardised per 100,000 population; 3 year aggregates) for Aberdeen City was 105.2 (compared to 102.2 for Scotland).   Again, however, there was considerable variation across the City ranging from 0.0 in Braeside, Mannofield, Broomhill and Seafield South to 322.9 </w:t>
      </w:r>
      <w:r w:rsidR="007F5617">
        <w:t xml:space="preserve">per 100,000 population </w:t>
      </w:r>
      <w:r>
        <w:t xml:space="preserve">in Seaton. </w:t>
      </w:r>
    </w:p>
    <w:p w14:paraId="7087E1EB" w14:textId="77777777" w:rsidR="003D4CC8" w:rsidRDefault="003D4CC8" w:rsidP="00540926"/>
    <w:p w14:paraId="527421B4" w14:textId="60E484F3" w:rsidR="00CD0982" w:rsidRDefault="00CD0982" w:rsidP="00A2576F">
      <w:r>
        <w:rPr>
          <w:noProof/>
        </w:rPr>
        <w:drawing>
          <wp:inline distT="0" distB="0" distL="0" distR="0" wp14:anchorId="39CD51E4" wp14:editId="56BF8ED3">
            <wp:extent cx="5446395" cy="2816352"/>
            <wp:effectExtent l="0" t="0" r="1905" b="3175"/>
            <wp:docPr id="59" name="Chart 59">
              <a:extLst xmlns:a="http://schemas.openxmlformats.org/drawingml/2006/main">
                <a:ext uri="{FF2B5EF4-FFF2-40B4-BE49-F238E27FC236}">
                  <a16:creationId xmlns:a16="http://schemas.microsoft.com/office/drawing/2014/main" id="{0B0DE9B9-1678-4083-9573-435866442B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A6B5D20" w14:textId="384C1DB8" w:rsidR="00CD0982" w:rsidRPr="003D4CC8" w:rsidRDefault="00A2576F" w:rsidP="00540926">
      <w:pPr>
        <w:rPr>
          <w:sz w:val="16"/>
          <w:szCs w:val="16"/>
        </w:rPr>
      </w:pPr>
      <w:r w:rsidRPr="003D4CC8">
        <w:rPr>
          <w:sz w:val="16"/>
          <w:szCs w:val="16"/>
        </w:rPr>
        <w:t>Source: ScotPHO Health and Wellbeing Profiles</w:t>
      </w:r>
    </w:p>
    <w:p w14:paraId="23783A0E" w14:textId="77777777" w:rsidR="00CD0982" w:rsidRPr="00D627FE" w:rsidRDefault="00CD0982" w:rsidP="00540926"/>
    <w:p w14:paraId="419AD2C3" w14:textId="47AA1D24" w:rsidR="00700024" w:rsidRPr="00700024" w:rsidRDefault="002A56B7" w:rsidP="000172EC">
      <w:pPr>
        <w:pStyle w:val="Heading2"/>
        <w:numPr>
          <w:ilvl w:val="1"/>
          <w:numId w:val="4"/>
        </w:numPr>
        <w:spacing w:after="240"/>
      </w:pPr>
      <w:bookmarkStart w:id="24" w:name="_Toc519088559"/>
      <w:r>
        <w:lastRenderedPageBreak/>
        <w:t>Life expectancy</w:t>
      </w:r>
      <w:bookmarkEnd w:id="24"/>
      <w:r w:rsidR="00700024">
        <w:tab/>
      </w:r>
    </w:p>
    <w:p w14:paraId="2B99FACE" w14:textId="6AE38B19" w:rsidR="00C343DC" w:rsidRPr="00C343DC" w:rsidRDefault="00C343DC" w:rsidP="00C343DC">
      <w:r w:rsidRPr="00C343DC">
        <w:t>Estimated life expectancy at birth is higher for women than for men.</w:t>
      </w:r>
      <w:r>
        <w:t xml:space="preserve"> </w:t>
      </w:r>
      <w:r w:rsidRPr="00C343DC">
        <w:t xml:space="preserve">In </w:t>
      </w:r>
      <w:r>
        <w:t xml:space="preserve">2014-2016 </w:t>
      </w:r>
      <w:r w:rsidRPr="00C343DC">
        <w:t xml:space="preserve">life expectancy at birth for </w:t>
      </w:r>
      <w:r w:rsidR="0089131F">
        <w:t>females in Aberdeen</w:t>
      </w:r>
      <w:r w:rsidRPr="00C343DC">
        <w:t xml:space="preserve"> was 80.8 years and for </w:t>
      </w:r>
      <w:r w:rsidR="0089131F">
        <w:t>males</w:t>
      </w:r>
      <w:r w:rsidRPr="00C343DC">
        <w:t xml:space="preserve"> it was 76.4 years.  </w:t>
      </w:r>
      <w:r w:rsidR="0089131F">
        <w:t>Both male and female life expectancy have decreased slightly in each of the last three years.</w:t>
      </w:r>
    </w:p>
    <w:p w14:paraId="1AE89316" w14:textId="77777777" w:rsidR="00950AA0" w:rsidRDefault="0089131F" w:rsidP="00950AA0">
      <w:r>
        <w:t xml:space="preserve">Since 2001-2003, male life expectancy has increased by 2.3 years and female life expectancy by 0.8 years.  The higher increase for males has resulted in a closing of the </w:t>
      </w:r>
      <w:r w:rsidR="00C343DC">
        <w:t>gap between male and female life expectancy</w:t>
      </w:r>
      <w:r>
        <w:t xml:space="preserve"> from 5.9 years to 4.4 years</w:t>
      </w:r>
      <w:r w:rsidR="00C343DC" w:rsidRPr="00C343DC">
        <w:t>.</w:t>
      </w:r>
      <w:r w:rsidR="00C343DC">
        <w:t xml:space="preserve">  </w:t>
      </w:r>
      <w:r w:rsidR="00C343DC" w:rsidRPr="00C343DC">
        <w:t>However, rates of increase</w:t>
      </w:r>
      <w:r>
        <w:t xml:space="preserve"> over this period</w:t>
      </w:r>
      <w:r w:rsidR="00C343DC" w:rsidRPr="00C343DC">
        <w:t xml:space="preserve"> have been lower in Aberdeen City than for all other local authority areas</w:t>
      </w:r>
      <w:r w:rsidR="00C343DC">
        <w:t xml:space="preserve"> in Scotland</w:t>
      </w:r>
      <w:r w:rsidR="00C343DC" w:rsidRPr="00C343DC">
        <w:t>.</w:t>
      </w:r>
      <w:r w:rsidR="00C343DC">
        <w:t xml:space="preserve">  Life expectancy at birth in Aberdeen is now lower than average life expectancy for Scotland as a whole.</w:t>
      </w:r>
      <w:r w:rsidR="002F5D75">
        <w:t xml:space="preserve">  (</w:t>
      </w:r>
      <w:r w:rsidR="002F5D75" w:rsidRPr="002F5D75">
        <w:rPr>
          <w:rFonts w:ascii="Calibri" w:eastAsia="Calibri" w:hAnsi="Calibri" w:cs="Times New Roman"/>
          <w:b/>
        </w:rPr>
        <w:t xml:space="preserve">Note:  </w:t>
      </w:r>
      <w:r w:rsidR="002F5D75" w:rsidRPr="002F5D75">
        <w:rPr>
          <w:rFonts w:ascii="Calibri" w:eastAsia="Times New Roman" w:hAnsi="Calibri" w:cs="Times New Roman"/>
        </w:rPr>
        <w:t>It should be remembered that life expectancy is an estimate – and as such is subject to a margin of error</w:t>
      </w:r>
      <w:r w:rsidR="00950AA0">
        <w:rPr>
          <w:rFonts w:ascii="Calibri" w:eastAsia="Times New Roman" w:hAnsi="Calibri" w:cs="Times New Roman"/>
        </w:rPr>
        <w:t xml:space="preserve">.  Also, there seems to be a consensus that life expectancy is beginning to plateau across the UK </w:t>
      </w:r>
      <w:hyperlink r:id="rId49" w:history="1">
        <w:r w:rsidR="00950AA0" w:rsidRPr="00380109">
          <w:rPr>
            <w:rStyle w:val="Hyperlink"/>
          </w:rPr>
          <w:t>https://blog.ons.gov.uk/2018/06/18/grinding-to-a-halt-is-life-expectancy-coming-to-an-end/</w:t>
        </w:r>
      </w:hyperlink>
      <w:r w:rsidR="00950AA0">
        <w:t xml:space="preserve"> </w:t>
      </w:r>
    </w:p>
    <w:p w14:paraId="3C4554A8" w14:textId="134933C4" w:rsidR="00700024" w:rsidRDefault="002F5D75" w:rsidP="00C343DC">
      <w:pPr>
        <w:rPr>
          <w:rFonts w:ascii="Calibri" w:eastAsia="Times New Roman" w:hAnsi="Calibri" w:cs="Times New Roman"/>
        </w:rPr>
      </w:pPr>
      <w:r>
        <w:rPr>
          <w:rFonts w:ascii="Calibri" w:eastAsia="Times New Roman" w:hAnsi="Calibri" w:cs="Times New Roman"/>
        </w:rPr>
        <w:t>)</w:t>
      </w:r>
      <w:r w:rsidRPr="002F5D75">
        <w:rPr>
          <w:rFonts w:ascii="Calibri" w:eastAsia="Times New Roman" w:hAnsi="Calibri" w:cs="Times New Roman"/>
        </w:rPr>
        <w:t xml:space="preserve">.  </w:t>
      </w:r>
    </w:p>
    <w:p w14:paraId="1A41BA28" w14:textId="77777777" w:rsidR="000172EC" w:rsidRDefault="000172EC" w:rsidP="00C343DC"/>
    <w:p w14:paraId="50ECDB66" w14:textId="335E4FFA" w:rsidR="0089131F" w:rsidRPr="004A6195" w:rsidRDefault="0089131F" w:rsidP="00C343DC">
      <w:pPr>
        <w:rPr>
          <w:b/>
        </w:rPr>
      </w:pPr>
      <w:r>
        <w:rPr>
          <w:noProof/>
        </w:rPr>
        <w:drawing>
          <wp:inline distT="0" distB="0" distL="0" distR="0" wp14:anchorId="442EFCC4" wp14:editId="2100CDF6">
            <wp:extent cx="4864608" cy="2984500"/>
            <wp:effectExtent l="0" t="0" r="12700" b="6350"/>
            <wp:docPr id="13" name="Chart 13">
              <a:extLst xmlns:a="http://schemas.openxmlformats.org/drawingml/2006/main">
                <a:ext uri="{FF2B5EF4-FFF2-40B4-BE49-F238E27FC236}">
                  <a16:creationId xmlns:a16="http://schemas.microsoft.com/office/drawing/2014/main" id="{AF9DF570-CA7C-43F8-9BC1-0EFBE53EC0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0292E2F" w14:textId="7ED873D3" w:rsidR="00C343DC" w:rsidRPr="00700024" w:rsidRDefault="0089131F" w:rsidP="0089131F">
      <w:r w:rsidRPr="00E15259">
        <w:rPr>
          <w:sz w:val="16"/>
          <w:szCs w:val="16"/>
        </w:rPr>
        <w:t xml:space="preserve">Source: National Records of Scotland, </w:t>
      </w:r>
      <w:r>
        <w:rPr>
          <w:sz w:val="16"/>
          <w:szCs w:val="16"/>
        </w:rPr>
        <w:t>Life Expectancy for Administrative areas within Scotland, 2014-2016</w:t>
      </w:r>
    </w:p>
    <w:p w14:paraId="6264088F" w14:textId="5AB50288" w:rsidR="00700024" w:rsidRDefault="00700024" w:rsidP="00700024">
      <w:pPr>
        <w:pStyle w:val="ListParagraph"/>
      </w:pPr>
    </w:p>
    <w:p w14:paraId="57BE9BAA" w14:textId="171DCC13" w:rsidR="0089131F" w:rsidRDefault="002F5D75" w:rsidP="0089131F">
      <w:pPr>
        <w:pStyle w:val="ListParagraph"/>
      </w:pPr>
      <w:r w:rsidRPr="002F5D75">
        <w:rPr>
          <w:b/>
        </w:rPr>
        <w:t>Life expectancy at 65-69 years</w:t>
      </w:r>
      <w:r>
        <w:t xml:space="preserve">:  </w:t>
      </w:r>
      <w:r w:rsidR="0089131F">
        <w:t>L</w:t>
      </w:r>
      <w:r w:rsidR="0089131F" w:rsidRPr="0089131F">
        <w:t>ife expectancy at age 65-69</w:t>
      </w:r>
      <w:r w:rsidR="0089131F">
        <w:t xml:space="preserve"> years</w:t>
      </w:r>
      <w:r w:rsidR="0089131F" w:rsidRPr="0089131F">
        <w:t xml:space="preserve"> was </w:t>
      </w:r>
      <w:r w:rsidR="0089131F">
        <w:t xml:space="preserve">also </w:t>
      </w:r>
      <w:r w:rsidR="0089131F" w:rsidRPr="0089131F">
        <w:t xml:space="preserve">higher for females (19.7 years) than for males (16.9 years) in 2014-16. </w:t>
      </w:r>
      <w:r w:rsidR="0089131F">
        <w:t>Again, m</w:t>
      </w:r>
      <w:r w:rsidR="0089131F" w:rsidRPr="0089131F">
        <w:t>ale life expectancy at age 65-69</w:t>
      </w:r>
      <w:r w:rsidR="0089131F">
        <w:t xml:space="preserve"> years</w:t>
      </w:r>
      <w:r w:rsidR="0089131F" w:rsidRPr="0089131F">
        <w:t xml:space="preserve"> has increased more rapidly than female life expectancy at age 65-69</w:t>
      </w:r>
      <w:r w:rsidR="0089131F">
        <w:t xml:space="preserve"> years</w:t>
      </w:r>
      <w:r w:rsidR="0089131F" w:rsidRPr="0089131F">
        <w:t xml:space="preserve"> between 2001-03 and 2014-16.</w:t>
      </w:r>
    </w:p>
    <w:p w14:paraId="6D2AA707" w14:textId="77777777" w:rsidR="00CA7AAE" w:rsidRPr="0089131F" w:rsidRDefault="00CA7AAE" w:rsidP="0089131F">
      <w:pPr>
        <w:pStyle w:val="ListParagraph"/>
      </w:pPr>
    </w:p>
    <w:p w14:paraId="6D2EF10C" w14:textId="225BCF17" w:rsidR="0089131F" w:rsidRDefault="002F5D75" w:rsidP="00700024">
      <w:pPr>
        <w:pStyle w:val="ListParagraph"/>
      </w:pPr>
      <w:r w:rsidRPr="002F5D75">
        <w:rPr>
          <w:b/>
        </w:rPr>
        <w:t>Life expectancy by level of deprivation (SIMD 2016):</w:t>
      </w:r>
      <w:r>
        <w:t xml:space="preserve"> </w:t>
      </w:r>
      <w:r w:rsidRPr="002F5D75">
        <w:t xml:space="preserve">In Scotland as a whole, life expectancy is strongly associated with level of deprivation.  In Aberdeen City </w:t>
      </w:r>
      <w:r>
        <w:t>l</w:t>
      </w:r>
      <w:r w:rsidRPr="002F5D75">
        <w:t>ife expectancy for men in quintile 1</w:t>
      </w:r>
      <w:r>
        <w:t xml:space="preserve"> (most deprived)</w:t>
      </w:r>
      <w:r w:rsidRPr="002F5D75">
        <w:t xml:space="preserve"> was 72.0 years compared to 81.0 years for men in quintile 5</w:t>
      </w:r>
      <w:r>
        <w:t xml:space="preserve"> (least deprived)</w:t>
      </w:r>
      <w:r w:rsidRPr="002F5D75">
        <w:t xml:space="preserve"> – </w:t>
      </w:r>
      <w:r w:rsidRPr="008C36A7">
        <w:rPr>
          <w:b/>
        </w:rPr>
        <w:t>a difference of 9.0 years</w:t>
      </w:r>
      <w:r w:rsidRPr="002F5D75">
        <w:t xml:space="preserve">.  For women, the difference in estimated life expectancy was less marked, at 77.7 years for women in quintile 1 compared to 84.1 years for women in quintile 5 - </w:t>
      </w:r>
      <w:r w:rsidRPr="008C36A7">
        <w:rPr>
          <w:b/>
        </w:rPr>
        <w:t>a difference of 6.4 years</w:t>
      </w:r>
      <w:r w:rsidRPr="002F5D75">
        <w:t xml:space="preserve">.  </w:t>
      </w:r>
    </w:p>
    <w:p w14:paraId="61D0085E" w14:textId="77777777" w:rsidR="002F5D75" w:rsidRDefault="002F5D75" w:rsidP="00700024">
      <w:pPr>
        <w:pStyle w:val="ListParagraph"/>
      </w:pPr>
    </w:p>
    <w:p w14:paraId="2638F040" w14:textId="78193008" w:rsidR="00700024" w:rsidRDefault="004A6195" w:rsidP="002F5D75">
      <w:r>
        <w:lastRenderedPageBreak/>
        <w:tab/>
      </w:r>
      <w:r>
        <w:rPr>
          <w:noProof/>
        </w:rPr>
        <w:drawing>
          <wp:inline distT="0" distB="0" distL="0" distR="0" wp14:anchorId="3A0D224A" wp14:editId="4ABD7D4B">
            <wp:extent cx="4900930" cy="2306471"/>
            <wp:effectExtent l="0" t="0" r="13970" b="17780"/>
            <wp:docPr id="4" name="Chart 4">
              <a:extLst xmlns:a="http://schemas.openxmlformats.org/drawingml/2006/main">
                <a:ext uri="{FF2B5EF4-FFF2-40B4-BE49-F238E27FC236}">
                  <a16:creationId xmlns:a16="http://schemas.microsoft.com/office/drawing/2014/main" id="{16D5D9BE-D3F0-46E0-A1E2-475371A797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6C1C681" w14:textId="77777777" w:rsidR="002F5D75" w:rsidRPr="00700024" w:rsidRDefault="002F5D75" w:rsidP="000172EC">
      <w:pPr>
        <w:ind w:left="0"/>
      </w:pPr>
      <w:r>
        <w:tab/>
      </w:r>
      <w:r w:rsidRPr="00E15259">
        <w:rPr>
          <w:sz w:val="16"/>
          <w:szCs w:val="16"/>
        </w:rPr>
        <w:t xml:space="preserve">Source: National Records of Scotland, </w:t>
      </w:r>
      <w:r>
        <w:rPr>
          <w:sz w:val="16"/>
          <w:szCs w:val="16"/>
        </w:rPr>
        <w:t>Life Expectancy for Administrative areas within Scotland, 2014-2016</w:t>
      </w:r>
    </w:p>
    <w:p w14:paraId="795490E6" w14:textId="7127B7C7" w:rsidR="002F5D75" w:rsidRDefault="002F5D75" w:rsidP="002F5D75"/>
    <w:p w14:paraId="4D479554" w14:textId="393685D8" w:rsidR="002F5D75" w:rsidRPr="002F5D75" w:rsidRDefault="002F5D75" w:rsidP="002F5D75">
      <w:r>
        <w:t>The relationship between estimated life expectancy and deprivation means that f</w:t>
      </w:r>
      <w:r w:rsidRPr="002F5D75">
        <w:t xml:space="preserve">or both males and females there are important differences in estimated life expectancy at birth depending on where you live in Aberdeen City.  </w:t>
      </w:r>
      <w:r>
        <w:t xml:space="preserve">The most recent data available for smaller geographies (Intermediate Zones) is for the period 2011-2015.  </w:t>
      </w:r>
      <w:r w:rsidRPr="002F5D75">
        <w:t xml:space="preserve">For </w:t>
      </w:r>
      <w:r w:rsidRPr="007C7877">
        <w:rPr>
          <w:b/>
        </w:rPr>
        <w:t>males</w:t>
      </w:r>
      <w:r w:rsidRPr="002F5D75">
        <w:t xml:space="preserve">, estimated LE at birth ranges from a low of 69.7 years in Seaton to a high of 84.5 years in Braeside, Mannofield, Broomhill &amp; Seafield North – a </w:t>
      </w:r>
      <w:r w:rsidRPr="002F5D75">
        <w:rPr>
          <w:b/>
        </w:rPr>
        <w:t>difference of 14.8 years</w:t>
      </w:r>
      <w:r w:rsidRPr="002F5D75">
        <w:t xml:space="preserve">. </w:t>
      </w:r>
      <w:r w:rsidRPr="002F5D75">
        <w:rPr>
          <w:b/>
        </w:rPr>
        <w:t xml:space="preserve"> </w:t>
      </w:r>
      <w:r w:rsidRPr="002F5D75">
        <w:t xml:space="preserve">For </w:t>
      </w:r>
      <w:r w:rsidRPr="007C7877">
        <w:rPr>
          <w:b/>
        </w:rPr>
        <w:t>females</w:t>
      </w:r>
      <w:r w:rsidRPr="002F5D75">
        <w:t xml:space="preserve"> it</w:t>
      </w:r>
      <w:r w:rsidRPr="002F5D75">
        <w:rPr>
          <w:b/>
        </w:rPr>
        <w:t xml:space="preserve"> </w:t>
      </w:r>
      <w:r w:rsidRPr="002F5D75">
        <w:t xml:space="preserve">ranges from a low of 74.9 years in Mastrick to a high of 86.3 years in Braeside, Mannofield, Broomhill &amp; Seafield East – a </w:t>
      </w:r>
      <w:r w:rsidRPr="002F5D75">
        <w:rPr>
          <w:b/>
        </w:rPr>
        <w:t>difference of 11.4 years</w:t>
      </w:r>
      <w:r w:rsidRPr="002F5D75">
        <w:t xml:space="preserve">. </w:t>
      </w:r>
      <w:r w:rsidRPr="002F5D75">
        <w:rPr>
          <w:b/>
        </w:rPr>
        <w:t xml:space="preserve"> </w:t>
      </w:r>
      <w:r>
        <w:t>(Source: ScotPHO Health and Wellbeing Profiles).</w:t>
      </w:r>
      <w:r w:rsidR="00636E59">
        <w:t xml:space="preserve"> </w:t>
      </w:r>
    </w:p>
    <w:p w14:paraId="1BC253F1" w14:textId="7BB9F841" w:rsidR="002F5D75" w:rsidRDefault="002F5D75" w:rsidP="002F5D75"/>
    <w:p w14:paraId="2875C110" w14:textId="7F1E15E6" w:rsidR="00A2576F" w:rsidRDefault="00A2576F" w:rsidP="00A2576F">
      <w:r>
        <w:rPr>
          <w:noProof/>
        </w:rPr>
        <w:drawing>
          <wp:inline distT="0" distB="0" distL="0" distR="0" wp14:anchorId="7DBB6F18" wp14:editId="1C4A6122">
            <wp:extent cx="5731510" cy="3328670"/>
            <wp:effectExtent l="0" t="0" r="2540" b="5080"/>
            <wp:docPr id="65" name="Chart 65">
              <a:extLst xmlns:a="http://schemas.openxmlformats.org/drawingml/2006/main">
                <a:ext uri="{FF2B5EF4-FFF2-40B4-BE49-F238E27FC236}">
                  <a16:creationId xmlns:a16="http://schemas.microsoft.com/office/drawing/2014/main" id="{1270A595-01B6-4329-BB54-989688BC9C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23CEE23" w14:textId="633FA3B9" w:rsidR="00A2576F" w:rsidRDefault="00677EDD" w:rsidP="002F5D75">
      <w:pPr>
        <w:rPr>
          <w:sz w:val="16"/>
          <w:szCs w:val="16"/>
        </w:rPr>
      </w:pPr>
      <w:r w:rsidRPr="00677EDD">
        <w:rPr>
          <w:sz w:val="16"/>
          <w:szCs w:val="16"/>
        </w:rPr>
        <w:t>Source:  ScotPHO Health and Wellbeing Profiles</w:t>
      </w:r>
    </w:p>
    <w:p w14:paraId="1B78DD28" w14:textId="77777777" w:rsidR="00072678" w:rsidRPr="00677EDD" w:rsidRDefault="00072678" w:rsidP="002F5D75">
      <w:pPr>
        <w:rPr>
          <w:sz w:val="16"/>
          <w:szCs w:val="16"/>
        </w:rPr>
      </w:pPr>
    </w:p>
    <w:p w14:paraId="28A1060F" w14:textId="77777777" w:rsidR="00072678" w:rsidRDefault="00072678" w:rsidP="002F5D75"/>
    <w:p w14:paraId="55EB8E26" w14:textId="69B9C0D9" w:rsidR="000172EC" w:rsidRPr="000172EC" w:rsidRDefault="008C36A7" w:rsidP="000172EC">
      <w:pPr>
        <w:pStyle w:val="Heading2"/>
        <w:numPr>
          <w:ilvl w:val="2"/>
          <w:numId w:val="4"/>
        </w:numPr>
        <w:spacing w:after="240"/>
      </w:pPr>
      <w:bookmarkStart w:id="25" w:name="_Toc519088560"/>
      <w:r w:rsidRPr="000172EC">
        <w:lastRenderedPageBreak/>
        <w:t>Healthy Life Expectancy:</w:t>
      </w:r>
      <w:bookmarkEnd w:id="25"/>
      <w:r w:rsidRPr="000172EC">
        <w:t xml:space="preserve"> </w:t>
      </w:r>
    </w:p>
    <w:p w14:paraId="17249246" w14:textId="2647D581" w:rsidR="008C36A7" w:rsidRDefault="008C36A7" w:rsidP="008C36A7">
      <w:pPr>
        <w:rPr>
          <w:i/>
        </w:rPr>
      </w:pPr>
      <w:r w:rsidRPr="008C36A7">
        <w:t xml:space="preserve">While Life Expectancy (LE) counts total years of expected life regardless of level of health, Healthy Life Expectancy (HLE) represents the number of years that an individual can expect to live in good health.  Information on HLE at local authority level uses self-assessed health from the Census and is therefore </w:t>
      </w:r>
      <w:r>
        <w:t xml:space="preserve">not </w:t>
      </w:r>
      <w:r w:rsidRPr="008C36A7">
        <w:t xml:space="preserve">available on a frequent basis.   </w:t>
      </w:r>
      <w:r>
        <w:t>The most recent HLE estimates for Aberdeen</w:t>
      </w:r>
      <w:r w:rsidRPr="008C36A7">
        <w:t xml:space="preserve"> are for the 5-year period 2009-2013</w:t>
      </w:r>
      <w:r>
        <w:t>.</w:t>
      </w:r>
      <w:r w:rsidRPr="008C36A7">
        <w:rPr>
          <w:i/>
        </w:rPr>
        <w:t xml:space="preserve"> (Note: HLE is generally presented in relation to LE.  The LE estimates given below cover a different time period to those in the previous section and therefore will not match).</w:t>
      </w:r>
      <w:r>
        <w:rPr>
          <w:i/>
        </w:rPr>
        <w:t xml:space="preserve">  </w:t>
      </w:r>
    </w:p>
    <w:p w14:paraId="2CD682BE" w14:textId="77777777" w:rsidR="000172EC" w:rsidRDefault="000172EC" w:rsidP="008C36A7"/>
    <w:p w14:paraId="514F6D5D" w14:textId="27831FAB" w:rsidR="008C36A7" w:rsidRDefault="008C36A7" w:rsidP="008C36A7">
      <w:r w:rsidRPr="008C36A7">
        <w:t xml:space="preserve">For the period 2009-2013, </w:t>
      </w:r>
      <w:r w:rsidRPr="00F66280">
        <w:rPr>
          <w:b/>
        </w:rPr>
        <w:t>males</w:t>
      </w:r>
      <w:r w:rsidRPr="008C36A7">
        <w:t xml:space="preserve"> in Aberdeen City had a LE at birth of 76.9 years and a HLE of 65.0 years, giving an expected period of </w:t>
      </w:r>
      <w:r w:rsidRPr="00F66280">
        <w:rPr>
          <w:b/>
        </w:rPr>
        <w:t>‘not healthy’ health of 11.9 years</w:t>
      </w:r>
      <w:r w:rsidRPr="008C36A7">
        <w:t xml:space="preserve">. For </w:t>
      </w:r>
      <w:r w:rsidR="00F66280" w:rsidRPr="00F66280">
        <w:rPr>
          <w:b/>
        </w:rPr>
        <w:t>females</w:t>
      </w:r>
      <w:r w:rsidRPr="008C36A7">
        <w:t xml:space="preserve"> in Aberdeen City, life expectancy at birth was 81.2 years and healthy life expectancy was 67.4 years, giving an expected period of ‘</w:t>
      </w:r>
      <w:r w:rsidRPr="00F66280">
        <w:rPr>
          <w:b/>
        </w:rPr>
        <w:t>not healthy’ health of 13.8 years</w:t>
      </w:r>
      <w:r w:rsidRPr="008C36A7">
        <w:t>.  So</w:t>
      </w:r>
      <w:r w:rsidR="00CA7AAE">
        <w:t>,</w:t>
      </w:r>
      <w:r w:rsidRPr="008C36A7">
        <w:t xml:space="preserve"> while women have a higher life expectancy, they also experience a longer time in ‘not healthy’ health than men.  This pattern is consistent with Scotland as a whole – although both LE and HLE are slightly higher in Aberdeen City than in Scotland for both males and females.  In Scotland men have an expected period of ‘not healthy’ health of 13.5 years.  For women the figure is 15.6 years.</w:t>
      </w:r>
    </w:p>
    <w:p w14:paraId="6C62B8B0" w14:textId="5A8B1259" w:rsidR="00BD736D" w:rsidRDefault="00BD736D" w:rsidP="008C36A7"/>
    <w:p w14:paraId="244BBB4C" w14:textId="67DEBADA" w:rsidR="00BD736D" w:rsidRDefault="00BD736D" w:rsidP="008C36A7">
      <w:r>
        <w:rPr>
          <w:noProof/>
        </w:rPr>
        <w:drawing>
          <wp:inline distT="0" distB="0" distL="0" distR="0" wp14:anchorId="66B329EA" wp14:editId="05B1C8FF">
            <wp:extent cx="5160396" cy="2743200"/>
            <wp:effectExtent l="0" t="0" r="2540" b="0"/>
            <wp:docPr id="11" name="Chart 11">
              <a:extLst xmlns:a="http://schemas.openxmlformats.org/drawingml/2006/main">
                <a:ext uri="{FF2B5EF4-FFF2-40B4-BE49-F238E27FC236}">
                  <a16:creationId xmlns:a16="http://schemas.microsoft.com/office/drawing/2014/main" id="{9C702F51-D2C7-44D2-9418-04EE882E48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A658FDC" w14:textId="77777777" w:rsidR="000172EC" w:rsidRPr="008C36A7" w:rsidRDefault="000172EC" w:rsidP="008C36A7"/>
    <w:p w14:paraId="59EB51FC" w14:textId="06D1F36B" w:rsidR="00CA7AAE" w:rsidRPr="00CA7AAE" w:rsidRDefault="00CA7AAE" w:rsidP="00CA7AAE">
      <w:r>
        <w:t>As with life expectancy, healthy life expectancy is strongly associated with deprivation.  While no data is available at local authority level, in Scotland, t</w:t>
      </w:r>
      <w:r w:rsidRPr="00CA7AAE">
        <w:t>he expected period of ‘not healthy’ health increased with increasing deprivation</w:t>
      </w:r>
      <w:r>
        <w:t xml:space="preserve">.  For males </w:t>
      </w:r>
      <w:r w:rsidR="00873B32">
        <w:t>the estimate</w:t>
      </w:r>
      <w:r>
        <w:t>d period of ‘not healthy’ health ranged</w:t>
      </w:r>
      <w:r w:rsidRPr="00CA7AAE">
        <w:t xml:space="preserve"> from 9.9 years in the least deprived quintile to 17.7 years in the most deprived quintile.  The length of time a </w:t>
      </w:r>
      <w:r>
        <w:t>female</w:t>
      </w:r>
      <w:r w:rsidRPr="00CA7AAE">
        <w:t xml:space="preserve"> could expect to spend in ‘not healthy’ health ranged from 11.3 years for a woman in the least deprived quintile to 21.0 years in the most deprived quintile.  Another way of saying this is that a woman </w:t>
      </w:r>
      <w:r>
        <w:t xml:space="preserve">born </w:t>
      </w:r>
      <w:r w:rsidRPr="00CA7AAE">
        <w:t xml:space="preserve">in the least deprived quintile could expect to live </w:t>
      </w:r>
      <w:r>
        <w:t>13</w:t>
      </w:r>
      <w:r w:rsidRPr="00CA7AAE">
        <w:t>% of her life in ‘</w:t>
      </w:r>
      <w:r>
        <w:t xml:space="preserve">not </w:t>
      </w:r>
      <w:r w:rsidRPr="00CA7AAE">
        <w:t>healthy’ health compared to a woman in the most deprived quintile who could expect to live</w:t>
      </w:r>
      <w:r>
        <w:t xml:space="preserve"> over a quarter (27</w:t>
      </w:r>
      <w:r w:rsidRPr="00CA7AAE">
        <w:t>%</w:t>
      </w:r>
      <w:r>
        <w:t>) of her life</w:t>
      </w:r>
      <w:r w:rsidRPr="00CA7AAE">
        <w:t xml:space="preserve"> in ‘</w:t>
      </w:r>
      <w:r>
        <w:t xml:space="preserve">not </w:t>
      </w:r>
      <w:r w:rsidRPr="00CA7AAE">
        <w:t>healthy’ health.</w:t>
      </w:r>
    </w:p>
    <w:p w14:paraId="4C3CBDF0" w14:textId="400F9A17" w:rsidR="008C36A7" w:rsidRPr="008C36A7" w:rsidRDefault="008C36A7" w:rsidP="008C36A7"/>
    <w:p w14:paraId="4A60EFE3" w14:textId="07AEA59C" w:rsidR="00FE0188" w:rsidRDefault="00FE0188" w:rsidP="00FE0188">
      <w:pPr>
        <w:pStyle w:val="Heading2"/>
        <w:numPr>
          <w:ilvl w:val="1"/>
          <w:numId w:val="4"/>
        </w:numPr>
        <w:spacing w:after="240"/>
      </w:pPr>
      <w:bookmarkStart w:id="26" w:name="_Toc519088561"/>
      <w:r>
        <w:lastRenderedPageBreak/>
        <w:t>Households</w:t>
      </w:r>
      <w:bookmarkEnd w:id="26"/>
    </w:p>
    <w:p w14:paraId="03DFC64A" w14:textId="651D4401" w:rsidR="00FE0188" w:rsidRDefault="00FE0188" w:rsidP="00FE0188">
      <w:r w:rsidRPr="005722CA">
        <w:t xml:space="preserve">In 2017, </w:t>
      </w:r>
      <w:r>
        <w:t xml:space="preserve">there were </w:t>
      </w:r>
      <w:r w:rsidRPr="007B3DE7">
        <w:rPr>
          <w:b/>
        </w:rPr>
        <w:t>107,635</w:t>
      </w:r>
      <w:r w:rsidRPr="005722CA">
        <w:t xml:space="preserve"> households in Aberdeen City </w:t>
      </w:r>
      <w:r>
        <w:t>an</w:t>
      </w:r>
      <w:r w:rsidRPr="005722CA">
        <w:t xml:space="preserve"> increase </w:t>
      </w:r>
      <w:r>
        <w:t xml:space="preserve">of </w:t>
      </w:r>
      <w:r w:rsidRPr="007B3DE7">
        <w:t xml:space="preserve">0.8% </w:t>
      </w:r>
      <w:r w:rsidRPr="005722CA">
        <w:t>from 106,749 households in 2016</w:t>
      </w:r>
      <w:r>
        <w:t xml:space="preserve">, and </w:t>
      </w:r>
      <w:r w:rsidR="00B919E2">
        <w:t>the same as</w:t>
      </w:r>
      <w:r>
        <w:t xml:space="preserve"> the rate of increase for Scotland as a whole</w:t>
      </w:r>
      <w:r w:rsidRPr="005722CA">
        <w:t xml:space="preserve">. </w:t>
      </w:r>
      <w:r>
        <w:t xml:space="preserve">Since 2007, the number of households in Aberdeen has increased by 5.6% - lower than the average rate for Scotland of 6.2%.  </w:t>
      </w:r>
    </w:p>
    <w:p w14:paraId="2EC6CE47" w14:textId="77777777" w:rsidR="000172EC" w:rsidRDefault="000172EC" w:rsidP="00FE0188"/>
    <w:p w14:paraId="1BDC1CEF" w14:textId="26D9D657" w:rsidR="000172EC" w:rsidRPr="000172EC" w:rsidRDefault="00FE0188" w:rsidP="000172EC">
      <w:pPr>
        <w:pStyle w:val="Heading2"/>
        <w:numPr>
          <w:ilvl w:val="2"/>
          <w:numId w:val="4"/>
        </w:numPr>
        <w:spacing w:after="240"/>
      </w:pPr>
      <w:bookmarkStart w:id="27" w:name="_Toc519088562"/>
      <w:r w:rsidRPr="000172EC">
        <w:t>Household size</w:t>
      </w:r>
      <w:bookmarkEnd w:id="27"/>
    </w:p>
    <w:p w14:paraId="3AC6AACC" w14:textId="5E798F62" w:rsidR="00FE0188" w:rsidRDefault="00FE0188" w:rsidP="00FE0188">
      <w:r>
        <w:t xml:space="preserve">In 2017 the average household size in Aberdeen City was 2.04 – equal lowest (along with Argyll and Bute) of all local authorities in Scotland. The average household size for Scotland is 2.16.   While relatively low, Aberdeen City is one of the few local authorities (including City of Edinburgh and Glasgow City) which has seen an overall increase in average household size over the past 10 years.  However, unlike both Edinburgh and Glasgow, average household size has decreased sharply in Aberdeen over the past 2 years, from 2.10 in 2015 to its current level of 2.04.  </w:t>
      </w:r>
    </w:p>
    <w:p w14:paraId="72932A80" w14:textId="77777777" w:rsidR="00FE0188" w:rsidRDefault="00FE0188" w:rsidP="00FE0188"/>
    <w:p w14:paraId="12D25AE7" w14:textId="77777777" w:rsidR="00FE0188" w:rsidRPr="008B78F6" w:rsidRDefault="00FE0188" w:rsidP="00FE0188">
      <w:r>
        <w:rPr>
          <w:noProof/>
        </w:rPr>
        <w:drawing>
          <wp:inline distT="0" distB="0" distL="0" distR="0" wp14:anchorId="7CE94CF2" wp14:editId="6F168BD3">
            <wp:extent cx="4913630" cy="2918129"/>
            <wp:effectExtent l="0" t="0" r="1270" b="15875"/>
            <wp:docPr id="38" name="Chart 38">
              <a:extLst xmlns:a="http://schemas.openxmlformats.org/drawingml/2006/main">
                <a:ext uri="{FF2B5EF4-FFF2-40B4-BE49-F238E27FC236}">
                  <a16:creationId xmlns:a16="http://schemas.microsoft.com/office/drawing/2014/main" id="{39643346-64CF-40F2-9715-79009ED9DE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AF600B3" w14:textId="47B43A7B" w:rsidR="00FE0188" w:rsidRDefault="000172EC" w:rsidP="00FE0188">
      <w:pPr>
        <w:rPr>
          <w:sz w:val="16"/>
          <w:szCs w:val="16"/>
        </w:rPr>
      </w:pPr>
      <w:r w:rsidRPr="000172EC">
        <w:rPr>
          <w:sz w:val="16"/>
          <w:szCs w:val="16"/>
        </w:rPr>
        <w:t>Source: National Records of Scotland</w:t>
      </w:r>
    </w:p>
    <w:p w14:paraId="68346024" w14:textId="77777777" w:rsidR="000172EC" w:rsidRPr="000172EC" w:rsidRDefault="000172EC" w:rsidP="00FE0188">
      <w:pPr>
        <w:rPr>
          <w:sz w:val="16"/>
          <w:szCs w:val="16"/>
        </w:rPr>
      </w:pPr>
    </w:p>
    <w:p w14:paraId="51A4B155" w14:textId="39A35737" w:rsidR="000172EC" w:rsidRPr="000172EC" w:rsidRDefault="00FE0188" w:rsidP="000172EC">
      <w:pPr>
        <w:pStyle w:val="Heading2"/>
        <w:numPr>
          <w:ilvl w:val="2"/>
          <w:numId w:val="4"/>
        </w:numPr>
        <w:spacing w:after="240"/>
      </w:pPr>
      <w:bookmarkStart w:id="28" w:name="_Toc519088563"/>
      <w:r w:rsidRPr="000172EC">
        <w:t>Household projections</w:t>
      </w:r>
      <w:bookmarkEnd w:id="28"/>
    </w:p>
    <w:p w14:paraId="3A859005" w14:textId="4C83049B" w:rsidR="00FE0188" w:rsidRDefault="00B53529" w:rsidP="00FE0188">
      <w:r w:rsidRPr="00B53529">
        <w:t>Between 2016 and 2026, the number of households in Aberdeen City is projected to increase from 106,749 to 113,128. This is a 6.0% increase, which compares to a projected increase of 6.4% for Scotland as a whole</w:t>
      </w:r>
      <w:r>
        <w:t xml:space="preserve">. </w:t>
      </w:r>
      <w:r w:rsidRPr="00B53529">
        <w:t>In 2026, the household type “One adult” is projected to remain the most common (40.9%) and the household type “One adult, one or more children” is projected to remain the least common (4.2%) in Aberdeen City.</w:t>
      </w:r>
      <w:r>
        <w:t xml:space="preserve">  </w:t>
      </w:r>
      <w:r w:rsidRPr="00B53529">
        <w:t>Between 2016 and 2026, the household type “Three or more adults” is projected to see the largest percentage decrease (-11.6%) and the household type “One adult” is projected to see the largest percentage increase (+9.4%).</w:t>
      </w:r>
      <w:r>
        <w:t xml:space="preserve"> </w:t>
      </w:r>
    </w:p>
    <w:p w14:paraId="7FFD54B0" w14:textId="77777777" w:rsidR="000172EC" w:rsidRPr="00482236" w:rsidRDefault="000172EC" w:rsidP="00FE0188"/>
    <w:p w14:paraId="7125ED45" w14:textId="3B48EB65" w:rsidR="00FE0188" w:rsidRDefault="00FE0188" w:rsidP="00FE0188"/>
    <w:p w14:paraId="12DFDCF4" w14:textId="4205934B" w:rsidR="00FE0188" w:rsidRDefault="00FE0188" w:rsidP="00FE0188">
      <w:pPr>
        <w:rPr>
          <w:b/>
        </w:rPr>
      </w:pPr>
    </w:p>
    <w:p w14:paraId="48859272" w14:textId="230A4DA2" w:rsidR="00B53529" w:rsidRDefault="0073150D" w:rsidP="00FE0188">
      <w:pPr>
        <w:rPr>
          <w:b/>
        </w:rPr>
      </w:pPr>
      <w:r>
        <w:rPr>
          <w:noProof/>
        </w:rPr>
        <w:lastRenderedPageBreak/>
        <w:drawing>
          <wp:inline distT="0" distB="0" distL="0" distR="0" wp14:anchorId="0B91356B" wp14:editId="6C122C04">
            <wp:extent cx="5390707" cy="3157869"/>
            <wp:effectExtent l="0" t="0" r="635" b="4445"/>
            <wp:docPr id="224" name="Chart 224">
              <a:extLst xmlns:a="http://schemas.openxmlformats.org/drawingml/2006/main">
                <a:ext uri="{FF2B5EF4-FFF2-40B4-BE49-F238E27FC236}">
                  <a16:creationId xmlns:a16="http://schemas.microsoft.com/office/drawing/2014/main" id="{CEF3B368-FB28-402E-95FD-1E7778FD9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C8E0AD1" w14:textId="77777777" w:rsidR="0073150D" w:rsidRPr="0073150D" w:rsidRDefault="0073150D" w:rsidP="0073150D">
      <w:r w:rsidRPr="0073150D">
        <w:t>Source: National Records of Scotland</w:t>
      </w:r>
    </w:p>
    <w:p w14:paraId="5D5114F8" w14:textId="77777777" w:rsidR="0073150D" w:rsidRDefault="0073150D" w:rsidP="00FE0188">
      <w:pPr>
        <w:rPr>
          <w:b/>
        </w:rPr>
      </w:pPr>
    </w:p>
    <w:p w14:paraId="782D4957" w14:textId="78CF025D" w:rsidR="000172EC" w:rsidRPr="000172EC" w:rsidRDefault="00FE0188" w:rsidP="000172EC">
      <w:pPr>
        <w:pStyle w:val="Heading2"/>
        <w:numPr>
          <w:ilvl w:val="2"/>
          <w:numId w:val="4"/>
        </w:numPr>
        <w:spacing w:after="240"/>
      </w:pPr>
      <w:bookmarkStart w:id="29" w:name="_Toc519088564"/>
      <w:r w:rsidRPr="000172EC">
        <w:t>Household</w:t>
      </w:r>
      <w:r w:rsidR="000172EC">
        <w:t xml:space="preserve"> projections</w:t>
      </w:r>
      <w:r w:rsidRPr="000172EC">
        <w:t xml:space="preserve"> by age group of Household Reference Person</w:t>
      </w:r>
      <w:bookmarkEnd w:id="29"/>
    </w:p>
    <w:p w14:paraId="312C476C" w14:textId="27222DBA" w:rsidR="00FE0188" w:rsidRDefault="00B53529" w:rsidP="00FE0188">
      <w:r w:rsidRPr="00B53529">
        <w:t>Between 2016 and 2026, the 25 to 29 age group is projected to see the largest percentage decrease (-17.2%) and the 35 to 39 age group is projected to see the largest percentage increase (+31.5%). In terms of size, however, 35 to 39 is projected to become the largest age group of a Household Reference Person (HRP), compared to 25 to 29 in 2016.</w:t>
      </w:r>
      <w:r w:rsidR="00FE0188">
        <w:t xml:space="preserve"> </w:t>
      </w:r>
    </w:p>
    <w:p w14:paraId="65410A2A" w14:textId="46C43301" w:rsidR="0073150D" w:rsidRDefault="0073150D" w:rsidP="00FE0188"/>
    <w:p w14:paraId="04F91E6E" w14:textId="6ECC2266" w:rsidR="00FE0188" w:rsidRDefault="0073150D" w:rsidP="0073150D">
      <w:r>
        <w:rPr>
          <w:noProof/>
        </w:rPr>
        <w:drawing>
          <wp:inline distT="0" distB="0" distL="0" distR="0" wp14:anchorId="7D7120A1" wp14:editId="776FD37D">
            <wp:extent cx="5465135" cy="3327991"/>
            <wp:effectExtent l="0" t="0" r="2540" b="6350"/>
            <wp:docPr id="225" name="Chart 225">
              <a:extLst xmlns:a="http://schemas.openxmlformats.org/drawingml/2006/main">
                <a:ext uri="{FF2B5EF4-FFF2-40B4-BE49-F238E27FC236}">
                  <a16:creationId xmlns:a16="http://schemas.microsoft.com/office/drawing/2014/main" id="{91C96E0F-A08B-4B41-A715-3DF3E90C66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4110B3F" w14:textId="77777777" w:rsidR="00FE0188" w:rsidRPr="000172EC" w:rsidRDefault="00FE0188" w:rsidP="00FE0188">
      <w:pPr>
        <w:rPr>
          <w:sz w:val="16"/>
          <w:szCs w:val="16"/>
        </w:rPr>
      </w:pPr>
      <w:r w:rsidRPr="000172EC">
        <w:rPr>
          <w:sz w:val="16"/>
          <w:szCs w:val="16"/>
        </w:rPr>
        <w:t>Source: National Records of Scotland.</w:t>
      </w:r>
    </w:p>
    <w:p w14:paraId="5C7D13D5" w14:textId="77777777" w:rsidR="008C36A7" w:rsidRPr="008C36A7" w:rsidRDefault="008C36A7" w:rsidP="008C36A7"/>
    <w:p w14:paraId="63BFDD7A" w14:textId="4B750DFC" w:rsidR="00700024" w:rsidRDefault="00700024">
      <w:r>
        <w:br w:type="page"/>
      </w:r>
    </w:p>
    <w:p w14:paraId="72F34AC2" w14:textId="0324A5DA" w:rsidR="00700024" w:rsidRDefault="004A6195" w:rsidP="004A6195">
      <w:pPr>
        <w:pStyle w:val="Heading1"/>
        <w:numPr>
          <w:ilvl w:val="0"/>
          <w:numId w:val="4"/>
        </w:numPr>
        <w:spacing w:after="240"/>
      </w:pPr>
      <w:bookmarkStart w:id="30" w:name="_Toc519088565"/>
      <w:r>
        <w:lastRenderedPageBreak/>
        <w:t>Children</w:t>
      </w:r>
      <w:bookmarkEnd w:id="30"/>
    </w:p>
    <w:p w14:paraId="71BEE3ED" w14:textId="75B89472" w:rsidR="004A6195" w:rsidRDefault="004A6195" w:rsidP="00B919E2">
      <w:pPr>
        <w:pStyle w:val="Heading2"/>
        <w:numPr>
          <w:ilvl w:val="1"/>
          <w:numId w:val="4"/>
        </w:numPr>
        <w:spacing w:after="240"/>
      </w:pPr>
      <w:bookmarkStart w:id="31" w:name="_Toc519088566"/>
      <w:r>
        <w:t>Overview – number of children by smaller age groups.</w:t>
      </w:r>
      <w:bookmarkEnd w:id="31"/>
    </w:p>
    <w:p w14:paraId="09314D44" w14:textId="172157EB" w:rsidR="005D25BE" w:rsidRDefault="005D25BE" w:rsidP="005D25BE">
      <w:r>
        <w:t xml:space="preserve">In 2016, there were </w:t>
      </w:r>
      <w:r w:rsidR="005E744F">
        <w:t>34,187</w:t>
      </w:r>
      <w:r>
        <w:t xml:space="preserve"> children (0-1</w:t>
      </w:r>
      <w:r w:rsidR="005E744F">
        <w:t>5</w:t>
      </w:r>
      <w:r>
        <w:t xml:space="preserve"> years) in Aberdeen City.  The number and proportion of children varies by neighbourhood</w:t>
      </w:r>
      <w:r w:rsidR="00D464D5">
        <w:t>.</w:t>
      </w:r>
      <w:r w:rsidR="003D35AA">
        <w:t xml:space="preserve">  </w:t>
      </w:r>
      <w:r w:rsidR="00740836">
        <w:t>In terms of numbers, Old Aberdeen has the smallest child population (</w:t>
      </w:r>
      <w:r w:rsidR="005E744F">
        <w:t>300</w:t>
      </w:r>
      <w:r w:rsidR="00740836">
        <w:t>) while Cults, Bieldside and Milltimber has the largest (</w:t>
      </w:r>
      <w:r w:rsidR="005E744F">
        <w:t>2,149</w:t>
      </w:r>
      <w:r w:rsidR="00740836">
        <w:t xml:space="preserve">).  </w:t>
      </w:r>
      <w:r w:rsidR="003D35AA">
        <w:t xml:space="preserve">Hanover </w:t>
      </w:r>
      <w:r w:rsidR="00740836">
        <w:t xml:space="preserve">has the smallest proportion of </w:t>
      </w:r>
      <w:r w:rsidR="003D35AA">
        <w:t xml:space="preserve">children </w:t>
      </w:r>
      <w:r w:rsidR="00740836">
        <w:t>(</w:t>
      </w:r>
      <w:r w:rsidR="003D35AA">
        <w:t>6.</w:t>
      </w:r>
      <w:r w:rsidR="005E744F">
        <w:t>9</w:t>
      </w:r>
      <w:r w:rsidR="003D35AA">
        <w:t>% of the population</w:t>
      </w:r>
      <w:r w:rsidR="00740836">
        <w:t>)</w:t>
      </w:r>
      <w:r w:rsidR="003D35AA">
        <w:t xml:space="preserve"> and Middlefield </w:t>
      </w:r>
      <w:r w:rsidR="00740836">
        <w:t>the largest (</w:t>
      </w:r>
      <w:r w:rsidR="003D35AA">
        <w:t>2</w:t>
      </w:r>
      <w:r w:rsidR="005E744F">
        <w:t>3.3</w:t>
      </w:r>
      <w:r w:rsidR="003D35AA">
        <w:t>%</w:t>
      </w:r>
      <w:r w:rsidR="00740836">
        <w:t>)</w:t>
      </w:r>
      <w:r w:rsidR="00D464D5">
        <w:t>.</w:t>
      </w:r>
      <w:r>
        <w:t xml:space="preserve"> </w:t>
      </w:r>
      <w:r w:rsidR="00657393">
        <w:t xml:space="preserve"> </w:t>
      </w:r>
      <w:r w:rsidR="00657393" w:rsidRPr="00592551">
        <w:t xml:space="preserve">(Note: using 2016 MYEs to allow for neighbourhood breakdown since </w:t>
      </w:r>
      <w:r w:rsidR="004F67AE" w:rsidRPr="00592551">
        <w:t>Small Area Population Estimates for 2017 are not due out until August.)</w:t>
      </w:r>
    </w:p>
    <w:p w14:paraId="4D953AD5" w14:textId="67DCF6D6" w:rsidR="000172EC" w:rsidRDefault="000172EC" w:rsidP="005D25BE">
      <w:pPr>
        <w:rPr>
          <w:highlight w:val="yellow"/>
        </w:rPr>
      </w:pPr>
    </w:p>
    <w:p w14:paraId="22F6696E" w14:textId="029AE219" w:rsidR="004A1162" w:rsidRDefault="004A1162" w:rsidP="005D25BE">
      <w:pPr>
        <w:rPr>
          <w:highlight w:val="yellow"/>
        </w:rPr>
      </w:pPr>
      <w:r>
        <w:rPr>
          <w:noProof/>
        </w:rPr>
        <w:drawing>
          <wp:inline distT="0" distB="0" distL="0" distR="0" wp14:anchorId="0AE08EBC" wp14:editId="12C875B9">
            <wp:extent cx="5200650" cy="2739390"/>
            <wp:effectExtent l="0" t="0" r="0" b="3810"/>
            <wp:docPr id="9" name="Chart 9">
              <a:extLst xmlns:a="http://schemas.openxmlformats.org/drawingml/2006/main">
                <a:ext uri="{FF2B5EF4-FFF2-40B4-BE49-F238E27FC236}">
                  <a16:creationId xmlns:a16="http://schemas.microsoft.com/office/drawing/2014/main" id="{BC37DD02-6614-4515-8137-978E76923C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A190364" w14:textId="77777777" w:rsidR="00B919E2" w:rsidRPr="000172EC" w:rsidRDefault="00B919E2" w:rsidP="00B919E2">
      <w:pPr>
        <w:rPr>
          <w:sz w:val="16"/>
          <w:szCs w:val="16"/>
        </w:rPr>
      </w:pPr>
      <w:r w:rsidRPr="000172EC">
        <w:rPr>
          <w:sz w:val="16"/>
          <w:szCs w:val="16"/>
        </w:rPr>
        <w:t>Source: National Records of Scotland, Small Area Populations, 2016</w:t>
      </w:r>
    </w:p>
    <w:p w14:paraId="5619400D" w14:textId="1DBDC035" w:rsidR="00B919E2" w:rsidRDefault="00B919E2" w:rsidP="00B919E2"/>
    <w:p w14:paraId="13836209" w14:textId="2961A788" w:rsidR="00A00BEA" w:rsidRDefault="004A1162" w:rsidP="00B919E2">
      <w:r>
        <w:rPr>
          <w:noProof/>
        </w:rPr>
        <w:drawing>
          <wp:inline distT="0" distB="0" distL="0" distR="0" wp14:anchorId="2264C4FB" wp14:editId="03028DEC">
            <wp:extent cx="5168900" cy="2927350"/>
            <wp:effectExtent l="0" t="0" r="12700" b="6350"/>
            <wp:docPr id="14" name="Chart 14">
              <a:extLst xmlns:a="http://schemas.openxmlformats.org/drawingml/2006/main">
                <a:ext uri="{FF2B5EF4-FFF2-40B4-BE49-F238E27FC236}">
                  <a16:creationId xmlns:a16="http://schemas.microsoft.com/office/drawing/2014/main" id="{A803333A-EC6C-4F0F-9001-FAFCCAD670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28E14E7" w14:textId="0389350D" w:rsidR="007C66C7" w:rsidRPr="000172EC" w:rsidRDefault="00162E36" w:rsidP="000172EC">
      <w:pPr>
        <w:ind w:left="0"/>
        <w:rPr>
          <w:sz w:val="16"/>
          <w:szCs w:val="16"/>
        </w:rPr>
      </w:pPr>
      <w:r w:rsidRPr="000172EC">
        <w:rPr>
          <w:sz w:val="16"/>
          <w:szCs w:val="16"/>
        </w:rPr>
        <w:tab/>
        <w:t>Source: National Records of Scotland, Small Area Populations, 2016</w:t>
      </w:r>
    </w:p>
    <w:p w14:paraId="38066B75" w14:textId="70EF6411" w:rsidR="00162E36" w:rsidRDefault="00162E36" w:rsidP="00E54606">
      <w:pPr>
        <w:spacing w:before="240"/>
        <w:ind w:left="721" w:hanging="902"/>
        <w:rPr>
          <w:rFonts w:ascii="Calibri" w:hAnsi="Calibri" w:cs="Calibri"/>
        </w:rPr>
      </w:pPr>
      <w:r>
        <w:tab/>
      </w:r>
      <w:r w:rsidRPr="001F6547">
        <w:rPr>
          <w:rFonts w:ascii="Calibri" w:hAnsi="Calibri" w:cs="Calibri"/>
        </w:rPr>
        <w:t xml:space="preserve">20% of households in Aberdeen City include children.  </w:t>
      </w:r>
      <w:r w:rsidR="00F15820">
        <w:rPr>
          <w:rFonts w:ascii="Calibri" w:hAnsi="Calibri" w:cs="Calibri"/>
        </w:rPr>
        <w:t>Single parent families make up 4% of households in the City (</w:t>
      </w:r>
      <w:r w:rsidR="0019539C">
        <w:rPr>
          <w:rFonts w:ascii="Calibri" w:hAnsi="Calibri" w:cs="Calibri"/>
        </w:rPr>
        <w:t xml:space="preserve">equivalent to </w:t>
      </w:r>
      <w:r w:rsidR="00F15820">
        <w:rPr>
          <w:rFonts w:ascii="Calibri" w:hAnsi="Calibri" w:cs="Calibri"/>
        </w:rPr>
        <w:t>20% of all households with children).</w:t>
      </w:r>
    </w:p>
    <w:p w14:paraId="69553F05" w14:textId="383F267E" w:rsidR="00162E36" w:rsidRPr="001F6547" w:rsidRDefault="00162E36" w:rsidP="000172EC">
      <w:pPr>
        <w:spacing w:before="240"/>
        <w:ind w:left="0" w:firstLine="720"/>
        <w:jc w:val="both"/>
        <w:rPr>
          <w:rFonts w:ascii="Calibri" w:hAnsi="Calibri" w:cs="Calibri"/>
          <w:b/>
          <w:iCs/>
          <w:color w:val="FFFFFF"/>
        </w:rPr>
      </w:pPr>
      <w:r w:rsidRPr="001F6547">
        <w:rPr>
          <w:rFonts w:ascii="Calibri" w:hAnsi="Calibri" w:cs="Calibri"/>
          <w:b/>
          <w:iCs/>
          <w:color w:val="000000"/>
        </w:rPr>
        <w:lastRenderedPageBreak/>
        <w:t>Composition of households with children, Aberdeen City and Scotland, 201</w:t>
      </w:r>
      <w:r w:rsidR="00F15820">
        <w:rPr>
          <w:rFonts w:ascii="Calibri" w:hAnsi="Calibri" w:cs="Calibri"/>
          <w:b/>
          <w:iCs/>
          <w:color w:val="000000"/>
        </w:rPr>
        <w:t>6</w:t>
      </w:r>
      <w:r w:rsidRPr="001F6547">
        <w:rPr>
          <w:rFonts w:ascii="Calibri" w:hAnsi="Calibri" w:cs="Calibri"/>
          <w:b/>
          <w:iCs/>
          <w:color w:val="000000"/>
        </w:rPr>
        <w:t xml:space="preserve"> </w:t>
      </w:r>
    </w:p>
    <w:tbl>
      <w:tblPr>
        <w:tblW w:w="0" w:type="auto"/>
        <w:jc w:val="center"/>
        <w:tblBorders>
          <w:top w:val="single" w:sz="8" w:space="0" w:color="auto"/>
          <w:left w:val="single" w:sz="8" w:space="0" w:color="auto"/>
          <w:bottom w:val="single" w:sz="8" w:space="0" w:color="auto"/>
          <w:right w:val="single" w:sz="8" w:space="0" w:color="auto"/>
        </w:tblBorders>
        <w:tblLook w:val="01E0" w:firstRow="1" w:lastRow="1" w:firstColumn="1" w:lastColumn="1" w:noHBand="0" w:noVBand="0"/>
      </w:tblPr>
      <w:tblGrid>
        <w:gridCol w:w="4185"/>
        <w:gridCol w:w="1753"/>
        <w:gridCol w:w="1654"/>
      </w:tblGrid>
      <w:tr w:rsidR="00162E36" w:rsidRPr="001F6547" w14:paraId="35BEFB1B" w14:textId="77777777" w:rsidTr="001F6547">
        <w:trPr>
          <w:trHeight w:val="340"/>
          <w:jc w:val="center"/>
        </w:trPr>
        <w:tc>
          <w:tcPr>
            <w:tcW w:w="4185" w:type="dxa"/>
            <w:tcBorders>
              <w:top w:val="single" w:sz="4" w:space="0" w:color="auto"/>
              <w:left w:val="single" w:sz="4" w:space="0" w:color="auto"/>
              <w:bottom w:val="single" w:sz="4" w:space="0" w:color="auto"/>
              <w:right w:val="single" w:sz="4" w:space="0" w:color="auto"/>
            </w:tcBorders>
            <w:shd w:val="clear" w:color="auto" w:fill="DBE5F1"/>
            <w:vAlign w:val="center"/>
          </w:tcPr>
          <w:p w14:paraId="065F82A7" w14:textId="77777777" w:rsidR="00162E36" w:rsidRPr="001F6547" w:rsidRDefault="00162E36" w:rsidP="00740836">
            <w:pPr>
              <w:tabs>
                <w:tab w:val="center" w:pos="4320"/>
                <w:tab w:val="right" w:pos="8640"/>
              </w:tabs>
              <w:jc w:val="both"/>
              <w:rPr>
                <w:rFonts w:ascii="Calibri" w:hAnsi="Calibri" w:cs="Calibri"/>
                <w:b/>
                <w:sz w:val="20"/>
                <w:lang w:val="en-US"/>
              </w:rPr>
            </w:pPr>
            <w:r w:rsidRPr="001F6547">
              <w:rPr>
                <w:rFonts w:ascii="Calibri" w:hAnsi="Calibri" w:cs="Calibri"/>
                <w:b/>
                <w:sz w:val="20"/>
                <w:lang w:val="en-US"/>
              </w:rPr>
              <w:t>Type of household</w:t>
            </w:r>
          </w:p>
        </w:tc>
        <w:tc>
          <w:tcPr>
            <w:tcW w:w="1597" w:type="dxa"/>
            <w:tcBorders>
              <w:top w:val="single" w:sz="4" w:space="0" w:color="auto"/>
              <w:left w:val="single" w:sz="4" w:space="0" w:color="auto"/>
              <w:bottom w:val="single" w:sz="4" w:space="0" w:color="auto"/>
              <w:right w:val="single" w:sz="4" w:space="0" w:color="auto"/>
            </w:tcBorders>
            <w:shd w:val="clear" w:color="auto" w:fill="DBE5F1"/>
            <w:vAlign w:val="center"/>
          </w:tcPr>
          <w:p w14:paraId="1924005C" w14:textId="77777777" w:rsidR="00162E36" w:rsidRPr="001F6547" w:rsidRDefault="00162E36" w:rsidP="00740836">
            <w:pPr>
              <w:tabs>
                <w:tab w:val="center" w:pos="4320"/>
                <w:tab w:val="right" w:pos="8640"/>
              </w:tabs>
              <w:jc w:val="right"/>
              <w:rPr>
                <w:rFonts w:ascii="Calibri" w:hAnsi="Calibri" w:cs="Calibri"/>
                <w:b/>
                <w:sz w:val="20"/>
                <w:lang w:val="en-US"/>
              </w:rPr>
            </w:pPr>
            <w:r w:rsidRPr="001F6547">
              <w:rPr>
                <w:rFonts w:ascii="Calibri" w:hAnsi="Calibri" w:cs="Calibri"/>
                <w:b/>
                <w:sz w:val="20"/>
                <w:lang w:val="en-US"/>
              </w:rPr>
              <w:t>Aberdeen City</w:t>
            </w:r>
          </w:p>
        </w:tc>
        <w:tc>
          <w:tcPr>
            <w:tcW w:w="1597" w:type="dxa"/>
            <w:tcBorders>
              <w:top w:val="single" w:sz="4" w:space="0" w:color="auto"/>
              <w:left w:val="single" w:sz="4" w:space="0" w:color="auto"/>
              <w:bottom w:val="single" w:sz="4" w:space="0" w:color="auto"/>
              <w:right w:val="single" w:sz="4" w:space="0" w:color="auto"/>
            </w:tcBorders>
            <w:shd w:val="clear" w:color="auto" w:fill="DBE5F1"/>
            <w:vAlign w:val="center"/>
          </w:tcPr>
          <w:p w14:paraId="152E8C09" w14:textId="77777777" w:rsidR="00162E36" w:rsidRPr="001F6547" w:rsidRDefault="00162E36" w:rsidP="00740836">
            <w:pPr>
              <w:tabs>
                <w:tab w:val="center" w:pos="4320"/>
                <w:tab w:val="right" w:pos="8640"/>
              </w:tabs>
              <w:jc w:val="right"/>
              <w:rPr>
                <w:rFonts w:ascii="Calibri" w:hAnsi="Calibri" w:cs="Calibri"/>
                <w:b/>
                <w:sz w:val="20"/>
                <w:lang w:val="en-US"/>
              </w:rPr>
            </w:pPr>
            <w:r w:rsidRPr="001F6547">
              <w:rPr>
                <w:rFonts w:ascii="Calibri" w:hAnsi="Calibri" w:cs="Calibri"/>
                <w:b/>
                <w:sz w:val="20"/>
                <w:lang w:val="en-US"/>
              </w:rPr>
              <w:t>Scotland</w:t>
            </w:r>
          </w:p>
        </w:tc>
      </w:tr>
      <w:tr w:rsidR="00162E36" w:rsidRPr="001F6547" w14:paraId="082908C8" w14:textId="77777777" w:rsidTr="001F6547">
        <w:trPr>
          <w:trHeight w:val="312"/>
          <w:jc w:val="center"/>
        </w:trPr>
        <w:tc>
          <w:tcPr>
            <w:tcW w:w="4185" w:type="dxa"/>
            <w:tcBorders>
              <w:top w:val="single" w:sz="4" w:space="0" w:color="auto"/>
              <w:bottom w:val="single" w:sz="6" w:space="0" w:color="auto"/>
              <w:right w:val="single" w:sz="6" w:space="0" w:color="auto"/>
            </w:tcBorders>
            <w:shd w:val="clear" w:color="auto" w:fill="auto"/>
            <w:vAlign w:val="center"/>
          </w:tcPr>
          <w:p w14:paraId="7AB3F95F" w14:textId="77777777" w:rsidR="00162E36" w:rsidRPr="001F6547" w:rsidRDefault="00162E36" w:rsidP="00740836">
            <w:pPr>
              <w:tabs>
                <w:tab w:val="center" w:pos="4320"/>
                <w:tab w:val="right" w:pos="8640"/>
              </w:tabs>
              <w:jc w:val="both"/>
              <w:rPr>
                <w:rFonts w:ascii="Calibri" w:hAnsi="Calibri" w:cs="Calibri"/>
                <w:sz w:val="20"/>
                <w:lang w:val="en-US"/>
              </w:rPr>
            </w:pPr>
            <w:r w:rsidRPr="001F6547">
              <w:rPr>
                <w:rFonts w:ascii="Calibri" w:hAnsi="Calibri" w:cs="Calibri"/>
                <w:sz w:val="20"/>
                <w:lang w:val="en-US"/>
              </w:rPr>
              <w:t>Single parent</w:t>
            </w:r>
          </w:p>
        </w:tc>
        <w:tc>
          <w:tcPr>
            <w:tcW w:w="1597" w:type="dxa"/>
            <w:tcBorders>
              <w:top w:val="single" w:sz="4" w:space="0" w:color="auto"/>
              <w:left w:val="single" w:sz="6" w:space="0" w:color="auto"/>
              <w:bottom w:val="single" w:sz="6" w:space="0" w:color="auto"/>
              <w:right w:val="single" w:sz="6" w:space="0" w:color="auto"/>
            </w:tcBorders>
            <w:shd w:val="clear" w:color="auto" w:fill="auto"/>
            <w:vAlign w:val="center"/>
          </w:tcPr>
          <w:p w14:paraId="6572A50D" w14:textId="14ECDD08" w:rsidR="00162E36" w:rsidRPr="001F6547" w:rsidRDefault="001F6547" w:rsidP="00740836">
            <w:pPr>
              <w:tabs>
                <w:tab w:val="center" w:pos="4320"/>
                <w:tab w:val="right" w:pos="8640"/>
              </w:tabs>
              <w:jc w:val="right"/>
              <w:rPr>
                <w:rFonts w:ascii="Calibri" w:hAnsi="Calibri" w:cs="Calibri"/>
                <w:sz w:val="20"/>
                <w:lang w:val="en-US"/>
              </w:rPr>
            </w:pPr>
            <w:r w:rsidRPr="001F6547">
              <w:rPr>
                <w:rFonts w:ascii="Calibri" w:hAnsi="Calibri" w:cs="Calibri"/>
                <w:sz w:val="20"/>
                <w:lang w:val="en-US"/>
              </w:rPr>
              <w:t>4</w:t>
            </w:r>
            <w:r w:rsidR="00162E36" w:rsidRPr="001F6547">
              <w:rPr>
                <w:rFonts w:ascii="Calibri" w:hAnsi="Calibri" w:cs="Calibri"/>
                <w:sz w:val="20"/>
                <w:lang w:val="en-US"/>
              </w:rPr>
              <w:t>%</w:t>
            </w:r>
          </w:p>
        </w:tc>
        <w:tc>
          <w:tcPr>
            <w:tcW w:w="1597" w:type="dxa"/>
            <w:tcBorders>
              <w:top w:val="single" w:sz="4" w:space="0" w:color="auto"/>
              <w:left w:val="single" w:sz="6" w:space="0" w:color="auto"/>
              <w:bottom w:val="single" w:sz="6" w:space="0" w:color="auto"/>
            </w:tcBorders>
            <w:shd w:val="clear" w:color="auto" w:fill="auto"/>
            <w:vAlign w:val="center"/>
          </w:tcPr>
          <w:p w14:paraId="7A32C128" w14:textId="77777777" w:rsidR="00162E36" w:rsidRPr="001F6547" w:rsidRDefault="00162E36" w:rsidP="00740836">
            <w:pPr>
              <w:tabs>
                <w:tab w:val="center" w:pos="4320"/>
                <w:tab w:val="right" w:pos="8640"/>
              </w:tabs>
              <w:jc w:val="right"/>
              <w:rPr>
                <w:rFonts w:ascii="Calibri" w:hAnsi="Calibri" w:cs="Calibri"/>
                <w:sz w:val="20"/>
                <w:lang w:val="en-US"/>
              </w:rPr>
            </w:pPr>
            <w:r w:rsidRPr="001F6547">
              <w:rPr>
                <w:rFonts w:ascii="Calibri" w:hAnsi="Calibri" w:cs="Calibri"/>
                <w:sz w:val="20"/>
                <w:lang w:val="en-US"/>
              </w:rPr>
              <w:t>5%</w:t>
            </w:r>
          </w:p>
        </w:tc>
      </w:tr>
      <w:tr w:rsidR="00162E36" w:rsidRPr="001F6547" w14:paraId="43305F4F" w14:textId="77777777" w:rsidTr="001F6547">
        <w:trPr>
          <w:trHeight w:val="312"/>
          <w:jc w:val="center"/>
        </w:trPr>
        <w:tc>
          <w:tcPr>
            <w:tcW w:w="4185" w:type="dxa"/>
            <w:tcBorders>
              <w:top w:val="single" w:sz="6" w:space="0" w:color="auto"/>
              <w:bottom w:val="single" w:sz="6" w:space="0" w:color="auto"/>
              <w:right w:val="single" w:sz="6" w:space="0" w:color="auto"/>
            </w:tcBorders>
            <w:shd w:val="clear" w:color="auto" w:fill="auto"/>
            <w:vAlign w:val="center"/>
          </w:tcPr>
          <w:p w14:paraId="29428DD7" w14:textId="77777777" w:rsidR="00162E36" w:rsidRPr="001F6547" w:rsidRDefault="00162E36" w:rsidP="00740836">
            <w:pPr>
              <w:tabs>
                <w:tab w:val="center" w:pos="4320"/>
                <w:tab w:val="right" w:pos="8640"/>
              </w:tabs>
              <w:jc w:val="both"/>
              <w:rPr>
                <w:rFonts w:ascii="Calibri" w:hAnsi="Calibri" w:cs="Calibri"/>
                <w:sz w:val="20"/>
                <w:lang w:val="en-US"/>
              </w:rPr>
            </w:pPr>
            <w:r w:rsidRPr="001F6547">
              <w:rPr>
                <w:rFonts w:ascii="Calibri" w:hAnsi="Calibri" w:cs="Calibri"/>
                <w:sz w:val="20"/>
                <w:lang w:val="en-US"/>
              </w:rPr>
              <w:t>Small family</w:t>
            </w:r>
          </w:p>
        </w:tc>
        <w:tc>
          <w:tcPr>
            <w:tcW w:w="1597" w:type="dxa"/>
            <w:tcBorders>
              <w:top w:val="single" w:sz="6" w:space="0" w:color="auto"/>
              <w:left w:val="single" w:sz="6" w:space="0" w:color="auto"/>
              <w:bottom w:val="single" w:sz="6" w:space="0" w:color="auto"/>
              <w:right w:val="single" w:sz="6" w:space="0" w:color="auto"/>
            </w:tcBorders>
            <w:shd w:val="clear" w:color="auto" w:fill="auto"/>
            <w:vAlign w:val="center"/>
          </w:tcPr>
          <w:p w14:paraId="794838E2" w14:textId="61D5CA65" w:rsidR="00162E36" w:rsidRPr="001F6547" w:rsidRDefault="001F6547" w:rsidP="00740836">
            <w:pPr>
              <w:tabs>
                <w:tab w:val="center" w:pos="4320"/>
                <w:tab w:val="right" w:pos="8640"/>
              </w:tabs>
              <w:jc w:val="right"/>
              <w:rPr>
                <w:rFonts w:ascii="Calibri" w:hAnsi="Calibri" w:cs="Calibri"/>
                <w:sz w:val="20"/>
                <w:lang w:val="en-US"/>
              </w:rPr>
            </w:pPr>
            <w:r w:rsidRPr="001F6547">
              <w:rPr>
                <w:rFonts w:ascii="Calibri" w:hAnsi="Calibri" w:cs="Calibri"/>
                <w:sz w:val="20"/>
                <w:lang w:val="en-US"/>
              </w:rPr>
              <w:t>12</w:t>
            </w:r>
            <w:r w:rsidR="00162E36" w:rsidRPr="001F6547">
              <w:rPr>
                <w:rFonts w:ascii="Calibri" w:hAnsi="Calibri" w:cs="Calibri"/>
                <w:sz w:val="20"/>
                <w:lang w:val="en-US"/>
              </w:rPr>
              <w:t>%</w:t>
            </w:r>
          </w:p>
        </w:tc>
        <w:tc>
          <w:tcPr>
            <w:tcW w:w="1597" w:type="dxa"/>
            <w:tcBorders>
              <w:top w:val="single" w:sz="6" w:space="0" w:color="auto"/>
              <w:left w:val="single" w:sz="6" w:space="0" w:color="auto"/>
              <w:bottom w:val="single" w:sz="6" w:space="0" w:color="auto"/>
            </w:tcBorders>
            <w:shd w:val="clear" w:color="auto" w:fill="auto"/>
            <w:vAlign w:val="center"/>
          </w:tcPr>
          <w:p w14:paraId="62BB36C0" w14:textId="77777777" w:rsidR="00162E36" w:rsidRPr="001F6547" w:rsidRDefault="00162E36" w:rsidP="00740836">
            <w:pPr>
              <w:tabs>
                <w:tab w:val="center" w:pos="4320"/>
                <w:tab w:val="right" w:pos="8640"/>
              </w:tabs>
              <w:jc w:val="right"/>
              <w:rPr>
                <w:rFonts w:ascii="Calibri" w:hAnsi="Calibri" w:cs="Calibri"/>
                <w:sz w:val="20"/>
                <w:lang w:val="en-US"/>
              </w:rPr>
            </w:pPr>
            <w:r w:rsidRPr="001F6547">
              <w:rPr>
                <w:rFonts w:ascii="Calibri" w:hAnsi="Calibri" w:cs="Calibri"/>
                <w:sz w:val="20"/>
                <w:lang w:val="en-US"/>
              </w:rPr>
              <w:t>12%</w:t>
            </w:r>
          </w:p>
        </w:tc>
      </w:tr>
      <w:tr w:rsidR="00162E36" w:rsidRPr="001F6547" w14:paraId="3098EC2D" w14:textId="77777777" w:rsidTr="001F6547">
        <w:trPr>
          <w:trHeight w:val="312"/>
          <w:jc w:val="center"/>
        </w:trPr>
        <w:tc>
          <w:tcPr>
            <w:tcW w:w="4185" w:type="dxa"/>
            <w:tcBorders>
              <w:top w:val="single" w:sz="6" w:space="0" w:color="auto"/>
              <w:bottom w:val="single" w:sz="6" w:space="0" w:color="auto"/>
              <w:right w:val="single" w:sz="6" w:space="0" w:color="auto"/>
            </w:tcBorders>
            <w:shd w:val="clear" w:color="auto" w:fill="auto"/>
            <w:vAlign w:val="center"/>
          </w:tcPr>
          <w:p w14:paraId="31C52155" w14:textId="77777777" w:rsidR="00162E36" w:rsidRPr="001F6547" w:rsidRDefault="00162E36" w:rsidP="00740836">
            <w:pPr>
              <w:tabs>
                <w:tab w:val="center" w:pos="4320"/>
                <w:tab w:val="right" w:pos="8640"/>
              </w:tabs>
              <w:jc w:val="both"/>
              <w:rPr>
                <w:rFonts w:ascii="Calibri" w:hAnsi="Calibri" w:cs="Calibri"/>
                <w:sz w:val="20"/>
                <w:lang w:val="en-US"/>
              </w:rPr>
            </w:pPr>
            <w:r w:rsidRPr="001F6547">
              <w:rPr>
                <w:rFonts w:ascii="Calibri" w:hAnsi="Calibri" w:cs="Calibri"/>
                <w:sz w:val="20"/>
                <w:lang w:val="en-US"/>
              </w:rPr>
              <w:t>Large family</w:t>
            </w:r>
          </w:p>
        </w:tc>
        <w:tc>
          <w:tcPr>
            <w:tcW w:w="1597" w:type="dxa"/>
            <w:tcBorders>
              <w:top w:val="single" w:sz="6" w:space="0" w:color="auto"/>
              <w:left w:val="single" w:sz="6" w:space="0" w:color="auto"/>
              <w:bottom w:val="single" w:sz="6" w:space="0" w:color="auto"/>
              <w:right w:val="single" w:sz="6" w:space="0" w:color="auto"/>
            </w:tcBorders>
            <w:shd w:val="clear" w:color="auto" w:fill="auto"/>
            <w:vAlign w:val="center"/>
          </w:tcPr>
          <w:p w14:paraId="729C863A" w14:textId="78FC15B6" w:rsidR="00162E36" w:rsidRPr="001F6547" w:rsidRDefault="001F6547" w:rsidP="00740836">
            <w:pPr>
              <w:tabs>
                <w:tab w:val="center" w:pos="4320"/>
                <w:tab w:val="right" w:pos="8640"/>
              </w:tabs>
              <w:jc w:val="right"/>
              <w:rPr>
                <w:rFonts w:ascii="Calibri" w:hAnsi="Calibri" w:cs="Calibri"/>
                <w:sz w:val="20"/>
                <w:lang w:val="en-US"/>
              </w:rPr>
            </w:pPr>
            <w:r w:rsidRPr="001F6547">
              <w:rPr>
                <w:rFonts w:ascii="Calibri" w:hAnsi="Calibri" w:cs="Calibri"/>
                <w:sz w:val="20"/>
                <w:lang w:val="en-US"/>
              </w:rPr>
              <w:t>4</w:t>
            </w:r>
            <w:r w:rsidR="00162E36" w:rsidRPr="001F6547">
              <w:rPr>
                <w:rFonts w:ascii="Calibri" w:hAnsi="Calibri" w:cs="Calibri"/>
                <w:sz w:val="20"/>
                <w:lang w:val="en-US"/>
              </w:rPr>
              <w:t>%</w:t>
            </w:r>
          </w:p>
        </w:tc>
        <w:tc>
          <w:tcPr>
            <w:tcW w:w="1597" w:type="dxa"/>
            <w:tcBorders>
              <w:top w:val="single" w:sz="6" w:space="0" w:color="auto"/>
              <w:left w:val="single" w:sz="6" w:space="0" w:color="auto"/>
              <w:bottom w:val="single" w:sz="6" w:space="0" w:color="auto"/>
            </w:tcBorders>
            <w:shd w:val="clear" w:color="auto" w:fill="auto"/>
            <w:vAlign w:val="center"/>
          </w:tcPr>
          <w:p w14:paraId="79D662CB" w14:textId="77777777" w:rsidR="00162E36" w:rsidRPr="001F6547" w:rsidRDefault="00162E36" w:rsidP="00740836">
            <w:pPr>
              <w:tabs>
                <w:tab w:val="center" w:pos="4320"/>
                <w:tab w:val="right" w:pos="8640"/>
              </w:tabs>
              <w:jc w:val="right"/>
              <w:rPr>
                <w:rFonts w:ascii="Calibri" w:hAnsi="Calibri" w:cs="Calibri"/>
                <w:sz w:val="20"/>
                <w:lang w:val="en-US"/>
              </w:rPr>
            </w:pPr>
            <w:r w:rsidRPr="001F6547">
              <w:rPr>
                <w:rFonts w:ascii="Calibri" w:hAnsi="Calibri" w:cs="Calibri"/>
                <w:sz w:val="20"/>
                <w:lang w:val="en-US"/>
              </w:rPr>
              <w:t>5%</w:t>
            </w:r>
          </w:p>
        </w:tc>
      </w:tr>
      <w:tr w:rsidR="00162E36" w:rsidRPr="001F6547" w14:paraId="79B7982A" w14:textId="77777777" w:rsidTr="001F6547">
        <w:trPr>
          <w:trHeight w:val="312"/>
          <w:jc w:val="center"/>
        </w:trPr>
        <w:tc>
          <w:tcPr>
            <w:tcW w:w="4185" w:type="dxa"/>
            <w:tcBorders>
              <w:top w:val="single" w:sz="6" w:space="0" w:color="auto"/>
              <w:bottom w:val="single" w:sz="6" w:space="0" w:color="auto"/>
              <w:right w:val="single" w:sz="6" w:space="0" w:color="auto"/>
            </w:tcBorders>
            <w:shd w:val="clear" w:color="auto" w:fill="auto"/>
            <w:vAlign w:val="center"/>
          </w:tcPr>
          <w:p w14:paraId="75A93982" w14:textId="77777777" w:rsidR="00162E36" w:rsidRPr="001F6547" w:rsidRDefault="00162E36" w:rsidP="00740836">
            <w:pPr>
              <w:tabs>
                <w:tab w:val="center" w:pos="4320"/>
                <w:tab w:val="right" w:pos="8640"/>
              </w:tabs>
              <w:jc w:val="both"/>
              <w:rPr>
                <w:rFonts w:ascii="Calibri" w:hAnsi="Calibri" w:cs="Calibri"/>
                <w:b/>
                <w:sz w:val="20"/>
                <w:lang w:val="en-US"/>
              </w:rPr>
            </w:pPr>
            <w:r w:rsidRPr="001F6547">
              <w:rPr>
                <w:rFonts w:ascii="Calibri" w:hAnsi="Calibri" w:cs="Calibri"/>
                <w:b/>
                <w:sz w:val="20"/>
                <w:lang w:val="en-US"/>
              </w:rPr>
              <w:t>All households with children</w:t>
            </w:r>
          </w:p>
        </w:tc>
        <w:tc>
          <w:tcPr>
            <w:tcW w:w="1597" w:type="dxa"/>
            <w:tcBorders>
              <w:top w:val="single" w:sz="6" w:space="0" w:color="auto"/>
              <w:left w:val="single" w:sz="6" w:space="0" w:color="auto"/>
              <w:bottom w:val="single" w:sz="6" w:space="0" w:color="auto"/>
              <w:right w:val="single" w:sz="6" w:space="0" w:color="auto"/>
            </w:tcBorders>
            <w:shd w:val="clear" w:color="auto" w:fill="auto"/>
            <w:vAlign w:val="center"/>
          </w:tcPr>
          <w:p w14:paraId="78103525" w14:textId="77777777" w:rsidR="00162E36" w:rsidRPr="001F6547" w:rsidRDefault="00162E36" w:rsidP="00740836">
            <w:pPr>
              <w:tabs>
                <w:tab w:val="center" w:pos="4320"/>
                <w:tab w:val="right" w:pos="8640"/>
              </w:tabs>
              <w:jc w:val="right"/>
              <w:rPr>
                <w:rFonts w:ascii="Calibri" w:hAnsi="Calibri" w:cs="Calibri"/>
                <w:b/>
                <w:sz w:val="20"/>
                <w:lang w:val="en-US"/>
              </w:rPr>
            </w:pPr>
            <w:r w:rsidRPr="001F6547">
              <w:rPr>
                <w:rFonts w:ascii="Calibri" w:hAnsi="Calibri" w:cs="Calibri"/>
                <w:b/>
                <w:sz w:val="20"/>
                <w:lang w:val="en-US"/>
              </w:rPr>
              <w:t>20%</w:t>
            </w:r>
          </w:p>
        </w:tc>
        <w:tc>
          <w:tcPr>
            <w:tcW w:w="1597" w:type="dxa"/>
            <w:tcBorders>
              <w:top w:val="single" w:sz="6" w:space="0" w:color="auto"/>
              <w:left w:val="single" w:sz="6" w:space="0" w:color="auto"/>
              <w:bottom w:val="single" w:sz="6" w:space="0" w:color="auto"/>
            </w:tcBorders>
            <w:shd w:val="clear" w:color="auto" w:fill="auto"/>
            <w:vAlign w:val="center"/>
          </w:tcPr>
          <w:p w14:paraId="20D3D5A3" w14:textId="77777777" w:rsidR="00162E36" w:rsidRPr="001F6547" w:rsidRDefault="00162E36" w:rsidP="00740836">
            <w:pPr>
              <w:tabs>
                <w:tab w:val="center" w:pos="4320"/>
                <w:tab w:val="right" w:pos="8640"/>
              </w:tabs>
              <w:jc w:val="right"/>
              <w:rPr>
                <w:rFonts w:ascii="Calibri" w:hAnsi="Calibri" w:cs="Calibri"/>
                <w:b/>
                <w:sz w:val="20"/>
                <w:lang w:val="en-US"/>
              </w:rPr>
            </w:pPr>
            <w:r w:rsidRPr="001F6547">
              <w:rPr>
                <w:rFonts w:ascii="Calibri" w:hAnsi="Calibri" w:cs="Calibri"/>
                <w:b/>
                <w:sz w:val="20"/>
                <w:lang w:val="en-US"/>
              </w:rPr>
              <w:t>22%</w:t>
            </w:r>
          </w:p>
        </w:tc>
      </w:tr>
      <w:tr w:rsidR="00162E36" w:rsidRPr="001F6547" w14:paraId="1BFC9DAF" w14:textId="77777777" w:rsidTr="001F6547">
        <w:trPr>
          <w:trHeight w:val="312"/>
          <w:jc w:val="center"/>
        </w:trPr>
        <w:tc>
          <w:tcPr>
            <w:tcW w:w="4185" w:type="dxa"/>
            <w:tcBorders>
              <w:top w:val="single" w:sz="6" w:space="0" w:color="auto"/>
              <w:bottom w:val="single" w:sz="4" w:space="0" w:color="auto"/>
              <w:right w:val="single" w:sz="6" w:space="0" w:color="auto"/>
            </w:tcBorders>
            <w:shd w:val="clear" w:color="auto" w:fill="auto"/>
            <w:vAlign w:val="center"/>
          </w:tcPr>
          <w:p w14:paraId="13558E2E" w14:textId="77777777" w:rsidR="00162E36" w:rsidRPr="001F6547" w:rsidRDefault="00162E36" w:rsidP="00740836">
            <w:pPr>
              <w:tabs>
                <w:tab w:val="center" w:pos="4320"/>
                <w:tab w:val="right" w:pos="8640"/>
              </w:tabs>
              <w:jc w:val="both"/>
              <w:rPr>
                <w:rFonts w:ascii="Calibri" w:hAnsi="Calibri" w:cs="Calibri"/>
                <w:sz w:val="20"/>
                <w:lang w:val="en-US"/>
              </w:rPr>
            </w:pPr>
            <w:r w:rsidRPr="001F6547">
              <w:rPr>
                <w:rFonts w:ascii="Calibri" w:hAnsi="Calibri" w:cs="Calibri"/>
                <w:sz w:val="20"/>
                <w:lang w:val="en-US"/>
              </w:rPr>
              <w:t>Households without children</w:t>
            </w:r>
          </w:p>
        </w:tc>
        <w:tc>
          <w:tcPr>
            <w:tcW w:w="1597" w:type="dxa"/>
            <w:tcBorders>
              <w:top w:val="single" w:sz="6" w:space="0" w:color="auto"/>
              <w:left w:val="single" w:sz="6" w:space="0" w:color="auto"/>
              <w:bottom w:val="single" w:sz="4" w:space="0" w:color="auto"/>
              <w:right w:val="single" w:sz="6" w:space="0" w:color="auto"/>
            </w:tcBorders>
            <w:shd w:val="clear" w:color="auto" w:fill="auto"/>
            <w:vAlign w:val="center"/>
          </w:tcPr>
          <w:p w14:paraId="543C2532" w14:textId="77777777" w:rsidR="00162E36" w:rsidRPr="001F6547" w:rsidRDefault="00162E36" w:rsidP="00740836">
            <w:pPr>
              <w:tabs>
                <w:tab w:val="center" w:pos="4320"/>
                <w:tab w:val="right" w:pos="8640"/>
              </w:tabs>
              <w:jc w:val="right"/>
              <w:rPr>
                <w:rFonts w:ascii="Calibri" w:hAnsi="Calibri" w:cs="Calibri"/>
                <w:sz w:val="20"/>
                <w:lang w:val="en-US"/>
              </w:rPr>
            </w:pPr>
            <w:r w:rsidRPr="001F6547">
              <w:rPr>
                <w:rFonts w:ascii="Calibri" w:hAnsi="Calibri" w:cs="Calibri"/>
                <w:sz w:val="20"/>
                <w:lang w:val="en-US"/>
              </w:rPr>
              <w:t>80%</w:t>
            </w:r>
          </w:p>
        </w:tc>
        <w:tc>
          <w:tcPr>
            <w:tcW w:w="1597" w:type="dxa"/>
            <w:tcBorders>
              <w:top w:val="single" w:sz="6" w:space="0" w:color="auto"/>
              <w:left w:val="single" w:sz="6" w:space="0" w:color="auto"/>
              <w:bottom w:val="single" w:sz="4" w:space="0" w:color="auto"/>
            </w:tcBorders>
            <w:shd w:val="clear" w:color="auto" w:fill="auto"/>
            <w:vAlign w:val="center"/>
          </w:tcPr>
          <w:p w14:paraId="226BC8A1" w14:textId="77777777" w:rsidR="00162E36" w:rsidRPr="001F6547" w:rsidRDefault="00162E36" w:rsidP="00740836">
            <w:pPr>
              <w:tabs>
                <w:tab w:val="center" w:pos="4320"/>
                <w:tab w:val="right" w:pos="8640"/>
              </w:tabs>
              <w:jc w:val="right"/>
              <w:rPr>
                <w:rFonts w:ascii="Calibri" w:hAnsi="Calibri" w:cs="Calibri"/>
                <w:sz w:val="20"/>
                <w:lang w:val="en-US"/>
              </w:rPr>
            </w:pPr>
            <w:r w:rsidRPr="001F6547">
              <w:rPr>
                <w:rFonts w:ascii="Calibri" w:hAnsi="Calibri" w:cs="Calibri"/>
                <w:sz w:val="20"/>
                <w:lang w:val="en-US"/>
              </w:rPr>
              <w:t>78%</w:t>
            </w:r>
          </w:p>
        </w:tc>
      </w:tr>
    </w:tbl>
    <w:p w14:paraId="453A0A35" w14:textId="2036DFFC" w:rsidR="00162E36" w:rsidRDefault="00162E36" w:rsidP="00162E36">
      <w:pPr>
        <w:tabs>
          <w:tab w:val="right" w:pos="8640"/>
        </w:tabs>
        <w:ind w:left="851"/>
        <w:rPr>
          <w:rFonts w:ascii="Calibri" w:hAnsi="Calibri" w:cs="Calibri"/>
          <w:sz w:val="16"/>
          <w:szCs w:val="16"/>
          <w:lang w:val="en-US"/>
        </w:rPr>
      </w:pPr>
      <w:r w:rsidRPr="001F6547">
        <w:rPr>
          <w:rFonts w:ascii="Calibri" w:hAnsi="Calibri" w:cs="Calibri"/>
          <w:sz w:val="16"/>
          <w:szCs w:val="16"/>
          <w:lang w:val="en-US"/>
        </w:rPr>
        <w:t>Source: Scottish Household Survey 201</w:t>
      </w:r>
      <w:r w:rsidR="001F6547" w:rsidRPr="001F6547">
        <w:rPr>
          <w:rFonts w:ascii="Calibri" w:hAnsi="Calibri" w:cs="Calibri"/>
          <w:sz w:val="16"/>
          <w:szCs w:val="16"/>
          <w:lang w:val="en-US"/>
        </w:rPr>
        <w:t>6</w:t>
      </w:r>
      <w:r w:rsidRPr="001F6547">
        <w:rPr>
          <w:rFonts w:ascii="Calibri" w:hAnsi="Calibri" w:cs="Calibri"/>
          <w:sz w:val="16"/>
          <w:szCs w:val="16"/>
          <w:lang w:val="en-US"/>
        </w:rPr>
        <w:t xml:space="preserve">, </w:t>
      </w:r>
      <w:r w:rsidR="001F6547" w:rsidRPr="001F6547">
        <w:rPr>
          <w:rFonts w:ascii="Calibri" w:hAnsi="Calibri" w:cs="Calibri"/>
          <w:sz w:val="16"/>
          <w:szCs w:val="16"/>
          <w:lang w:val="en-US"/>
        </w:rPr>
        <w:t>Characteristics of Households – Household Type</w:t>
      </w:r>
      <w:r>
        <w:rPr>
          <w:rFonts w:ascii="Calibri" w:hAnsi="Calibri" w:cs="Calibri"/>
          <w:sz w:val="16"/>
          <w:szCs w:val="16"/>
          <w:lang w:val="en-US"/>
        </w:rPr>
        <w:t xml:space="preserve"> </w:t>
      </w:r>
    </w:p>
    <w:p w14:paraId="743B90DF" w14:textId="1A6DED27" w:rsidR="00026A32" w:rsidRDefault="00026A32" w:rsidP="00162E36">
      <w:pPr>
        <w:tabs>
          <w:tab w:val="right" w:pos="8640"/>
        </w:tabs>
        <w:ind w:left="851"/>
        <w:rPr>
          <w:rFonts w:ascii="Calibri" w:hAnsi="Calibri" w:cs="Calibri"/>
          <w:sz w:val="16"/>
          <w:szCs w:val="16"/>
          <w:lang w:val="en-US"/>
        </w:rPr>
      </w:pPr>
    </w:p>
    <w:p w14:paraId="062FAF5D" w14:textId="77777777" w:rsidR="00026A32" w:rsidRPr="00C71210" w:rsidRDefault="00026A32" w:rsidP="00162E36">
      <w:pPr>
        <w:tabs>
          <w:tab w:val="right" w:pos="8640"/>
        </w:tabs>
        <w:ind w:left="851"/>
        <w:rPr>
          <w:rFonts w:ascii="Calibri" w:hAnsi="Calibri" w:cs="Calibri"/>
          <w:sz w:val="16"/>
          <w:szCs w:val="16"/>
          <w:lang w:val="en-US"/>
        </w:rPr>
      </w:pPr>
    </w:p>
    <w:p w14:paraId="2A771738" w14:textId="600C24FC" w:rsidR="007C66C7" w:rsidRDefault="007C66C7" w:rsidP="007C66C7">
      <w:pPr>
        <w:pStyle w:val="Heading2"/>
        <w:numPr>
          <w:ilvl w:val="1"/>
          <w:numId w:val="4"/>
        </w:numPr>
      </w:pPr>
      <w:bookmarkStart w:id="32" w:name="_Toc519088567"/>
      <w:r>
        <w:t>Looked after children</w:t>
      </w:r>
      <w:bookmarkEnd w:id="32"/>
    </w:p>
    <w:p w14:paraId="34DA46B8" w14:textId="7A4D9F1F" w:rsidR="00317DE6" w:rsidRDefault="00E42FFF" w:rsidP="00E42FFF">
      <w:r w:rsidRPr="00DD72E7">
        <w:t>Local authorities have a responsibility to provide support to certain children and young people, known as ‘looked after children’. A child may become looked after for a number of reasons; including neglect, abuse, complex disabilities which require specialist care, or involvement in the youth justice system.</w:t>
      </w:r>
      <w:r>
        <w:t xml:space="preserve">  </w:t>
      </w:r>
    </w:p>
    <w:p w14:paraId="39377688" w14:textId="77777777" w:rsidR="000172EC" w:rsidRDefault="000172EC" w:rsidP="00E42FFF"/>
    <w:p w14:paraId="01C49EEF" w14:textId="50463C62" w:rsidR="00D177E9" w:rsidRDefault="00723CC6" w:rsidP="00E42FFF">
      <w:r>
        <w:t>On 31</w:t>
      </w:r>
      <w:r w:rsidRPr="00723CC6">
        <w:rPr>
          <w:vertAlign w:val="superscript"/>
        </w:rPr>
        <w:t>st</w:t>
      </w:r>
      <w:r>
        <w:t xml:space="preserve"> July 2017 there were 590 looked after children</w:t>
      </w:r>
      <w:r w:rsidR="007F5617">
        <w:t xml:space="preserve"> (LAC)</w:t>
      </w:r>
      <w:r>
        <w:t xml:space="preserve"> in Aberdeen City – equivalent to 1.6% of the 0-17 years population.  This is slightly higher than the equivalent rate for Scotland of 1.4%.  Most (60%) looked after children are boys, and over a quarter (29%) are under 5 years old.  Six percent of looked after children and known to be from an ethnic minority group and 27% are known to have a disability.  </w:t>
      </w:r>
    </w:p>
    <w:p w14:paraId="31874FBF" w14:textId="77777777" w:rsidR="000172EC" w:rsidRDefault="000172EC" w:rsidP="00E42FFF"/>
    <w:p w14:paraId="0EDE63D2" w14:textId="31990A3D" w:rsidR="00BB2EAF" w:rsidRDefault="00BB2EAF" w:rsidP="00BB2EAF">
      <w:r w:rsidRPr="00BB2EAF">
        <w:t>There are several types of care setting in which looked after children or young people could be looked after, including at home (where a child is subject to a Compulsory Supervision Order and continues to live in their normal place of residence), foster care, residential unit or school, a secure unit, with prospective adopters, or in kinship care (where they are placed with friends or relatives).</w:t>
      </w:r>
    </w:p>
    <w:p w14:paraId="572A9CDA" w14:textId="77777777" w:rsidR="000172EC" w:rsidRDefault="000172EC" w:rsidP="00BB2EAF"/>
    <w:p w14:paraId="1B32AC9C" w14:textId="1749A0C2" w:rsidR="00BB2EAF" w:rsidRDefault="00BB2EAF" w:rsidP="00BB2EAF">
      <w:r>
        <w:t>Foster care is the most common setting for looked after children in Aberdeen City.  At 48.9%, the proportion of looked after children in foster care is higher in Aberdeen City than in Scotland (35.3%).   In contrast, Aberdeen has a lower proportion of looked after children at home with parents (18.3% compared to 25.3%) and in kinship care (19.0% compared to 27.8%) than does Scotland.  The proportion of children in residential care is similar in Aberdeen and Scotland (11.5% compared to 10.1%).</w:t>
      </w:r>
    </w:p>
    <w:p w14:paraId="7EA8DF48" w14:textId="77777777" w:rsidR="000172EC" w:rsidRDefault="000172EC" w:rsidP="00BB2EAF"/>
    <w:p w14:paraId="7CEB3D4E" w14:textId="77777777" w:rsidR="000172EC" w:rsidRDefault="000172EC">
      <w:pPr>
        <w:rPr>
          <w:b/>
        </w:rPr>
      </w:pPr>
      <w:r>
        <w:rPr>
          <w:b/>
        </w:rPr>
        <w:br w:type="page"/>
      </w:r>
    </w:p>
    <w:p w14:paraId="1E529BF2" w14:textId="095CBE04" w:rsidR="00E42FFF" w:rsidRDefault="00BB2EAF" w:rsidP="00BB2EAF">
      <w:r>
        <w:rPr>
          <w:noProof/>
        </w:rPr>
        <w:lastRenderedPageBreak/>
        <w:drawing>
          <wp:inline distT="0" distB="0" distL="0" distR="0" wp14:anchorId="0EFDE4BA" wp14:editId="7230327E">
            <wp:extent cx="5179060" cy="2671638"/>
            <wp:effectExtent l="0" t="0" r="2540" b="14605"/>
            <wp:docPr id="15" name="Chart 15">
              <a:extLst xmlns:a="http://schemas.openxmlformats.org/drawingml/2006/main">
                <a:ext uri="{FF2B5EF4-FFF2-40B4-BE49-F238E27FC236}">
                  <a16:creationId xmlns:a16="http://schemas.microsoft.com/office/drawing/2014/main" id="{2E53F5B8-B4EE-4266-914B-6FEDA8DC20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3A4C061" w14:textId="2EFE748D" w:rsidR="00BB2EAF" w:rsidRPr="000172EC" w:rsidRDefault="00BB2EAF" w:rsidP="00BB2EAF">
      <w:pPr>
        <w:rPr>
          <w:sz w:val="16"/>
          <w:szCs w:val="16"/>
        </w:rPr>
      </w:pPr>
      <w:r w:rsidRPr="000172EC">
        <w:rPr>
          <w:sz w:val="16"/>
          <w:szCs w:val="16"/>
        </w:rPr>
        <w:t>Source: Children’s Social Work Statistics 2016/17</w:t>
      </w:r>
    </w:p>
    <w:p w14:paraId="49C92558" w14:textId="77777777" w:rsidR="000172EC" w:rsidRDefault="000172EC" w:rsidP="00BB2EAF">
      <w:pPr>
        <w:rPr>
          <w:b/>
        </w:rPr>
      </w:pPr>
    </w:p>
    <w:p w14:paraId="6B8B8BDF" w14:textId="76C4DFAD" w:rsidR="000172EC" w:rsidRPr="000172EC" w:rsidRDefault="003A72C3" w:rsidP="000172EC">
      <w:pPr>
        <w:pStyle w:val="Heading2"/>
        <w:numPr>
          <w:ilvl w:val="2"/>
          <w:numId w:val="4"/>
        </w:numPr>
      </w:pPr>
      <w:bookmarkStart w:id="33" w:name="_Toc519088568"/>
      <w:r w:rsidRPr="000172EC">
        <w:t xml:space="preserve">Educational </w:t>
      </w:r>
      <w:r w:rsidR="004F303C" w:rsidRPr="000172EC">
        <w:t>outcomes</w:t>
      </w:r>
      <w:r w:rsidR="000172EC" w:rsidRPr="000172EC">
        <w:t xml:space="preserve"> for </w:t>
      </w:r>
      <w:r w:rsidR="00592551">
        <w:t>looked after children</w:t>
      </w:r>
      <w:bookmarkEnd w:id="33"/>
      <w:r w:rsidRPr="000172EC">
        <w:t xml:space="preserve">    </w:t>
      </w:r>
    </w:p>
    <w:p w14:paraId="718A7D8F" w14:textId="77777777" w:rsidR="000172EC" w:rsidRDefault="000172EC" w:rsidP="00BB2EAF"/>
    <w:p w14:paraId="310CE7A5" w14:textId="3F5E228A" w:rsidR="004F303C" w:rsidRDefault="004F303C" w:rsidP="00BB2EAF">
      <w:r>
        <w:t>Findings from the Scottish Government report on Education Outcomes for Looked After Children 2015/16 (</w:t>
      </w:r>
      <w:hyperlink r:id="rId60" w:history="1">
        <w:r w:rsidR="00A859EB" w:rsidRPr="00CC3562">
          <w:rPr>
            <w:rStyle w:val="Hyperlink"/>
          </w:rPr>
          <w:t>http://www.gov.scot/Resource/0052/00521222.pdf</w:t>
        </w:r>
      </w:hyperlink>
      <w:r w:rsidR="00A859EB">
        <w:t xml:space="preserve"> ) indicate that looked after children with the most positive education outcomes are those:</w:t>
      </w:r>
    </w:p>
    <w:p w14:paraId="4D928987" w14:textId="77777777" w:rsidR="000172EC" w:rsidRDefault="000172EC" w:rsidP="00BB2EAF"/>
    <w:p w14:paraId="3BE9F525" w14:textId="28CC1751" w:rsidR="00A859EB" w:rsidRDefault="00A859EB" w:rsidP="00A859EB">
      <w:pPr>
        <w:pStyle w:val="ListParagraph"/>
        <w:numPr>
          <w:ilvl w:val="0"/>
          <w:numId w:val="12"/>
        </w:numPr>
      </w:pPr>
      <w:r>
        <w:t>In foster care settings rather than in other care settings</w:t>
      </w:r>
    </w:p>
    <w:p w14:paraId="38A75844" w14:textId="350C043C" w:rsidR="00A859EB" w:rsidRDefault="00A859EB" w:rsidP="00A859EB">
      <w:pPr>
        <w:pStyle w:val="ListParagraph"/>
        <w:numPr>
          <w:ilvl w:val="0"/>
          <w:numId w:val="12"/>
        </w:numPr>
      </w:pPr>
      <w:r>
        <w:t>With fewer care placements in the year</w:t>
      </w:r>
    </w:p>
    <w:p w14:paraId="290B529B" w14:textId="6CB3D3E2" w:rsidR="00A859EB" w:rsidRDefault="00A859EB" w:rsidP="00A859EB">
      <w:pPr>
        <w:pStyle w:val="ListParagraph"/>
        <w:numPr>
          <w:ilvl w:val="0"/>
          <w:numId w:val="12"/>
        </w:numPr>
      </w:pPr>
      <w:r>
        <w:t>Who have been looked after for the whole year rather than just part of it</w:t>
      </w:r>
    </w:p>
    <w:p w14:paraId="49D47C2A" w14:textId="77777777" w:rsidR="00026A32" w:rsidRDefault="00026A32" w:rsidP="000172EC">
      <w:pPr>
        <w:pStyle w:val="ListParagraph"/>
        <w:ind w:left="1440"/>
      </w:pPr>
    </w:p>
    <w:p w14:paraId="391E743E" w14:textId="1A918FD5" w:rsidR="003A72C3" w:rsidRDefault="004F303C" w:rsidP="00BB2EAF">
      <w:r w:rsidRPr="004F303C">
        <w:rPr>
          <w:b/>
        </w:rPr>
        <w:t>L</w:t>
      </w:r>
      <w:r w:rsidR="007F5617">
        <w:rPr>
          <w:b/>
        </w:rPr>
        <w:t xml:space="preserve">AC </w:t>
      </w:r>
      <w:r w:rsidR="007F5617" w:rsidRPr="004E4A78">
        <w:rPr>
          <w:b/>
        </w:rPr>
        <w:t>l</w:t>
      </w:r>
      <w:r w:rsidRPr="004E4A78">
        <w:rPr>
          <w:b/>
        </w:rPr>
        <w:t>eaver attainment:</w:t>
      </w:r>
      <w:r w:rsidRPr="004E4A78">
        <w:t xml:space="preserve">  </w:t>
      </w:r>
      <w:r w:rsidR="003A72C3" w:rsidRPr="004E4A78">
        <w:t>While there has been an improvement in leaver attainment over the past few years, the outcomes for looked after children are still considerably lower than those for all pupils. For example, in Scotland in 201</w:t>
      </w:r>
      <w:r w:rsidR="00AE2E79">
        <w:t>6</w:t>
      </w:r>
      <w:r w:rsidR="003A72C3" w:rsidRPr="004E4A78">
        <w:t>/1</w:t>
      </w:r>
      <w:r w:rsidR="00AE2E79">
        <w:t>7</w:t>
      </w:r>
      <w:r w:rsidR="003A72C3" w:rsidRPr="004E4A78">
        <w:t xml:space="preserve"> only 4</w:t>
      </w:r>
      <w:r w:rsidR="00AE2E79">
        <w:t>4</w:t>
      </w:r>
      <w:r w:rsidR="003A72C3" w:rsidRPr="004E4A78">
        <w:t xml:space="preserve">% of looked after children left school with 1 or more SCQF at level 5 compared to 86% of all pupils.  </w:t>
      </w:r>
      <w:r w:rsidR="00A859EB" w:rsidRPr="004E4A78">
        <w:t>Part of the reason for this is that looked after children tend to leave school at earlier ages.</w:t>
      </w:r>
      <w:r w:rsidR="00A859EB" w:rsidRPr="004E4A78">
        <w:rPr>
          <w:rFonts w:ascii="Arial" w:hAnsi="Arial" w:cs="Arial"/>
          <w:color w:val="000000"/>
          <w:sz w:val="26"/>
          <w:szCs w:val="26"/>
        </w:rPr>
        <w:t xml:space="preserve"> </w:t>
      </w:r>
      <w:r w:rsidR="00A859EB" w:rsidRPr="004E4A78">
        <w:t>In 201</w:t>
      </w:r>
      <w:r w:rsidR="00AE2E79">
        <w:t>6</w:t>
      </w:r>
      <w:r w:rsidR="00A859EB" w:rsidRPr="004E4A78">
        <w:t>/1</w:t>
      </w:r>
      <w:r w:rsidR="00AE2E79">
        <w:t>7</w:t>
      </w:r>
      <w:r w:rsidR="00A859EB" w:rsidRPr="004E4A78">
        <w:t xml:space="preserve"> almost three quarters (7</w:t>
      </w:r>
      <w:r w:rsidR="00AE2E79">
        <w:t>2</w:t>
      </w:r>
      <w:r w:rsidR="00A859EB" w:rsidRPr="004E4A78">
        <w:t xml:space="preserve">%) of looked after school leavers were aged 16 and under (i.e. they left school at the earliest point they could) compared to </w:t>
      </w:r>
      <w:r w:rsidR="00D464D5" w:rsidRPr="004E4A78">
        <w:t xml:space="preserve">just </w:t>
      </w:r>
      <w:r w:rsidR="00A859EB" w:rsidRPr="004E4A78">
        <w:t>over one quarter (2</w:t>
      </w:r>
      <w:r w:rsidR="00AE2E79">
        <w:t>8</w:t>
      </w:r>
      <w:r w:rsidR="00A859EB" w:rsidRPr="004E4A78">
        <w:t>%) of school leavers more generally.</w:t>
      </w:r>
      <w:r w:rsidR="00A859EB" w:rsidRPr="00A859EB">
        <w:t xml:space="preserve"> </w:t>
      </w:r>
      <w:r w:rsidR="00A859EB">
        <w:t xml:space="preserve"> </w:t>
      </w:r>
    </w:p>
    <w:p w14:paraId="6A721DD1" w14:textId="77777777" w:rsidR="00026A32" w:rsidRDefault="00026A32" w:rsidP="00BB2EAF"/>
    <w:p w14:paraId="3FEF62AE" w14:textId="75E5FBCC" w:rsidR="004F303C" w:rsidRDefault="003A72C3" w:rsidP="00BB2EAF">
      <w:r>
        <w:t xml:space="preserve">Levels of attainment vary for looked after children across Scotland.  </w:t>
      </w:r>
      <w:r w:rsidR="004F303C">
        <w:t>Figures for 201</w:t>
      </w:r>
      <w:r w:rsidR="00AE2E79">
        <w:t>6</w:t>
      </w:r>
      <w:r w:rsidR="004F303C">
        <w:t>/1</w:t>
      </w:r>
      <w:r w:rsidR="00AE2E79">
        <w:t>7</w:t>
      </w:r>
      <w:r w:rsidR="004F303C">
        <w:t xml:space="preserve"> show that i</w:t>
      </w:r>
      <w:r>
        <w:t xml:space="preserve">n Aberdeen City </w:t>
      </w:r>
      <w:r w:rsidR="00AE2E79">
        <w:t>74</w:t>
      </w:r>
      <w:r>
        <w:t>% of looked after children left school with 1 or more qualification at SCQF level 4 compared to the average of 7</w:t>
      </w:r>
      <w:r w:rsidR="00AE2E79">
        <w:t>8</w:t>
      </w:r>
      <w:r>
        <w:t xml:space="preserve">% for Scotland.  </w:t>
      </w:r>
      <w:r w:rsidR="004F303C">
        <w:t xml:space="preserve">This is the </w:t>
      </w:r>
      <w:r w:rsidR="0016273F">
        <w:t>9</w:t>
      </w:r>
      <w:r w:rsidR="004F303C" w:rsidRPr="004F303C">
        <w:rPr>
          <w:vertAlign w:val="superscript"/>
        </w:rPr>
        <w:t>th</w:t>
      </w:r>
      <w:r w:rsidR="004F303C">
        <w:t xml:space="preserve"> lowest </w:t>
      </w:r>
      <w:r w:rsidR="007C7877">
        <w:t xml:space="preserve">rate </w:t>
      </w:r>
      <w:r w:rsidR="004F303C">
        <w:t>of all local authorities in Scotland</w:t>
      </w:r>
      <w:r w:rsidR="0016273F">
        <w:t xml:space="preserve"> (data for children who have been looked after for the full year. In Scotland the rate of children who were looked after for part of the year was lower at 65%).</w:t>
      </w:r>
    </w:p>
    <w:p w14:paraId="3D0A638E" w14:textId="77777777" w:rsidR="00026A32" w:rsidRDefault="00026A32" w:rsidP="00BB2EAF"/>
    <w:p w14:paraId="6D6C0B06" w14:textId="7850D803" w:rsidR="004F303C" w:rsidRPr="0016273F" w:rsidRDefault="00AE2E79" w:rsidP="0016273F">
      <w:pPr>
        <w:rPr>
          <w:b/>
        </w:rPr>
      </w:pPr>
      <w:r>
        <w:rPr>
          <w:noProof/>
        </w:rPr>
        <w:lastRenderedPageBreak/>
        <w:drawing>
          <wp:inline distT="0" distB="0" distL="0" distR="0" wp14:anchorId="4A02C71D" wp14:editId="00C6A786">
            <wp:extent cx="5356225" cy="2647666"/>
            <wp:effectExtent l="0" t="0" r="15875" b="635"/>
            <wp:docPr id="232" name="Chart 232">
              <a:extLst xmlns:a="http://schemas.openxmlformats.org/drawingml/2006/main">
                <a:ext uri="{FF2B5EF4-FFF2-40B4-BE49-F238E27FC236}">
                  <a16:creationId xmlns:a16="http://schemas.microsoft.com/office/drawing/2014/main" id="{A96C1D9B-148A-4FEC-8DF9-2F727F476F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004F303C" w:rsidRPr="000172EC">
        <w:rPr>
          <w:sz w:val="16"/>
          <w:szCs w:val="16"/>
        </w:rPr>
        <w:t>Source: Scottish Government, Education Outcomes for Looked After Children 201</w:t>
      </w:r>
      <w:r w:rsidR="0016273F">
        <w:rPr>
          <w:sz w:val="16"/>
          <w:szCs w:val="16"/>
        </w:rPr>
        <w:t>6</w:t>
      </w:r>
      <w:r w:rsidR="004F303C" w:rsidRPr="000172EC">
        <w:rPr>
          <w:sz w:val="16"/>
          <w:szCs w:val="16"/>
        </w:rPr>
        <w:t>/1</w:t>
      </w:r>
      <w:r w:rsidR="0016273F">
        <w:rPr>
          <w:sz w:val="16"/>
          <w:szCs w:val="16"/>
        </w:rPr>
        <w:t>7</w:t>
      </w:r>
    </w:p>
    <w:p w14:paraId="4B1C35FD" w14:textId="77777777" w:rsidR="004F303C" w:rsidRDefault="004F303C" w:rsidP="00BB2EAF"/>
    <w:p w14:paraId="1D3322C3" w14:textId="025C8418" w:rsidR="00EF33A5" w:rsidRDefault="004F303C" w:rsidP="004F303C">
      <w:r w:rsidRPr="004F303C">
        <w:rPr>
          <w:b/>
        </w:rPr>
        <w:t>Positive destinations:</w:t>
      </w:r>
      <w:r>
        <w:t xml:space="preserve">  Again, while improved, the outcomes for looked after children are worse than those for all pupils.  In Scotland in 201</w:t>
      </w:r>
      <w:r w:rsidR="0016273F">
        <w:t>6</w:t>
      </w:r>
      <w:r>
        <w:t>/1</w:t>
      </w:r>
      <w:r w:rsidR="0016273F">
        <w:t>7</w:t>
      </w:r>
      <w:r>
        <w:t xml:space="preserve">, </w:t>
      </w:r>
      <w:r w:rsidR="0016273F">
        <w:t>76</w:t>
      </w:r>
      <w:r w:rsidRPr="004F303C">
        <w:t xml:space="preserve">% of looked after children had positive destinations compared to </w:t>
      </w:r>
      <w:r w:rsidRPr="0016273F">
        <w:t>9</w:t>
      </w:r>
      <w:r w:rsidR="0016273F" w:rsidRPr="0016273F">
        <w:t>3</w:t>
      </w:r>
      <w:r w:rsidRPr="0016273F">
        <w:t>%</w:t>
      </w:r>
      <w:r w:rsidRPr="004F303C">
        <w:t xml:space="preserve"> of all pupils.  </w:t>
      </w:r>
      <w:r>
        <w:t xml:space="preserve">In Aberdeen City the figure was slightly </w:t>
      </w:r>
      <w:r w:rsidR="0016273F">
        <w:t>lower</w:t>
      </w:r>
      <w:r>
        <w:t xml:space="preserve"> than the Scottish average at 7</w:t>
      </w:r>
      <w:r w:rsidR="0016273F">
        <w:t>4</w:t>
      </w:r>
      <w:r>
        <w:t xml:space="preserve">% (both figures based on </w:t>
      </w:r>
      <w:r w:rsidR="0016273F">
        <w:t xml:space="preserve">9-month </w:t>
      </w:r>
      <w:r>
        <w:t>follow-up survey</w:t>
      </w:r>
      <w:r w:rsidR="0016273F">
        <w:t xml:space="preserve"> and children who were looked after for the full year. Children looked after for part of the year had worse outcomes – only 64% in positive destinations for Scotland</w:t>
      </w:r>
      <w:r>
        <w:t>).</w:t>
      </w:r>
    </w:p>
    <w:p w14:paraId="3244327C" w14:textId="2474058B" w:rsidR="0016273F" w:rsidRDefault="0016273F" w:rsidP="004F303C"/>
    <w:p w14:paraId="12056FFA" w14:textId="2B93A6E6" w:rsidR="0016273F" w:rsidRDefault="0016273F" w:rsidP="004F303C">
      <w:r w:rsidRPr="0016273F">
        <w:rPr>
          <w:b/>
        </w:rPr>
        <w:t>Attendance and exclusions</w:t>
      </w:r>
      <w:r w:rsidRPr="0016273F">
        <w:t>:  In 2016/17</w:t>
      </w:r>
      <w:r>
        <w:rPr>
          <w:b/>
        </w:rPr>
        <w:t xml:space="preserve"> </w:t>
      </w:r>
      <w:r w:rsidRPr="0016273F">
        <w:t>attendance</w:t>
      </w:r>
      <w:r>
        <w:t xml:space="preserve"> rates for looked after children were the same in Aberdeen City and Scotland at 91%.  However, the exclusion rate (per 1,000 pupils) was higher in Aberdeen (244 per 1,000 pupils compared to 169 per 1,000 pupils in Scotland).  In Aberdeen, as in Scotland, the exclusion rate was higher in males (330 per 1,000 pupils) than females (112 per 1,000 pupils).</w:t>
      </w:r>
    </w:p>
    <w:p w14:paraId="5A7691FB" w14:textId="44658275" w:rsidR="00E714D1" w:rsidRDefault="00E714D1" w:rsidP="004F303C"/>
    <w:p w14:paraId="4DABCF48" w14:textId="7B685EA2" w:rsidR="002839D4" w:rsidRDefault="002839D4" w:rsidP="00A859EB">
      <w:pPr>
        <w:pStyle w:val="Heading2"/>
        <w:numPr>
          <w:ilvl w:val="1"/>
          <w:numId w:val="4"/>
        </w:numPr>
        <w:spacing w:after="240"/>
      </w:pPr>
      <w:bookmarkStart w:id="34" w:name="_Toc519088569"/>
      <w:r>
        <w:t>Child protection</w:t>
      </w:r>
      <w:bookmarkEnd w:id="34"/>
    </w:p>
    <w:p w14:paraId="0CCC2DA9" w14:textId="4A90065B" w:rsidR="00917839" w:rsidRDefault="002839D4" w:rsidP="002839D4">
      <w:r>
        <w:t xml:space="preserve">In 2017, there were 2,631 children on the Child Protection Register in Scotland, </w:t>
      </w:r>
      <w:r w:rsidR="00833F54">
        <w:t>most (53%) of whom were under 5 years old.  In Aberdeen City there were</w:t>
      </w:r>
      <w:r>
        <w:t xml:space="preserve"> 81 </w:t>
      </w:r>
      <w:r w:rsidR="00833F54">
        <w:t>children on the Child Protection Register</w:t>
      </w:r>
      <w:r>
        <w:t xml:space="preserve">.  Despite fluctuations, overall the number of children on the Register in Aberdeen City has </w:t>
      </w:r>
      <w:r w:rsidR="005808CB">
        <w:t xml:space="preserve">fallen </w:t>
      </w:r>
      <w:r>
        <w:t>over the past 10 years.  Similarly, the rate (per 1,000 population aged 0-15 years) has dropped from 4.4 to 2.4 in the 10 years from 2007 to 2017.  In Scotland the rate has remained relatively stable over the past 10 years and in 2017 was 2.9.</w:t>
      </w:r>
    </w:p>
    <w:p w14:paraId="1250B205" w14:textId="7BD1E80B" w:rsidR="00917839" w:rsidRDefault="00917839" w:rsidP="002839D4"/>
    <w:p w14:paraId="3EBFE761" w14:textId="47C00AB3" w:rsidR="00917839" w:rsidRDefault="00917839" w:rsidP="002839D4">
      <w:r>
        <w:t>Between 31</w:t>
      </w:r>
      <w:r w:rsidRPr="00917839">
        <w:rPr>
          <w:vertAlign w:val="superscript"/>
        </w:rPr>
        <w:t>st</w:t>
      </w:r>
      <w:r>
        <w:t xml:space="preserve"> July 2016 and 31</w:t>
      </w:r>
      <w:r w:rsidRPr="00917839">
        <w:rPr>
          <w:vertAlign w:val="superscript"/>
        </w:rPr>
        <w:t>st</w:t>
      </w:r>
      <w:r>
        <w:t xml:space="preserve"> July 2017, there were 164 registrations (80% of case conferences) and 201 de-registrations.</w:t>
      </w:r>
    </w:p>
    <w:p w14:paraId="02B4B7AB" w14:textId="625C30A0" w:rsidR="00917839" w:rsidRDefault="00917839" w:rsidP="002839D4"/>
    <w:p w14:paraId="17596A9A" w14:textId="77777777" w:rsidR="002839D4" w:rsidRPr="00317DE6" w:rsidRDefault="002839D4" w:rsidP="002839D4">
      <w:r>
        <w:rPr>
          <w:noProof/>
        </w:rPr>
        <w:lastRenderedPageBreak/>
        <w:drawing>
          <wp:inline distT="0" distB="0" distL="0" distR="0" wp14:anchorId="36D731FE" wp14:editId="545798AF">
            <wp:extent cx="5165678" cy="2667635"/>
            <wp:effectExtent l="0" t="0" r="16510" b="18415"/>
            <wp:docPr id="10" name="Chart 10">
              <a:extLst xmlns:a="http://schemas.openxmlformats.org/drawingml/2006/main">
                <a:ext uri="{FF2B5EF4-FFF2-40B4-BE49-F238E27FC236}">
                  <a16:creationId xmlns:a16="http://schemas.microsoft.com/office/drawing/2014/main" id="{54CC5A86-8D91-494A-BE29-20EC371DEA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C5B54F5" w14:textId="79D0AA13" w:rsidR="002839D4" w:rsidRDefault="002839D4" w:rsidP="000172EC">
      <w:pPr>
        <w:spacing w:after="360"/>
        <w:ind w:left="0"/>
        <w:rPr>
          <w:sz w:val="16"/>
          <w:szCs w:val="16"/>
        </w:rPr>
      </w:pPr>
      <w:r w:rsidRPr="000172EC">
        <w:rPr>
          <w:sz w:val="16"/>
          <w:szCs w:val="16"/>
        </w:rPr>
        <w:tab/>
        <w:t>Source: Children’s Social Work Statistics 2016/17</w:t>
      </w:r>
      <w:r w:rsidR="004E4A78">
        <w:rPr>
          <w:sz w:val="16"/>
          <w:szCs w:val="16"/>
        </w:rPr>
        <w:t xml:space="preserve">, available at: </w:t>
      </w:r>
      <w:hyperlink r:id="rId63" w:history="1">
        <w:r w:rsidR="00B36153" w:rsidRPr="00AF360C">
          <w:rPr>
            <w:rStyle w:val="Hyperlink"/>
            <w:sz w:val="16"/>
            <w:szCs w:val="16"/>
          </w:rPr>
          <w:t>http://www.gov.scot/Publications/2018/03/6242/downloads</w:t>
        </w:r>
      </w:hyperlink>
      <w:r w:rsidR="00B36153">
        <w:rPr>
          <w:sz w:val="16"/>
          <w:szCs w:val="16"/>
        </w:rPr>
        <w:t xml:space="preserve"> </w:t>
      </w:r>
    </w:p>
    <w:p w14:paraId="2BC07589" w14:textId="77777777" w:rsidR="00DD72E7" w:rsidRDefault="00DD72E7" w:rsidP="00DD72E7">
      <w:r>
        <w:t xml:space="preserve">In 2016-2017, 4.9% of child protection registrations were re-registered within 18 months – lower than the figure for Scotland of 6.5%.  The proportion of re-registered children has decreased substantially in each of the last 2 years, from 10.7% in 2014-2015 to 5.8% in 2016-2016 to the current level of 4.9%.  </w:t>
      </w:r>
    </w:p>
    <w:p w14:paraId="4B148976" w14:textId="77777777" w:rsidR="00DD72E7" w:rsidRPr="000172EC" w:rsidRDefault="00DD72E7" w:rsidP="000172EC">
      <w:pPr>
        <w:spacing w:after="360"/>
        <w:ind w:left="0"/>
        <w:rPr>
          <w:sz w:val="16"/>
          <w:szCs w:val="16"/>
        </w:rPr>
      </w:pPr>
    </w:p>
    <w:p w14:paraId="54BC27D8" w14:textId="4718604C" w:rsidR="004A6195" w:rsidRDefault="004A6195" w:rsidP="004A6195">
      <w:pPr>
        <w:pStyle w:val="Heading2"/>
        <w:numPr>
          <w:ilvl w:val="1"/>
          <w:numId w:val="4"/>
        </w:numPr>
      </w:pPr>
      <w:bookmarkStart w:id="35" w:name="_Toc519088570"/>
      <w:bookmarkStart w:id="36" w:name="_Hlk517343025"/>
      <w:r>
        <w:t>Children and mental health services</w:t>
      </w:r>
      <w:bookmarkEnd w:id="35"/>
      <w:r w:rsidR="00E61012">
        <w:t xml:space="preserve"> </w:t>
      </w:r>
    </w:p>
    <w:p w14:paraId="0D3323BF" w14:textId="77777777" w:rsidR="00026A32" w:rsidRPr="00026A32" w:rsidRDefault="00026A32" w:rsidP="00026A32"/>
    <w:p w14:paraId="2FA59349" w14:textId="49604068" w:rsidR="00E61012" w:rsidRDefault="00E61012" w:rsidP="00E61012">
      <w:r w:rsidRPr="00E61012">
        <w:t>The NHS in Scotland provides mental health services for children and young people with a wide range of mental health conditions including Attention Deficit Hyperactivity Disorder (ADHD), anxiety, behaviour problems, depression and early onset psychosis.</w:t>
      </w:r>
      <w:r w:rsidR="00DD72E7">
        <w:t xml:space="preserve">  </w:t>
      </w:r>
      <w:r w:rsidRPr="00E61012">
        <w:t>This treatment is provided through Child and Adolescent Mental Health (CAMH) services. These services, which are mainly outpatient and community based, are provided by a range of staff including psychiatrists, mental health nurses, clinical psychologists, child psychotherapists, occupational therapists and other allied health professionals.</w:t>
      </w:r>
    </w:p>
    <w:p w14:paraId="437A2229" w14:textId="1AB3BD2A" w:rsidR="000172EC" w:rsidRPr="00E61012" w:rsidRDefault="000172EC" w:rsidP="00E61012"/>
    <w:p w14:paraId="7E103421" w14:textId="0930F03B" w:rsidR="00E61012" w:rsidRDefault="00E61012" w:rsidP="00E61012">
      <w:r w:rsidRPr="00E61012">
        <w:t>The Scottish Government requires the NHS in Scotland to measure the time people wait for treatment and this includes people waiting for CAMH services. The Scottish Government has set a standard for the NHS in Scotland to deliver a maximum wait of 18 weeks from a patient’s referral to treatment for specialist CAMH services from December 2014.</w:t>
      </w:r>
    </w:p>
    <w:p w14:paraId="357CB4D7" w14:textId="77777777" w:rsidR="000172EC" w:rsidRPr="00E61012" w:rsidRDefault="000172EC" w:rsidP="00E61012"/>
    <w:p w14:paraId="4EACC34F" w14:textId="19F20F86" w:rsidR="00E61012" w:rsidRDefault="00FD3AA8" w:rsidP="00E61012">
      <w:r>
        <w:rPr>
          <w:noProof/>
        </w:rPr>
        <mc:AlternateContent>
          <mc:Choice Requires="wps">
            <w:drawing>
              <wp:anchor distT="45720" distB="45720" distL="114300" distR="114300" simplePos="0" relativeHeight="251660288" behindDoc="0" locked="0" layoutInCell="1" allowOverlap="1" wp14:anchorId="764A36E2" wp14:editId="54BC6A3E">
                <wp:simplePos x="0" y="0"/>
                <wp:positionH relativeFrom="column">
                  <wp:posOffset>2988310</wp:posOffset>
                </wp:positionH>
                <wp:positionV relativeFrom="paragraph">
                  <wp:posOffset>5715</wp:posOffset>
                </wp:positionV>
                <wp:extent cx="2701925" cy="1494155"/>
                <wp:effectExtent l="0" t="0" r="22225" b="1079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1925" cy="1494155"/>
                        </a:xfrm>
                        <a:prstGeom prst="rect">
                          <a:avLst/>
                        </a:prstGeom>
                        <a:solidFill>
                          <a:srgbClr val="FFFFFF"/>
                        </a:solidFill>
                        <a:ln w="9525">
                          <a:solidFill>
                            <a:srgbClr val="000000"/>
                          </a:solidFill>
                          <a:miter lim="800000"/>
                          <a:headEnd/>
                          <a:tailEnd/>
                        </a:ln>
                      </wps:spPr>
                      <wps:txbx>
                        <w:txbxContent>
                          <w:p w14:paraId="0D268612" w14:textId="785494E6" w:rsidR="00175103" w:rsidRDefault="00175103" w:rsidP="00C86747">
                            <w:pPr>
                              <w:ind w:left="0"/>
                            </w:pPr>
                            <w:r w:rsidRPr="00FD3AA8">
                              <w:t>In the 39</w:t>
                            </w:r>
                            <w:r w:rsidRPr="00FD3AA8">
                              <w:rPr>
                                <w:vertAlign w:val="superscript"/>
                              </w:rPr>
                              <w:t>th</w:t>
                            </w:r>
                            <w:r w:rsidRPr="00FD3AA8">
                              <w:t xml:space="preserve"> City Voice questionnaire panellists were asked about Education and Children’s Services</w:t>
                            </w:r>
                            <w:r>
                              <w:t xml:space="preserve"> and </w:t>
                            </w:r>
                            <w:r w:rsidRPr="00FD3AA8">
                              <w:t xml:space="preserve">what areas they see as a priority for improving services for children.  </w:t>
                            </w:r>
                            <w:r>
                              <w:t xml:space="preserve">53% of respondents and 63% of respondents with children identified mental health as a priority issue.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4A36E2" id="_x0000_t202" coordsize="21600,21600" o:spt="202" path="m,l,21600r21600,l21600,xe">
                <v:stroke joinstyle="miter"/>
                <v:path gradientshapeok="t" o:connecttype="rect"/>
              </v:shapetype>
              <v:shape id="Text Box 2" o:spid="_x0000_s1027" type="#_x0000_t202" style="position:absolute;left:0;text-align:left;margin-left:235.3pt;margin-top:.45pt;width:212.75pt;height:117.6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57yJgIAAE4EAAAOAAAAZHJzL2Uyb0RvYy54bWysVNuO2yAQfa/Uf0C8N74oaTZWnNU221SV&#10;thdptx+AMY5RgaFAYm+/vgPOZtOL+lDVD4hhhsOZMzNeX49akaNwXoKpaTHLKRGGQyvNvqZfHnav&#10;rijxgZmWKTCipo/C0+vNyxfrwVaihB5UKxxBEOOrwda0D8FWWeZ5LzTzM7DCoLMDp1lA0+2z1rEB&#10;0bXKyjx/nQ3gWuuAC+/x9HZy0k3C7zrBw6eu8yIQVVPkFtLq0trENdusWbV3zPaSn2iwf2ChmTT4&#10;6BnqlgVGDk7+BqUld+ChCzMOOoOuk1ykHDCbIv8lm/ueWZFyQXG8Pcvk/x8s/3j87Ihsa1oWS0oM&#10;01ikBzEG8gZGUkZ9BusrDLu3GBhGPMY6p1y9vQP+1RMD256ZvbhxDoZesBb5FfFmdnF1wvERpBk+&#10;QIvPsEOABDR2TkfxUA6C6Finx3NtIhWOh+UyL1blghKOvmK+mheLRXqDVU/XrfPhnQBN4qamDouf&#10;4NnxzodIh1VPIfE1D0q2O6lUMty+2SpHjgwbZZe+E/pPYcqQoaarBRL5O0Sevj9BaBmw45XUNb06&#10;B7Eq6vbWtKkfA5Nq2iNlZU5CRu0mFcPYjKlmSeUocgPtIyrrYGpwHEjc9OC+UzJgc9fUfzswJyhR&#10;7w1WZ1XM53EakjFfLEs03KWnufQwwxGqpoGSabsNaYKiAgZusIqdTPo+MzlRxqZNsp8GLE7FpZ2i&#10;nn8Dmx8AAAD//wMAUEsDBBQABgAIAAAAIQBk3jdt3wAAAAgBAAAPAAAAZHJzL2Rvd25yZXYueG1s&#10;TI/BTsMwEETvSPyDtUhcEHWaVm4SsqkQEghuUBBc3dhNIux1sN00/D3mBMfRjGbe1NvZGjZpHwZH&#10;CMtFBkxT69RAHcLb6/11ASxESUoaRxrhWwfYNudntayUO9GLnnaxY6mEQiUR+hjHivPQ9trKsHCj&#10;puQdnLcyJuk7rrw8pXJreJ5lgls5UFro5ajvet1+7o4WoVg/Th/hafX83oqDKePVZnr48oiXF/Pt&#10;DbCo5/gXhl/8hA5NYtq7I6nADMJ6k4kURSiBJbsoxRLYHiFfiRx4U/P/B5ofAAAA//8DAFBLAQIt&#10;ABQABgAIAAAAIQC2gziS/gAAAOEBAAATAAAAAAAAAAAAAAAAAAAAAABbQ29udGVudF9UeXBlc10u&#10;eG1sUEsBAi0AFAAGAAgAAAAhADj9If/WAAAAlAEAAAsAAAAAAAAAAAAAAAAALwEAAF9yZWxzLy5y&#10;ZWxzUEsBAi0AFAAGAAgAAAAhADiTnvImAgAATgQAAA4AAAAAAAAAAAAAAAAALgIAAGRycy9lMm9E&#10;b2MueG1sUEsBAi0AFAAGAAgAAAAhAGTeN23fAAAACAEAAA8AAAAAAAAAAAAAAAAAgAQAAGRycy9k&#10;b3ducmV2LnhtbFBLBQYAAAAABAAEAPMAAACMBQAAAAA=&#10;">
                <v:textbox>
                  <w:txbxContent>
                    <w:p w14:paraId="0D268612" w14:textId="785494E6" w:rsidR="00175103" w:rsidRDefault="00175103" w:rsidP="00C86747">
                      <w:pPr>
                        <w:ind w:left="0"/>
                      </w:pPr>
                      <w:r w:rsidRPr="00FD3AA8">
                        <w:t>In the 39</w:t>
                      </w:r>
                      <w:r w:rsidRPr="00FD3AA8">
                        <w:rPr>
                          <w:vertAlign w:val="superscript"/>
                        </w:rPr>
                        <w:t>th</w:t>
                      </w:r>
                      <w:r w:rsidRPr="00FD3AA8">
                        <w:t xml:space="preserve"> City Voice questionnaire panellists were asked about Education and Children’s Services</w:t>
                      </w:r>
                      <w:r>
                        <w:t xml:space="preserve"> and </w:t>
                      </w:r>
                      <w:r w:rsidRPr="00FD3AA8">
                        <w:t xml:space="preserve">what areas they see as a priority for improving services for children.  </w:t>
                      </w:r>
                      <w:r>
                        <w:t xml:space="preserve">53% of respondents and 63% of respondents with children identified mental health as a priority issue. </w:t>
                      </w:r>
                    </w:p>
                  </w:txbxContent>
                </v:textbox>
                <w10:wrap type="square"/>
              </v:shape>
            </w:pict>
          </mc:Fallback>
        </mc:AlternateContent>
      </w:r>
      <w:r w:rsidR="00E61012" w:rsidRPr="005808CB">
        <w:t>In 201</w:t>
      </w:r>
      <w:r w:rsidR="005808CB" w:rsidRPr="005808CB">
        <w:t>7</w:t>
      </w:r>
      <w:r w:rsidR="00E61012" w:rsidRPr="005808CB">
        <w:t xml:space="preserve">, </w:t>
      </w:r>
      <w:r w:rsidR="005808CB" w:rsidRPr="005808CB">
        <w:t>a total of 1,212 CAMHS patients were seen in Grampian.  Of these, 37.7</w:t>
      </w:r>
      <w:r w:rsidR="00E61012" w:rsidRPr="005808CB">
        <w:t>% were seen within the 18</w:t>
      </w:r>
      <w:r w:rsidR="005808CB">
        <w:t>-</w:t>
      </w:r>
      <w:r w:rsidR="00E61012" w:rsidRPr="005808CB">
        <w:t xml:space="preserve">week period, </w:t>
      </w:r>
      <w:r w:rsidR="005808CB" w:rsidRPr="005808CB">
        <w:t xml:space="preserve">considerably </w:t>
      </w:r>
      <w:r w:rsidR="00E61012" w:rsidRPr="005808CB">
        <w:t>lower than the Scottish rate where over three-quarters (7</w:t>
      </w:r>
      <w:r w:rsidR="005808CB" w:rsidRPr="005808CB">
        <w:t>7.5</w:t>
      </w:r>
      <w:r w:rsidR="00E61012" w:rsidRPr="005808CB">
        <w:t xml:space="preserve">%) of these patients were seen within 18 weeks.  </w:t>
      </w:r>
    </w:p>
    <w:p w14:paraId="114F4763" w14:textId="77777777" w:rsidR="000172EC" w:rsidRDefault="000172EC" w:rsidP="00E61012"/>
    <w:p w14:paraId="54CD8823" w14:textId="0E757EBF" w:rsidR="00E61012" w:rsidRDefault="00E61012" w:rsidP="00E61012">
      <w:r w:rsidRPr="00F27A3C">
        <w:t>Delivery of good quality and timely mental health services depends on having the required number of staff in the right post.  As at 31</w:t>
      </w:r>
      <w:r w:rsidRPr="00F27A3C">
        <w:rPr>
          <w:vertAlign w:val="superscript"/>
        </w:rPr>
        <w:t>st</w:t>
      </w:r>
      <w:r w:rsidRPr="00F27A3C">
        <w:t xml:space="preserve"> December 201</w:t>
      </w:r>
      <w:r w:rsidR="00711A64" w:rsidRPr="00F27A3C">
        <w:t>7</w:t>
      </w:r>
      <w:r w:rsidRPr="00F27A3C">
        <w:t xml:space="preserve">, NHS Grampian </w:t>
      </w:r>
      <w:r w:rsidRPr="00F27A3C">
        <w:lastRenderedPageBreak/>
        <w:t xml:space="preserve">employed </w:t>
      </w:r>
      <w:r w:rsidR="00711A64" w:rsidRPr="00F27A3C">
        <w:t>46.2</w:t>
      </w:r>
      <w:r w:rsidRPr="00F27A3C">
        <w:t xml:space="preserve"> whole time equivalent clinical staff in child and adolescent mental health services per 100,000 population</w:t>
      </w:r>
      <w:r w:rsidR="00711A64" w:rsidRPr="00F27A3C">
        <w:t xml:space="preserve"> of 0</w:t>
      </w:r>
      <w:r w:rsidR="00F27A3C">
        <w:t xml:space="preserve"> to </w:t>
      </w:r>
      <w:r w:rsidR="00711A64" w:rsidRPr="00F27A3C">
        <w:t>18 year</w:t>
      </w:r>
      <w:r w:rsidR="00F27A3C" w:rsidRPr="00F27A3C">
        <w:t>-</w:t>
      </w:r>
      <w:r w:rsidR="00711A64" w:rsidRPr="00F27A3C">
        <w:t>olds</w:t>
      </w:r>
      <w:r w:rsidRPr="00F27A3C">
        <w:t>.  This is the second lowest rate of CAMHS staff</w:t>
      </w:r>
      <w:r w:rsidR="00F27A3C" w:rsidRPr="00F27A3C">
        <w:t xml:space="preserve"> </w:t>
      </w:r>
      <w:r w:rsidRPr="00F27A3C">
        <w:t>in Scotland; only NHS Orkney employs few</w:t>
      </w:r>
      <w:r w:rsidR="00F27A3C" w:rsidRPr="00F27A3C">
        <w:t>er equivalent</w:t>
      </w:r>
      <w:r w:rsidRPr="00F27A3C">
        <w:t xml:space="preserve"> staff (</w:t>
      </w:r>
      <w:r w:rsidR="00F27A3C" w:rsidRPr="00F27A3C">
        <w:t>2</w:t>
      </w:r>
      <w:r w:rsidR="00F27A3C">
        <w:t>4). (CAHMS characteristics of the workforce as at 31</w:t>
      </w:r>
      <w:r w:rsidR="00F27A3C" w:rsidRPr="00F27A3C">
        <w:rPr>
          <w:vertAlign w:val="superscript"/>
        </w:rPr>
        <w:t>st</w:t>
      </w:r>
      <w:r w:rsidR="00F27A3C">
        <w:t xml:space="preserve"> December 2017,</w:t>
      </w:r>
      <w:r w:rsidR="00F27A3C" w:rsidRPr="00F27A3C">
        <w:t xml:space="preserve"> </w:t>
      </w:r>
      <w:hyperlink r:id="rId64" w:history="1">
        <w:r w:rsidR="00F27A3C" w:rsidRPr="00CC3562">
          <w:rPr>
            <w:rStyle w:val="Hyperlink"/>
          </w:rPr>
          <w:t>http://www.isdscotland.org/Health-Topics/Workforce/CAMHS/index.asp</w:t>
        </w:r>
      </w:hyperlink>
      <w:r w:rsidR="00F27A3C">
        <w:t xml:space="preserve"> ).</w:t>
      </w:r>
    </w:p>
    <w:p w14:paraId="3C78B802" w14:textId="77777777" w:rsidR="00026A32" w:rsidRPr="00E61012" w:rsidRDefault="00026A32" w:rsidP="00E61012"/>
    <w:p w14:paraId="07F36BF3" w14:textId="09B1B5C5" w:rsidR="00F27A3C" w:rsidRDefault="00F27A3C" w:rsidP="00F27A3C">
      <w:r>
        <w:rPr>
          <w:noProof/>
        </w:rPr>
        <w:drawing>
          <wp:inline distT="0" distB="0" distL="0" distR="0" wp14:anchorId="024B8197" wp14:editId="4AC34F4B">
            <wp:extent cx="5231765" cy="2417197"/>
            <wp:effectExtent l="0" t="0" r="6985" b="2540"/>
            <wp:docPr id="16" name="Chart 16">
              <a:extLst xmlns:a="http://schemas.openxmlformats.org/drawingml/2006/main">
                <a:ext uri="{FF2B5EF4-FFF2-40B4-BE49-F238E27FC236}">
                  <a16:creationId xmlns:a16="http://schemas.microsoft.com/office/drawing/2014/main" id="{DA2347AD-FA9B-427E-A43A-6F27F8C93E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23CF89B" w14:textId="6F6D437C" w:rsidR="00FD3AA8" w:rsidRPr="00C86747" w:rsidRDefault="00F27A3C" w:rsidP="00C86747">
      <w:pPr>
        <w:rPr>
          <w:sz w:val="16"/>
          <w:szCs w:val="16"/>
        </w:rPr>
      </w:pPr>
      <w:r w:rsidRPr="000172EC">
        <w:rPr>
          <w:sz w:val="16"/>
          <w:szCs w:val="16"/>
        </w:rPr>
        <w:t>Source: ISD Scotland, CAHMS characteristics of the workforce at 31</w:t>
      </w:r>
      <w:r w:rsidRPr="000172EC">
        <w:rPr>
          <w:sz w:val="16"/>
          <w:szCs w:val="16"/>
          <w:vertAlign w:val="superscript"/>
        </w:rPr>
        <w:t>st</w:t>
      </w:r>
      <w:r w:rsidRPr="000172EC">
        <w:rPr>
          <w:sz w:val="16"/>
          <w:szCs w:val="16"/>
        </w:rPr>
        <w:t xml:space="preserve"> December 2017</w:t>
      </w:r>
    </w:p>
    <w:p w14:paraId="7B9B44AC" w14:textId="77777777" w:rsidR="00FD3AA8" w:rsidRDefault="00FD3AA8" w:rsidP="00E61012"/>
    <w:p w14:paraId="0F0AD9D3" w14:textId="1CE4BB9A" w:rsidR="004A6195" w:rsidRDefault="002863AA" w:rsidP="002863AA">
      <w:pPr>
        <w:pStyle w:val="Heading2"/>
        <w:numPr>
          <w:ilvl w:val="1"/>
          <w:numId w:val="4"/>
        </w:numPr>
        <w:spacing w:after="240"/>
      </w:pPr>
      <w:bookmarkStart w:id="37" w:name="_Toc519088571"/>
      <w:r>
        <w:t>Wellbeing</w:t>
      </w:r>
      <w:bookmarkEnd w:id="37"/>
    </w:p>
    <w:p w14:paraId="38519245" w14:textId="78F42DF1" w:rsidR="00D710ED" w:rsidRDefault="00D710ED" w:rsidP="002863AA">
      <w:r>
        <w:t xml:space="preserve">Information on </w:t>
      </w:r>
      <w:r w:rsidR="002863AA">
        <w:t xml:space="preserve">wellbeing is provided through the </w:t>
      </w:r>
      <w:r w:rsidR="002863AA" w:rsidRPr="002863AA">
        <w:t>Scottish</w:t>
      </w:r>
      <w:r w:rsidR="002863AA">
        <w:t xml:space="preserve"> </w:t>
      </w:r>
      <w:r w:rsidR="002863AA" w:rsidRPr="002863AA">
        <w:t>Schools Adolescent Lifestyle and Substance Use Survey (SALSUS)</w:t>
      </w:r>
      <w:r w:rsidR="002863AA">
        <w:t xml:space="preserve">.  Emotional and behavioural problems are measured using the Goodman Strengths and Difficulties </w:t>
      </w:r>
      <w:r w:rsidR="003301EB">
        <w:t>(SDQ)</w:t>
      </w:r>
      <w:r w:rsidR="002863AA">
        <w:t xml:space="preserve">questionnaire and mental wellbeing is measured using the </w:t>
      </w:r>
      <w:r w:rsidR="002863AA" w:rsidRPr="002863AA">
        <w:t>Warwick</w:t>
      </w:r>
      <w:r w:rsidR="002863AA">
        <w:t>-</w:t>
      </w:r>
      <w:r w:rsidR="002863AA" w:rsidRPr="002863AA">
        <w:t xml:space="preserve">Edinburgh Mental Wellbeing Scale </w:t>
      </w:r>
      <w:r w:rsidR="00AA2ED0">
        <w:t>(</w:t>
      </w:r>
      <w:r w:rsidR="002863AA" w:rsidRPr="002863AA">
        <w:t>WEMWB</w:t>
      </w:r>
      <w:r w:rsidR="00AA2ED0">
        <w:t>)</w:t>
      </w:r>
      <w:r w:rsidR="002863AA">
        <w:t xml:space="preserve">. </w:t>
      </w:r>
      <w:r w:rsidR="001532C4">
        <w:t xml:space="preserve">Each measure provides a total score. </w:t>
      </w:r>
      <w:r w:rsidR="002863AA">
        <w:t xml:space="preserve">The most recent Scotland level data is from 2015, with the most recent local authority level data being for 2013.   </w:t>
      </w:r>
    </w:p>
    <w:p w14:paraId="3F987A4E" w14:textId="77777777" w:rsidR="000172EC" w:rsidRDefault="000172EC" w:rsidP="002863AA"/>
    <w:p w14:paraId="485FECA7" w14:textId="4DC9529B" w:rsidR="00D464D5" w:rsidRDefault="001532C4" w:rsidP="00FD31AF">
      <w:r>
        <w:t xml:space="preserve">Data from 2013 suggests levels of wellbeing in young people in Aberdeen are similar to those in Scotland as a whole.  </w:t>
      </w:r>
      <w:r w:rsidR="00D710ED">
        <w:t xml:space="preserve">In 2013 the mean </w:t>
      </w:r>
      <w:r w:rsidRPr="001532C4">
        <w:t>total difficulties score for S4 pupils in Aberdeen City was 12.6 compared to 12.9 for Scotland.</w:t>
      </w:r>
      <w:r>
        <w:t xml:space="preserve">  The mean </w:t>
      </w:r>
      <w:r w:rsidR="00D710ED">
        <w:t>mental wellbeing score for S4 pupils in Aberdeen City was 47.7 compared to 47.6 for Scotland.</w:t>
      </w:r>
      <w:r w:rsidR="002863AA">
        <w:t xml:space="preserve"> </w:t>
      </w:r>
      <w:r>
        <w:t xml:space="preserve"> </w:t>
      </w:r>
    </w:p>
    <w:p w14:paraId="3D16D663" w14:textId="0D153C7C" w:rsidR="00FD31AF" w:rsidRPr="00FD31AF" w:rsidRDefault="00592551" w:rsidP="00FD31AF">
      <w:r>
        <w:t xml:space="preserve">Source:  </w:t>
      </w:r>
      <w:hyperlink r:id="rId66" w:history="1">
        <w:r w:rsidRPr="00D331F7">
          <w:rPr>
            <w:rStyle w:val="Hyperlink"/>
          </w:rPr>
          <w:t>http://www.gov.scot/Resource/0051/00518032.pdf</w:t>
        </w:r>
      </w:hyperlink>
      <w:r w:rsidR="009102DD">
        <w:t xml:space="preserve">  </w:t>
      </w:r>
      <w:r w:rsidR="002863AA">
        <w:t xml:space="preserve"> </w:t>
      </w:r>
    </w:p>
    <w:p w14:paraId="0563501E" w14:textId="4E054020" w:rsidR="003D3E44" w:rsidRDefault="003D3E44" w:rsidP="003D3E44"/>
    <w:p w14:paraId="3A79F26D" w14:textId="177262C6" w:rsidR="003D3E44" w:rsidRDefault="003D3E44" w:rsidP="00740836">
      <w:pPr>
        <w:pStyle w:val="Heading2"/>
        <w:numPr>
          <w:ilvl w:val="1"/>
          <w:numId w:val="4"/>
        </w:numPr>
        <w:spacing w:after="240"/>
      </w:pPr>
      <w:bookmarkStart w:id="38" w:name="_Toc519088572"/>
      <w:bookmarkEnd w:id="36"/>
      <w:r>
        <w:t>Early learning and childcare provision</w:t>
      </w:r>
      <w:bookmarkEnd w:id="38"/>
    </w:p>
    <w:p w14:paraId="63D6A676" w14:textId="6611ADAB" w:rsidR="003D3E44" w:rsidRDefault="003D3E44" w:rsidP="003D3E44">
      <w:pPr>
        <w:spacing w:before="240"/>
        <w:ind w:left="709"/>
        <w:rPr>
          <w:rFonts w:ascii="Calibri" w:hAnsi="Calibri" w:cs="Calibri"/>
          <w:lang w:val="en-US"/>
        </w:rPr>
      </w:pPr>
      <w:r w:rsidRPr="00591E0F">
        <w:rPr>
          <w:rFonts w:ascii="Calibri" w:hAnsi="Calibri" w:cs="Calibri"/>
          <w:lang w:val="en-US"/>
        </w:rPr>
        <w:t>Local Authorities have a duty to secure “Early Learning and Childcare (EL&amp;C) for all children in the nursery term following their third birthday until they start primary school. There is also a duty to provide early learning and childcare for two year</w:t>
      </w:r>
      <w:r>
        <w:rPr>
          <w:rFonts w:ascii="Calibri" w:hAnsi="Calibri" w:cs="Calibri"/>
          <w:lang w:val="en-US"/>
        </w:rPr>
        <w:t>-</w:t>
      </w:r>
      <w:r w:rsidRPr="00591E0F">
        <w:rPr>
          <w:rFonts w:ascii="Calibri" w:hAnsi="Calibri" w:cs="Calibri"/>
          <w:lang w:val="en-US"/>
        </w:rPr>
        <w:t xml:space="preserve">old children who are looked after or whose parents are on specific benefits.   Aberdeen City Council provides free places in nursery classes in local authority primary schools.  It also commissions early learning and childcare from the private, independent and voluntary sectors.  In June 2017, 91% of all eligible children in Aberdeen City in their immediate pre-school year and 82% in their ante pre-school year received free or funded early learning and childcare places in the city. </w:t>
      </w:r>
      <w:r w:rsidRPr="00591E0F">
        <w:rPr>
          <w:rFonts w:ascii="Calibri" w:hAnsi="Calibri" w:cs="Calibri"/>
          <w:lang w:val="en-US"/>
        </w:rPr>
        <w:lastRenderedPageBreak/>
        <w:t>Approximately 25% of the population of 2 year</w:t>
      </w:r>
      <w:r>
        <w:rPr>
          <w:rFonts w:ascii="Calibri" w:hAnsi="Calibri" w:cs="Calibri"/>
          <w:lang w:val="en-US"/>
        </w:rPr>
        <w:t>-</w:t>
      </w:r>
      <w:r w:rsidRPr="00591E0F">
        <w:rPr>
          <w:rFonts w:ascii="Calibri" w:hAnsi="Calibri" w:cs="Calibri"/>
          <w:lang w:val="en-US"/>
        </w:rPr>
        <w:t>olds are eligible for funded EL&amp;C places. In 2016/17 26% of eligible two years received free or funded early EL&amp;C places.</w:t>
      </w:r>
    </w:p>
    <w:p w14:paraId="66A16938" w14:textId="31B1854C" w:rsidR="000172EC" w:rsidRPr="000172EC" w:rsidRDefault="000172EC" w:rsidP="003D3E44">
      <w:pPr>
        <w:spacing w:before="240"/>
        <w:ind w:left="709"/>
        <w:rPr>
          <w:rFonts w:ascii="Calibri" w:hAnsi="Calibri" w:cs="Calibri"/>
          <w:b/>
          <w:lang w:val="en-US"/>
        </w:rPr>
      </w:pPr>
      <w:r w:rsidRPr="000172EC">
        <w:rPr>
          <w:rFonts w:ascii="Calibri" w:hAnsi="Calibri" w:cs="Calibri"/>
          <w:b/>
          <w:lang w:val="en-US"/>
        </w:rPr>
        <w:t>Early learning and childcare provision, Aberdeen City, 2010 and 2017</w:t>
      </w:r>
    </w:p>
    <w:tbl>
      <w:tblPr>
        <w:tblW w:w="822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7"/>
        <w:gridCol w:w="1465"/>
        <w:gridCol w:w="1465"/>
        <w:gridCol w:w="1465"/>
      </w:tblGrid>
      <w:tr w:rsidR="003D3E44" w:rsidRPr="003D3E44" w14:paraId="35B8BB86" w14:textId="77777777" w:rsidTr="003D3E44">
        <w:trPr>
          <w:trHeight w:val="340"/>
        </w:trPr>
        <w:tc>
          <w:tcPr>
            <w:tcW w:w="3827" w:type="dxa"/>
            <w:shd w:val="clear" w:color="auto" w:fill="DBE5F1"/>
          </w:tcPr>
          <w:p w14:paraId="413A81A2" w14:textId="77777777" w:rsidR="003D3E44" w:rsidRPr="003D3E44" w:rsidRDefault="003D3E44" w:rsidP="000172EC">
            <w:pPr>
              <w:ind w:left="0"/>
              <w:jc w:val="both"/>
              <w:rPr>
                <w:rFonts w:cs="Calibri"/>
                <w:b/>
                <w:sz w:val="18"/>
                <w:szCs w:val="18"/>
              </w:rPr>
            </w:pPr>
          </w:p>
        </w:tc>
        <w:tc>
          <w:tcPr>
            <w:tcW w:w="1465" w:type="dxa"/>
            <w:shd w:val="clear" w:color="auto" w:fill="DBE5F1"/>
            <w:vAlign w:val="center"/>
          </w:tcPr>
          <w:p w14:paraId="7C8BED47" w14:textId="77777777" w:rsidR="003D3E44" w:rsidRPr="003D3E44" w:rsidRDefault="003D3E44" w:rsidP="000172EC">
            <w:pPr>
              <w:ind w:left="0"/>
              <w:jc w:val="right"/>
              <w:rPr>
                <w:rFonts w:cs="Calibri"/>
                <w:b/>
                <w:sz w:val="18"/>
                <w:szCs w:val="18"/>
              </w:rPr>
            </w:pPr>
            <w:r w:rsidRPr="003D3E44">
              <w:rPr>
                <w:rFonts w:cs="Calibri"/>
                <w:b/>
                <w:sz w:val="18"/>
                <w:szCs w:val="18"/>
              </w:rPr>
              <w:t>2010</w:t>
            </w:r>
          </w:p>
        </w:tc>
        <w:tc>
          <w:tcPr>
            <w:tcW w:w="1465" w:type="dxa"/>
            <w:shd w:val="clear" w:color="auto" w:fill="DBE5F1"/>
            <w:vAlign w:val="center"/>
          </w:tcPr>
          <w:p w14:paraId="1F1ABD4C" w14:textId="77777777" w:rsidR="003D3E44" w:rsidRPr="003D3E44" w:rsidRDefault="003D3E44" w:rsidP="000172EC">
            <w:pPr>
              <w:ind w:left="0"/>
              <w:jc w:val="right"/>
              <w:rPr>
                <w:rFonts w:cs="Calibri"/>
                <w:b/>
                <w:sz w:val="18"/>
                <w:szCs w:val="18"/>
              </w:rPr>
            </w:pPr>
            <w:r w:rsidRPr="003D3E44">
              <w:rPr>
                <w:rFonts w:cs="Calibri"/>
                <w:b/>
                <w:sz w:val="18"/>
                <w:szCs w:val="18"/>
              </w:rPr>
              <w:t>2017</w:t>
            </w:r>
          </w:p>
        </w:tc>
        <w:tc>
          <w:tcPr>
            <w:tcW w:w="1465" w:type="dxa"/>
            <w:shd w:val="clear" w:color="auto" w:fill="DBE5F1"/>
            <w:vAlign w:val="center"/>
          </w:tcPr>
          <w:p w14:paraId="5FDCD3DD" w14:textId="77777777" w:rsidR="003D3E44" w:rsidRPr="003D3E44" w:rsidRDefault="003D3E44" w:rsidP="000172EC">
            <w:pPr>
              <w:ind w:left="0"/>
              <w:jc w:val="right"/>
              <w:rPr>
                <w:rFonts w:cs="Calibri"/>
                <w:b/>
                <w:sz w:val="18"/>
                <w:szCs w:val="18"/>
              </w:rPr>
            </w:pPr>
            <w:r w:rsidRPr="003D3E44">
              <w:rPr>
                <w:rFonts w:cs="Calibri"/>
                <w:b/>
                <w:sz w:val="18"/>
                <w:szCs w:val="18"/>
              </w:rPr>
              <w:t>Percentage change</w:t>
            </w:r>
          </w:p>
        </w:tc>
      </w:tr>
      <w:tr w:rsidR="003D3E44" w:rsidRPr="003D3E44" w14:paraId="3C66CA35" w14:textId="77777777" w:rsidTr="003D3E44">
        <w:trPr>
          <w:trHeight w:val="340"/>
        </w:trPr>
        <w:tc>
          <w:tcPr>
            <w:tcW w:w="3827" w:type="dxa"/>
            <w:vAlign w:val="center"/>
          </w:tcPr>
          <w:p w14:paraId="374134EE" w14:textId="77777777" w:rsidR="003D3E44" w:rsidRPr="003D3E44" w:rsidRDefault="003D3E44" w:rsidP="000172EC">
            <w:pPr>
              <w:spacing w:line="240" w:lineRule="auto"/>
              <w:ind w:left="0"/>
              <w:rPr>
                <w:rFonts w:eastAsia="Times New Roman" w:cs="Calibri"/>
                <w:sz w:val="18"/>
                <w:szCs w:val="18"/>
              </w:rPr>
            </w:pPr>
            <w:r w:rsidRPr="003D3E44">
              <w:rPr>
                <w:rFonts w:eastAsia="Times New Roman" w:cs="Calibri"/>
                <w:sz w:val="18"/>
                <w:szCs w:val="18"/>
              </w:rPr>
              <w:t>School nurseries operated by ACC (places)</w:t>
            </w:r>
          </w:p>
        </w:tc>
        <w:tc>
          <w:tcPr>
            <w:tcW w:w="1465" w:type="dxa"/>
            <w:vAlign w:val="center"/>
          </w:tcPr>
          <w:p w14:paraId="7F901308" w14:textId="1B4843E4"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2,938</w:t>
            </w:r>
          </w:p>
        </w:tc>
        <w:tc>
          <w:tcPr>
            <w:tcW w:w="1465" w:type="dxa"/>
            <w:vAlign w:val="center"/>
          </w:tcPr>
          <w:p w14:paraId="3CA12520" w14:textId="3E613980"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3,566</w:t>
            </w:r>
          </w:p>
        </w:tc>
        <w:tc>
          <w:tcPr>
            <w:tcW w:w="1465" w:type="dxa"/>
            <w:shd w:val="clear" w:color="auto" w:fill="FFFFFF"/>
            <w:vAlign w:val="center"/>
          </w:tcPr>
          <w:p w14:paraId="0D1A1365" w14:textId="77777777"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+21.4%</w:t>
            </w:r>
          </w:p>
        </w:tc>
      </w:tr>
      <w:tr w:rsidR="003D3E44" w:rsidRPr="003D3E44" w14:paraId="3F02EC31" w14:textId="77777777" w:rsidTr="003D3E44">
        <w:trPr>
          <w:trHeight w:val="340"/>
        </w:trPr>
        <w:tc>
          <w:tcPr>
            <w:tcW w:w="3827" w:type="dxa"/>
            <w:vAlign w:val="center"/>
          </w:tcPr>
          <w:p w14:paraId="4E6815CA" w14:textId="77777777" w:rsidR="003D3E44" w:rsidRPr="003D3E44" w:rsidRDefault="003D3E44" w:rsidP="000172EC">
            <w:pPr>
              <w:spacing w:line="240" w:lineRule="auto"/>
              <w:ind w:left="0"/>
              <w:rPr>
                <w:rFonts w:eastAsia="Times New Roman" w:cs="Calibri"/>
                <w:sz w:val="18"/>
                <w:szCs w:val="18"/>
              </w:rPr>
            </w:pPr>
            <w:r w:rsidRPr="003D3E44">
              <w:rPr>
                <w:rFonts w:eastAsia="Times New Roman" w:cs="Calibri"/>
                <w:sz w:val="18"/>
                <w:szCs w:val="18"/>
              </w:rPr>
              <w:t>Day nurseries (places)</w:t>
            </w:r>
          </w:p>
        </w:tc>
        <w:tc>
          <w:tcPr>
            <w:tcW w:w="1465" w:type="dxa"/>
            <w:vAlign w:val="center"/>
          </w:tcPr>
          <w:p w14:paraId="0A18CB9D" w14:textId="77777777"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2,089</w:t>
            </w:r>
          </w:p>
        </w:tc>
        <w:tc>
          <w:tcPr>
            <w:tcW w:w="1465" w:type="dxa"/>
            <w:vAlign w:val="center"/>
          </w:tcPr>
          <w:p w14:paraId="0A836E03" w14:textId="0DAA82F0"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2,330</w:t>
            </w:r>
            <w:r w:rsidRPr="003D3E44">
              <w:rPr>
                <w:rFonts w:eastAsia="Times New Roman" w:cs="Calibri"/>
                <w:b/>
                <w:sz w:val="18"/>
                <w:szCs w:val="18"/>
              </w:rPr>
              <w:t xml:space="preserve"> </w:t>
            </w:r>
          </w:p>
        </w:tc>
        <w:tc>
          <w:tcPr>
            <w:tcW w:w="1465" w:type="dxa"/>
            <w:shd w:val="clear" w:color="auto" w:fill="FFFFFF"/>
            <w:vAlign w:val="center"/>
          </w:tcPr>
          <w:p w14:paraId="6F20239B" w14:textId="77777777"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+11.5%</w:t>
            </w:r>
          </w:p>
        </w:tc>
      </w:tr>
      <w:tr w:rsidR="003D3E44" w:rsidRPr="003D3E44" w14:paraId="0EAC04B6" w14:textId="77777777" w:rsidTr="003D3E44">
        <w:trPr>
          <w:trHeight w:val="340"/>
        </w:trPr>
        <w:tc>
          <w:tcPr>
            <w:tcW w:w="3827" w:type="dxa"/>
            <w:vAlign w:val="center"/>
          </w:tcPr>
          <w:p w14:paraId="6E2BE971" w14:textId="77777777" w:rsidR="003D3E44" w:rsidRPr="003D3E44" w:rsidRDefault="003D3E44" w:rsidP="000172EC">
            <w:pPr>
              <w:spacing w:line="240" w:lineRule="auto"/>
              <w:ind w:left="0"/>
              <w:rPr>
                <w:rFonts w:eastAsia="Times New Roman" w:cs="Calibri"/>
                <w:sz w:val="18"/>
                <w:szCs w:val="18"/>
              </w:rPr>
            </w:pPr>
            <w:r w:rsidRPr="003D3E44">
              <w:rPr>
                <w:rFonts w:eastAsia="Times New Roman" w:cs="Calibri"/>
                <w:sz w:val="18"/>
                <w:szCs w:val="18"/>
              </w:rPr>
              <w:t>Crèches (places)</w:t>
            </w:r>
          </w:p>
        </w:tc>
        <w:tc>
          <w:tcPr>
            <w:tcW w:w="1465" w:type="dxa"/>
            <w:vAlign w:val="center"/>
          </w:tcPr>
          <w:p w14:paraId="25A7857F" w14:textId="77777777"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344</w:t>
            </w:r>
          </w:p>
        </w:tc>
        <w:tc>
          <w:tcPr>
            <w:tcW w:w="1465" w:type="dxa"/>
            <w:vAlign w:val="center"/>
          </w:tcPr>
          <w:p w14:paraId="26B90CEA" w14:textId="77777777"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197</w:t>
            </w:r>
          </w:p>
        </w:tc>
        <w:tc>
          <w:tcPr>
            <w:tcW w:w="1465" w:type="dxa"/>
            <w:shd w:val="clear" w:color="auto" w:fill="FFFFFF"/>
            <w:vAlign w:val="center"/>
          </w:tcPr>
          <w:p w14:paraId="24313431" w14:textId="77777777"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-42.7%</w:t>
            </w:r>
          </w:p>
        </w:tc>
      </w:tr>
      <w:tr w:rsidR="003D3E44" w:rsidRPr="003D3E44" w14:paraId="3565128F" w14:textId="77777777" w:rsidTr="003D3E44">
        <w:trPr>
          <w:trHeight w:val="340"/>
        </w:trPr>
        <w:tc>
          <w:tcPr>
            <w:tcW w:w="3827" w:type="dxa"/>
            <w:vAlign w:val="center"/>
          </w:tcPr>
          <w:p w14:paraId="783D6379" w14:textId="77777777" w:rsidR="003D3E44" w:rsidRPr="003D3E44" w:rsidRDefault="003D3E44" w:rsidP="000172EC">
            <w:pPr>
              <w:spacing w:line="240" w:lineRule="auto"/>
              <w:ind w:left="0"/>
              <w:rPr>
                <w:rFonts w:eastAsia="Times New Roman" w:cs="Calibri"/>
                <w:sz w:val="18"/>
                <w:szCs w:val="18"/>
              </w:rPr>
            </w:pPr>
            <w:r w:rsidRPr="003D3E44">
              <w:rPr>
                <w:rFonts w:eastAsia="Times New Roman" w:cs="Calibri"/>
                <w:sz w:val="18"/>
                <w:szCs w:val="18"/>
              </w:rPr>
              <w:t>After school clubs (places)</w:t>
            </w:r>
          </w:p>
        </w:tc>
        <w:tc>
          <w:tcPr>
            <w:tcW w:w="1465" w:type="dxa"/>
            <w:vAlign w:val="center"/>
          </w:tcPr>
          <w:p w14:paraId="661E2359" w14:textId="77777777"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1,409</w:t>
            </w:r>
          </w:p>
        </w:tc>
        <w:tc>
          <w:tcPr>
            <w:tcW w:w="1465" w:type="dxa"/>
            <w:vAlign w:val="center"/>
          </w:tcPr>
          <w:p w14:paraId="640BB410" w14:textId="53C37D4B"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 xml:space="preserve">1,627 </w:t>
            </w:r>
          </w:p>
        </w:tc>
        <w:tc>
          <w:tcPr>
            <w:tcW w:w="1465" w:type="dxa"/>
            <w:shd w:val="clear" w:color="auto" w:fill="FFFFFF"/>
            <w:vAlign w:val="center"/>
          </w:tcPr>
          <w:p w14:paraId="3007C6DE" w14:textId="77777777"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+15.5%</w:t>
            </w:r>
          </w:p>
        </w:tc>
      </w:tr>
      <w:tr w:rsidR="003D3E44" w:rsidRPr="003D3E44" w14:paraId="251EA14E" w14:textId="77777777" w:rsidTr="003D3E44">
        <w:trPr>
          <w:trHeight w:val="340"/>
        </w:trPr>
        <w:tc>
          <w:tcPr>
            <w:tcW w:w="3827" w:type="dxa"/>
            <w:vAlign w:val="center"/>
          </w:tcPr>
          <w:p w14:paraId="0185BE9C" w14:textId="77777777" w:rsidR="003D3E44" w:rsidRPr="003D3E44" w:rsidRDefault="003D3E44" w:rsidP="000172EC">
            <w:pPr>
              <w:spacing w:line="240" w:lineRule="auto"/>
              <w:ind w:left="0"/>
              <w:rPr>
                <w:rFonts w:eastAsia="Times New Roman" w:cs="Calibri"/>
                <w:sz w:val="18"/>
                <w:szCs w:val="18"/>
              </w:rPr>
            </w:pPr>
            <w:r w:rsidRPr="003D3E44">
              <w:rPr>
                <w:rFonts w:eastAsia="Times New Roman" w:cs="Calibri"/>
                <w:sz w:val="18"/>
                <w:szCs w:val="18"/>
              </w:rPr>
              <w:t>Breakfast clubs (places)</w:t>
            </w:r>
          </w:p>
        </w:tc>
        <w:tc>
          <w:tcPr>
            <w:tcW w:w="1465" w:type="dxa"/>
            <w:vAlign w:val="center"/>
          </w:tcPr>
          <w:p w14:paraId="02EE252B" w14:textId="77777777"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989</w:t>
            </w:r>
          </w:p>
        </w:tc>
        <w:tc>
          <w:tcPr>
            <w:tcW w:w="1465" w:type="dxa"/>
            <w:vAlign w:val="center"/>
          </w:tcPr>
          <w:p w14:paraId="05148279" w14:textId="77777777"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1,111</w:t>
            </w:r>
          </w:p>
        </w:tc>
        <w:tc>
          <w:tcPr>
            <w:tcW w:w="1465" w:type="dxa"/>
            <w:shd w:val="clear" w:color="auto" w:fill="FFFFFF"/>
            <w:vAlign w:val="center"/>
          </w:tcPr>
          <w:p w14:paraId="7EDDFC22" w14:textId="77777777"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+12.3%</w:t>
            </w:r>
          </w:p>
        </w:tc>
      </w:tr>
      <w:tr w:rsidR="003D3E44" w:rsidRPr="003D3E44" w14:paraId="4A464FD9" w14:textId="77777777" w:rsidTr="003D3E44">
        <w:trPr>
          <w:trHeight w:val="340"/>
        </w:trPr>
        <w:tc>
          <w:tcPr>
            <w:tcW w:w="3827" w:type="dxa"/>
            <w:vAlign w:val="center"/>
          </w:tcPr>
          <w:p w14:paraId="231EFEEF" w14:textId="77777777" w:rsidR="003D3E44" w:rsidRPr="003D3E44" w:rsidRDefault="003D3E44" w:rsidP="000172EC">
            <w:pPr>
              <w:spacing w:line="240" w:lineRule="auto"/>
              <w:ind w:left="0"/>
              <w:rPr>
                <w:rFonts w:eastAsia="Times New Roman" w:cs="Calibri"/>
                <w:sz w:val="18"/>
                <w:szCs w:val="18"/>
              </w:rPr>
            </w:pPr>
            <w:r w:rsidRPr="003D3E44">
              <w:rPr>
                <w:rFonts w:eastAsia="Times New Roman" w:cs="Calibri"/>
                <w:sz w:val="18"/>
                <w:szCs w:val="18"/>
              </w:rPr>
              <w:t>Playgroups (places)</w:t>
            </w:r>
          </w:p>
        </w:tc>
        <w:tc>
          <w:tcPr>
            <w:tcW w:w="1465" w:type="dxa"/>
            <w:vAlign w:val="center"/>
          </w:tcPr>
          <w:p w14:paraId="7726E93E" w14:textId="77777777"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509</w:t>
            </w:r>
          </w:p>
        </w:tc>
        <w:tc>
          <w:tcPr>
            <w:tcW w:w="1465" w:type="dxa"/>
            <w:vAlign w:val="center"/>
          </w:tcPr>
          <w:p w14:paraId="5EB01140" w14:textId="67EEEB3D"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 xml:space="preserve">300 </w:t>
            </w:r>
          </w:p>
        </w:tc>
        <w:tc>
          <w:tcPr>
            <w:tcW w:w="1465" w:type="dxa"/>
            <w:shd w:val="clear" w:color="auto" w:fill="FFFFFF"/>
            <w:vAlign w:val="center"/>
          </w:tcPr>
          <w:p w14:paraId="23929AB8" w14:textId="77777777"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-41.1%</w:t>
            </w:r>
          </w:p>
        </w:tc>
      </w:tr>
      <w:tr w:rsidR="003D3E44" w:rsidRPr="003D3E44" w14:paraId="0C81B8A1" w14:textId="77777777" w:rsidTr="003D3E44">
        <w:trPr>
          <w:trHeight w:val="340"/>
        </w:trPr>
        <w:tc>
          <w:tcPr>
            <w:tcW w:w="3827" w:type="dxa"/>
            <w:vAlign w:val="center"/>
          </w:tcPr>
          <w:p w14:paraId="06720ADB" w14:textId="77777777" w:rsidR="003D3E44" w:rsidRPr="003D3E44" w:rsidRDefault="003D3E44" w:rsidP="000172EC">
            <w:pPr>
              <w:spacing w:line="240" w:lineRule="auto"/>
              <w:ind w:left="0"/>
              <w:rPr>
                <w:rFonts w:eastAsia="Times New Roman" w:cs="Calibri"/>
                <w:sz w:val="18"/>
                <w:szCs w:val="18"/>
              </w:rPr>
            </w:pPr>
            <w:r w:rsidRPr="003D3E44">
              <w:rPr>
                <w:rFonts w:eastAsia="Times New Roman" w:cs="Calibri"/>
                <w:sz w:val="18"/>
                <w:szCs w:val="18"/>
              </w:rPr>
              <w:t>Childminders (places)</w:t>
            </w:r>
          </w:p>
        </w:tc>
        <w:tc>
          <w:tcPr>
            <w:tcW w:w="1465" w:type="dxa"/>
            <w:vAlign w:val="center"/>
          </w:tcPr>
          <w:p w14:paraId="601730EC" w14:textId="77777777"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907</w:t>
            </w:r>
          </w:p>
        </w:tc>
        <w:tc>
          <w:tcPr>
            <w:tcW w:w="1465" w:type="dxa"/>
            <w:vAlign w:val="center"/>
          </w:tcPr>
          <w:p w14:paraId="08D97183" w14:textId="467DECB6"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 xml:space="preserve">793 </w:t>
            </w:r>
          </w:p>
        </w:tc>
        <w:tc>
          <w:tcPr>
            <w:tcW w:w="1465" w:type="dxa"/>
            <w:shd w:val="clear" w:color="auto" w:fill="FFFFFF"/>
            <w:vAlign w:val="center"/>
          </w:tcPr>
          <w:p w14:paraId="18E4619E" w14:textId="77777777"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-12.6%</w:t>
            </w:r>
          </w:p>
        </w:tc>
      </w:tr>
      <w:tr w:rsidR="003D3E44" w:rsidRPr="003D3E44" w14:paraId="5E116A43" w14:textId="77777777" w:rsidTr="003D3E44">
        <w:trPr>
          <w:trHeight w:val="340"/>
        </w:trPr>
        <w:tc>
          <w:tcPr>
            <w:tcW w:w="3827" w:type="dxa"/>
            <w:vAlign w:val="center"/>
          </w:tcPr>
          <w:p w14:paraId="67949DE0" w14:textId="77777777" w:rsidR="003D3E44" w:rsidRPr="003D3E44" w:rsidRDefault="003D3E44" w:rsidP="000172EC">
            <w:pPr>
              <w:spacing w:line="240" w:lineRule="auto"/>
              <w:ind w:left="0"/>
              <w:rPr>
                <w:rFonts w:eastAsia="Times New Roman" w:cs="Calibri"/>
                <w:sz w:val="18"/>
                <w:szCs w:val="18"/>
              </w:rPr>
            </w:pPr>
            <w:r w:rsidRPr="003D3E44">
              <w:rPr>
                <w:rFonts w:eastAsia="Times New Roman" w:cs="Calibri"/>
                <w:sz w:val="18"/>
                <w:szCs w:val="18"/>
              </w:rPr>
              <w:t>Holiday playschemes (places)</w:t>
            </w:r>
          </w:p>
        </w:tc>
        <w:tc>
          <w:tcPr>
            <w:tcW w:w="1465" w:type="dxa"/>
            <w:vAlign w:val="center"/>
          </w:tcPr>
          <w:p w14:paraId="4B798CB7" w14:textId="77777777"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1,197</w:t>
            </w:r>
          </w:p>
        </w:tc>
        <w:tc>
          <w:tcPr>
            <w:tcW w:w="1465" w:type="dxa"/>
            <w:vAlign w:val="center"/>
          </w:tcPr>
          <w:p w14:paraId="66F7A94D" w14:textId="6E9E35AC"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 xml:space="preserve">1,155 </w:t>
            </w:r>
          </w:p>
        </w:tc>
        <w:tc>
          <w:tcPr>
            <w:tcW w:w="1465" w:type="dxa"/>
            <w:shd w:val="clear" w:color="auto" w:fill="FFFFFF"/>
            <w:vAlign w:val="center"/>
          </w:tcPr>
          <w:p w14:paraId="4626EAFB" w14:textId="77777777" w:rsidR="003D3E44" w:rsidRPr="003D3E44" w:rsidRDefault="003D3E44" w:rsidP="000172EC">
            <w:pPr>
              <w:spacing w:line="240" w:lineRule="auto"/>
              <w:ind w:left="0"/>
              <w:jc w:val="right"/>
              <w:rPr>
                <w:rFonts w:eastAsia="Times New Roman" w:cs="Calibri"/>
                <w:sz w:val="18"/>
                <w:szCs w:val="18"/>
              </w:rPr>
            </w:pPr>
            <w:r w:rsidRPr="003D3E44">
              <w:rPr>
                <w:rFonts w:eastAsia="Times New Roman" w:cs="Calibri"/>
                <w:sz w:val="18"/>
                <w:szCs w:val="18"/>
              </w:rPr>
              <w:t>-3.5%</w:t>
            </w:r>
          </w:p>
        </w:tc>
      </w:tr>
    </w:tbl>
    <w:p w14:paraId="2ACC62BD" w14:textId="77777777" w:rsidR="00FD31AF" w:rsidRPr="00FD31AF" w:rsidRDefault="003D3E44" w:rsidP="003D3E44">
      <w:pPr>
        <w:rPr>
          <w:sz w:val="16"/>
          <w:szCs w:val="16"/>
        </w:rPr>
      </w:pPr>
      <w:r w:rsidRPr="00FD31AF">
        <w:rPr>
          <w:sz w:val="16"/>
          <w:szCs w:val="16"/>
        </w:rPr>
        <w:t xml:space="preserve">Source: Aberdeen City Council, Nurtured Audit 2017. </w:t>
      </w:r>
    </w:p>
    <w:p w14:paraId="0D77E362" w14:textId="7CE44648" w:rsidR="006D6F46" w:rsidRDefault="006D6F46" w:rsidP="00344B8A">
      <w:pPr>
        <w:ind w:left="0"/>
      </w:pPr>
    </w:p>
    <w:p w14:paraId="5FE70C69" w14:textId="7E9D3F7B" w:rsidR="00F27A3C" w:rsidRPr="00F27A3C" w:rsidRDefault="000172EC" w:rsidP="00740836">
      <w:pPr>
        <w:pStyle w:val="Heading2"/>
        <w:numPr>
          <w:ilvl w:val="1"/>
          <w:numId w:val="4"/>
        </w:numPr>
        <w:spacing w:after="240"/>
      </w:pPr>
      <w:bookmarkStart w:id="39" w:name="_Toc519088573"/>
      <w:r>
        <w:t xml:space="preserve">Education - </w:t>
      </w:r>
      <w:r w:rsidR="00953077">
        <w:t>Schools</w:t>
      </w:r>
      <w:bookmarkEnd w:id="39"/>
      <w:r w:rsidR="00953077">
        <w:t xml:space="preserve"> </w:t>
      </w:r>
    </w:p>
    <w:p w14:paraId="7BAC2F37" w14:textId="55D725C2" w:rsidR="00184A14" w:rsidRDefault="00184A14" w:rsidP="00C209DA">
      <w:r>
        <w:rPr>
          <w:b/>
        </w:rPr>
        <w:t xml:space="preserve">Schools: </w:t>
      </w:r>
      <w:r w:rsidR="007C3AB0">
        <w:rPr>
          <w:b/>
        </w:rPr>
        <w:t xml:space="preserve"> </w:t>
      </w:r>
      <w:r w:rsidR="007C3AB0">
        <w:t xml:space="preserve">In Aberdeen City there are 48 primary schools (although the list includes Countesswells which isn’t built yet) and 12 secondary schools. There are also 7 special schools, giving a total of 67 schools in the City.  </w:t>
      </w:r>
    </w:p>
    <w:p w14:paraId="39C8CB47" w14:textId="77777777" w:rsidR="00D905F4" w:rsidRDefault="00D905F4" w:rsidP="00C209DA">
      <w:pPr>
        <w:rPr>
          <w:lang w:val="en"/>
        </w:rPr>
      </w:pPr>
    </w:p>
    <w:p w14:paraId="14A3235E" w14:textId="31F786F5" w:rsidR="00830841" w:rsidRDefault="00F80F03" w:rsidP="00C209DA">
      <w:pPr>
        <w:rPr>
          <w:b/>
        </w:rPr>
      </w:pPr>
      <w:r w:rsidRPr="00F80F03">
        <w:rPr>
          <w:b/>
        </w:rPr>
        <w:t>Pupil</w:t>
      </w:r>
      <w:r w:rsidR="00C209DA">
        <w:rPr>
          <w:b/>
        </w:rPr>
        <w:t>s</w:t>
      </w:r>
      <w:r w:rsidRPr="00F80F03">
        <w:rPr>
          <w:b/>
        </w:rPr>
        <w:t>:</w:t>
      </w:r>
      <w:r>
        <w:t xml:space="preserve">  In September 2017 there were 13,923 primary school pupils and 8,667 secondary school pupils in Aberdeen City.  There were also 143 pupils enrolled in Special School/SEN Units.</w:t>
      </w:r>
      <w:r w:rsidR="00C209DA">
        <w:t xml:space="preserve">  </w:t>
      </w:r>
      <w:r w:rsidR="0041217A">
        <w:t xml:space="preserve">The total number of pupils was </w:t>
      </w:r>
      <w:r w:rsidR="0041217A" w:rsidRPr="0041217A">
        <w:rPr>
          <w:b/>
        </w:rPr>
        <w:t>22,733.</w:t>
      </w:r>
    </w:p>
    <w:p w14:paraId="0001296B" w14:textId="77777777" w:rsidR="000172EC" w:rsidRDefault="000172EC" w:rsidP="00C209DA">
      <w:pPr>
        <w:rPr>
          <w:b/>
        </w:rPr>
      </w:pPr>
    </w:p>
    <w:p w14:paraId="4C529850" w14:textId="7A9D95BE" w:rsidR="00E34C32" w:rsidRDefault="00E34C32" w:rsidP="00E34C32">
      <w:pPr>
        <w:rPr>
          <w:rFonts w:ascii="Calibri" w:hAnsi="Calibri" w:cs="Calibri"/>
        </w:rPr>
      </w:pPr>
      <w:r w:rsidRPr="007C7877">
        <w:rPr>
          <w:rFonts w:ascii="Calibri" w:hAnsi="Calibri" w:cs="Calibri"/>
          <w:b/>
        </w:rPr>
        <w:t>Additional support needs:</w:t>
      </w:r>
      <w:r>
        <w:rPr>
          <w:rFonts w:ascii="Calibri" w:hAnsi="Calibri" w:cs="Calibri"/>
        </w:rPr>
        <w:t xml:space="preserve">  </w:t>
      </w:r>
      <w:r w:rsidRPr="00C209DA">
        <w:rPr>
          <w:rFonts w:ascii="Calibri" w:hAnsi="Calibri" w:cs="Calibri"/>
        </w:rPr>
        <w:t xml:space="preserve">In 2017, 29.5% of primary pupils and </w:t>
      </w:r>
      <w:r>
        <w:rPr>
          <w:rFonts w:ascii="Calibri" w:hAnsi="Calibri" w:cs="Calibri"/>
        </w:rPr>
        <w:t>30.9</w:t>
      </w:r>
      <w:r w:rsidRPr="00C209DA">
        <w:rPr>
          <w:rFonts w:ascii="Calibri" w:hAnsi="Calibri" w:cs="Calibri"/>
        </w:rPr>
        <w:t>% of secondary pupils in Aberdeen City had additional support needs.  These figures are higher than the Scottish rates of 23.5% and 29.3% respectively</w:t>
      </w:r>
      <w:r>
        <w:rPr>
          <w:rFonts w:ascii="Calibri" w:hAnsi="Calibri" w:cs="Calibri"/>
        </w:rPr>
        <w:t>.</w:t>
      </w:r>
    </w:p>
    <w:p w14:paraId="0A86A0C0" w14:textId="77777777" w:rsidR="000172EC" w:rsidRPr="00E34C32" w:rsidRDefault="000172EC" w:rsidP="00E34C32">
      <w:pPr>
        <w:rPr>
          <w:rFonts w:ascii="Calibri" w:hAnsi="Calibri" w:cs="Calibri"/>
        </w:rPr>
      </w:pPr>
    </w:p>
    <w:p w14:paraId="1A3AAD00" w14:textId="4E154408" w:rsidR="004E0295" w:rsidRDefault="007C7877" w:rsidP="00C209DA">
      <w:pPr>
        <w:rPr>
          <w:rFonts w:ascii="Calibri" w:hAnsi="Calibri" w:cs="Calibri"/>
        </w:rPr>
      </w:pPr>
      <w:bookmarkStart w:id="40" w:name="_Hlk515356769"/>
      <w:r w:rsidRPr="007C7877">
        <w:rPr>
          <w:rFonts w:ascii="Calibri" w:hAnsi="Calibri" w:cs="Calibri"/>
          <w:b/>
          <w:lang w:val="en-US"/>
        </w:rPr>
        <w:t>Ethnicity:</w:t>
      </w:r>
      <w:r>
        <w:rPr>
          <w:rFonts w:ascii="Calibri" w:hAnsi="Calibri" w:cs="Calibri"/>
          <w:lang w:val="en-US"/>
        </w:rPr>
        <w:t xml:space="preserve">  </w:t>
      </w:r>
      <w:r w:rsidR="006D1AB0" w:rsidRPr="006D1AB0">
        <w:rPr>
          <w:rFonts w:ascii="Calibri" w:hAnsi="Calibri" w:cs="Calibri"/>
          <w:lang w:val="en-US"/>
        </w:rPr>
        <w:t xml:space="preserve">70.2% of primary school pupils in Aberdeen City were classified as White-UK, 13.8% were classified as White-Other </w:t>
      </w:r>
      <w:r w:rsidR="006D1AB0">
        <w:rPr>
          <w:rFonts w:ascii="Calibri" w:hAnsi="Calibri" w:cs="Calibri"/>
          <w:lang w:val="en-US"/>
        </w:rPr>
        <w:t xml:space="preserve">and </w:t>
      </w:r>
      <w:r w:rsidR="006D1AB0" w:rsidRPr="006D1AB0">
        <w:rPr>
          <w:rFonts w:ascii="Calibri" w:hAnsi="Calibri" w:cs="Calibri"/>
          <w:lang w:val="en-US"/>
        </w:rPr>
        <w:t>14.6% were classified as Minority Ethnic.  The ethnicity of 1.3% of primary school pupils was not known</w:t>
      </w:r>
      <w:r w:rsidR="006D1AB0">
        <w:rPr>
          <w:rFonts w:ascii="Calibri" w:hAnsi="Calibri" w:cs="Calibri"/>
          <w:lang w:val="en-US"/>
        </w:rPr>
        <w:t>/no</w:t>
      </w:r>
      <w:r w:rsidR="0041217A">
        <w:rPr>
          <w:rFonts w:ascii="Calibri" w:hAnsi="Calibri" w:cs="Calibri"/>
          <w:lang w:val="en-US"/>
        </w:rPr>
        <w:t>t</w:t>
      </w:r>
      <w:r w:rsidR="006D1AB0">
        <w:rPr>
          <w:rFonts w:ascii="Calibri" w:hAnsi="Calibri" w:cs="Calibri"/>
          <w:lang w:val="en-US"/>
        </w:rPr>
        <w:t xml:space="preserve"> disclosed</w:t>
      </w:r>
      <w:r w:rsidR="006D1AB0" w:rsidRPr="006D1AB0">
        <w:rPr>
          <w:rFonts w:ascii="Calibri" w:hAnsi="Calibri" w:cs="Calibri"/>
          <w:lang w:val="en-US"/>
        </w:rPr>
        <w:t xml:space="preserve">.  In contrast to recent trends, the proportion of Minority Ethnic and White-Other pupils in Aberdeen City schools has decreased </w:t>
      </w:r>
      <w:r w:rsidR="00830841">
        <w:rPr>
          <w:rFonts w:ascii="Calibri" w:hAnsi="Calibri" w:cs="Calibri"/>
          <w:lang w:val="en-US"/>
        </w:rPr>
        <w:t xml:space="preserve">slightly </w:t>
      </w:r>
      <w:r w:rsidR="006D1AB0" w:rsidRPr="006D1AB0">
        <w:rPr>
          <w:rFonts w:ascii="Calibri" w:hAnsi="Calibri" w:cs="Calibri"/>
          <w:lang w:val="en-US"/>
        </w:rPr>
        <w:t>in the past year</w:t>
      </w:r>
      <w:r w:rsidR="00C209DA">
        <w:rPr>
          <w:rFonts w:ascii="Calibri" w:hAnsi="Calibri" w:cs="Calibri"/>
          <w:lang w:val="en-US"/>
        </w:rPr>
        <w:t xml:space="preserve"> while the proportion of White -UK has increased (from 67.3% to 70.2%)</w:t>
      </w:r>
      <w:r w:rsidR="006D1AB0" w:rsidRPr="006D1AB0">
        <w:rPr>
          <w:rFonts w:ascii="Calibri" w:hAnsi="Calibri" w:cs="Calibri"/>
          <w:lang w:val="en-US"/>
        </w:rPr>
        <w:t xml:space="preserve">.  </w:t>
      </w:r>
      <w:r w:rsidR="00C209DA">
        <w:rPr>
          <w:rFonts w:ascii="Calibri" w:hAnsi="Calibri" w:cs="Calibri"/>
          <w:lang w:val="en-US"/>
        </w:rPr>
        <w:t xml:space="preserve"> </w:t>
      </w:r>
      <w:r w:rsidR="00C209DA" w:rsidRPr="00C209DA">
        <w:rPr>
          <w:rFonts w:ascii="Calibri" w:hAnsi="Calibri" w:cs="Calibri"/>
        </w:rPr>
        <w:t>A fifth (20.3%) of school pupils in Aberdeen City do not have English as their main home language.  The main three home languages (other than English) are Polish, Arabic and Russian.</w:t>
      </w:r>
      <w:r w:rsidR="00C209DA">
        <w:rPr>
          <w:rFonts w:ascii="Calibri" w:hAnsi="Calibri" w:cs="Calibri"/>
        </w:rPr>
        <w:t xml:space="preserve">  </w:t>
      </w:r>
    </w:p>
    <w:p w14:paraId="20DFD8A6" w14:textId="77777777" w:rsidR="00026A32" w:rsidRDefault="00026A32" w:rsidP="00C209DA">
      <w:pPr>
        <w:rPr>
          <w:rFonts w:ascii="Calibri" w:hAnsi="Calibri" w:cs="Calibri"/>
        </w:rPr>
      </w:pPr>
    </w:p>
    <w:p w14:paraId="028F6905" w14:textId="48AC77C9" w:rsidR="00092C99" w:rsidRPr="00D905F4" w:rsidRDefault="00E34C32" w:rsidP="00C209DA">
      <w:pPr>
        <w:rPr>
          <w:rFonts w:ascii="Calibri" w:hAnsi="Calibri" w:cs="Calibri"/>
          <w:sz w:val="16"/>
          <w:szCs w:val="16"/>
        </w:rPr>
      </w:pPr>
      <w:r>
        <w:rPr>
          <w:rFonts w:ascii="Calibri" w:hAnsi="Calibri" w:cs="Calibri"/>
        </w:rPr>
        <w:t xml:space="preserve"> </w:t>
      </w:r>
      <w:r w:rsidR="00092C99" w:rsidRPr="00D905F4">
        <w:rPr>
          <w:rFonts w:ascii="Calibri" w:hAnsi="Calibri" w:cs="Calibri"/>
          <w:sz w:val="16"/>
          <w:szCs w:val="16"/>
        </w:rPr>
        <w:t>(</w:t>
      </w:r>
      <w:r w:rsidR="00D905F4" w:rsidRPr="00D905F4">
        <w:rPr>
          <w:rFonts w:ascii="Calibri" w:hAnsi="Calibri" w:cs="Calibri"/>
          <w:sz w:val="16"/>
          <w:szCs w:val="16"/>
        </w:rPr>
        <w:t>Source</w:t>
      </w:r>
      <w:r w:rsidR="00092C99" w:rsidRPr="00D905F4">
        <w:rPr>
          <w:rFonts w:ascii="Calibri" w:hAnsi="Calibri" w:cs="Calibri"/>
          <w:sz w:val="16"/>
          <w:szCs w:val="16"/>
        </w:rPr>
        <w:t xml:space="preserve">: Scottish Government, School Education datasets, Pupil Census Supplementary Data 2017, available at: </w:t>
      </w:r>
      <w:hyperlink r:id="rId67" w:history="1">
        <w:r w:rsidR="00092C99" w:rsidRPr="00D905F4">
          <w:rPr>
            <w:rStyle w:val="Hyperlink"/>
            <w:rFonts w:ascii="Calibri" w:hAnsi="Calibri" w:cs="Calibri"/>
            <w:sz w:val="16"/>
            <w:szCs w:val="16"/>
          </w:rPr>
          <w:t>http://www.gov.scot/Topics/Statistics/Browse/School-Education/dspupcensus</w:t>
        </w:r>
      </w:hyperlink>
      <w:r w:rsidR="00092C99" w:rsidRPr="00D905F4">
        <w:rPr>
          <w:rFonts w:ascii="Calibri" w:hAnsi="Calibri" w:cs="Calibri"/>
          <w:sz w:val="16"/>
          <w:szCs w:val="16"/>
        </w:rPr>
        <w:t xml:space="preserve"> </w:t>
      </w:r>
      <w:r w:rsidR="000172EC" w:rsidRPr="00D905F4">
        <w:rPr>
          <w:rFonts w:ascii="Calibri" w:hAnsi="Calibri" w:cs="Calibri"/>
          <w:sz w:val="16"/>
          <w:szCs w:val="16"/>
        </w:rPr>
        <w:t>)</w:t>
      </w:r>
    </w:p>
    <w:p w14:paraId="5F791126" w14:textId="77777777" w:rsidR="000172EC" w:rsidRDefault="000172EC" w:rsidP="00C209DA">
      <w:pPr>
        <w:rPr>
          <w:rFonts w:ascii="Calibri" w:hAnsi="Calibri" w:cs="Calibri"/>
        </w:rPr>
      </w:pPr>
    </w:p>
    <w:p w14:paraId="6BD72F94" w14:textId="1D3978EE" w:rsidR="00C90C4C" w:rsidRDefault="00044F77" w:rsidP="00B55359">
      <w:pPr>
        <w:pStyle w:val="Heading2"/>
        <w:numPr>
          <w:ilvl w:val="2"/>
          <w:numId w:val="4"/>
        </w:numPr>
        <w:spacing w:after="240"/>
        <w:rPr>
          <w:rFonts w:cs="Calibri"/>
        </w:rPr>
      </w:pPr>
      <w:bookmarkStart w:id="41" w:name="_Toc519088574"/>
      <w:bookmarkEnd w:id="40"/>
      <w:r w:rsidRPr="00C90C4C">
        <w:rPr>
          <w:rFonts w:cs="Calibri"/>
        </w:rPr>
        <w:t xml:space="preserve">Attendance </w:t>
      </w:r>
      <w:r w:rsidR="00B55359">
        <w:rPr>
          <w:rFonts w:cs="Calibri"/>
        </w:rPr>
        <w:t>and exclusions</w:t>
      </w:r>
      <w:bookmarkEnd w:id="41"/>
      <w:r w:rsidR="00165378" w:rsidRPr="00C90C4C">
        <w:rPr>
          <w:rFonts w:cs="Calibri"/>
        </w:rPr>
        <w:t xml:space="preserve"> </w:t>
      </w:r>
    </w:p>
    <w:p w14:paraId="4BCB4529" w14:textId="323E5F7D" w:rsidR="00092C99" w:rsidRDefault="00165378" w:rsidP="00C209DA">
      <w:pPr>
        <w:rPr>
          <w:rFonts w:ascii="Calibri" w:hAnsi="Calibri" w:cs="Calibri"/>
        </w:rPr>
      </w:pPr>
      <w:r>
        <w:rPr>
          <w:rFonts w:ascii="Calibri" w:hAnsi="Calibri" w:cs="Calibri"/>
        </w:rPr>
        <w:t xml:space="preserve">In 2016/17 average attendance rates in Aberdeen City schools were similar to those for Scotland as a whole.  For primary schools in the City the attendance rate was 94.7% (compared to 94.9% for Scotland) and for secondary schools in the City the attendance rate </w:t>
      </w:r>
      <w:r>
        <w:rPr>
          <w:rFonts w:ascii="Calibri" w:hAnsi="Calibri" w:cs="Calibri"/>
        </w:rPr>
        <w:lastRenderedPageBreak/>
        <w:t xml:space="preserve">was 91.9% (compared to 91.2% for Scotland).  There was, however, some variation in attendance rates by school.  For primary schools in the City, attendance rates ranged from a low of 90.9% (Manor Park School) to a high of 97.5% (Airyhall School).  For secondary schools, attendance ranged from 86.9% (Northfield Academy) to 95.4% (Cults Academy). </w:t>
      </w:r>
    </w:p>
    <w:p w14:paraId="0B7FB6C5" w14:textId="177E9464" w:rsidR="00761A72" w:rsidRDefault="00761A72" w:rsidP="00C209DA">
      <w:pPr>
        <w:rPr>
          <w:rFonts w:ascii="Calibri" w:hAnsi="Calibri" w:cs="Calibri"/>
        </w:rPr>
      </w:pPr>
    </w:p>
    <w:p w14:paraId="6E0F6CD5" w14:textId="284B0AE8" w:rsidR="00761A72" w:rsidRDefault="00761A72" w:rsidP="00C209DA">
      <w:pPr>
        <w:rPr>
          <w:rFonts w:ascii="Calibri" w:hAnsi="Calibri" w:cs="Calibri"/>
        </w:rPr>
      </w:pPr>
      <w:r>
        <w:rPr>
          <w:noProof/>
        </w:rPr>
        <w:drawing>
          <wp:inline distT="0" distB="0" distL="0" distR="0" wp14:anchorId="61EE3687" wp14:editId="0AAEC77E">
            <wp:extent cx="5457825" cy="3267075"/>
            <wp:effectExtent l="0" t="0" r="9525" b="9525"/>
            <wp:docPr id="94" name="Chart 94">
              <a:extLst xmlns:a="http://schemas.openxmlformats.org/drawingml/2006/main">
                <a:ext uri="{FF2B5EF4-FFF2-40B4-BE49-F238E27FC236}">
                  <a16:creationId xmlns:a16="http://schemas.microsoft.com/office/drawing/2014/main" id="{7EDD8D95-213F-4840-AF06-EADC5A0329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F5622C8" w14:textId="13098018" w:rsidR="00761A72" w:rsidRPr="00761A72" w:rsidRDefault="00761A72" w:rsidP="00761A72">
      <w:pPr>
        <w:rPr>
          <w:rFonts w:ascii="Calibri" w:hAnsi="Calibri" w:cs="Calibri"/>
          <w:sz w:val="16"/>
          <w:szCs w:val="16"/>
        </w:rPr>
      </w:pPr>
      <w:r w:rsidRPr="00761A72">
        <w:rPr>
          <w:rFonts w:ascii="Calibri" w:hAnsi="Calibri" w:cs="Calibri"/>
          <w:sz w:val="16"/>
          <w:szCs w:val="16"/>
        </w:rPr>
        <w:t xml:space="preserve">(Source: Scottish Government, Attendance and Absence 2016/17: </w:t>
      </w:r>
      <w:hyperlink r:id="rId69" w:history="1">
        <w:r w:rsidRPr="00761A72">
          <w:rPr>
            <w:rStyle w:val="Hyperlink"/>
            <w:rFonts w:ascii="Calibri" w:hAnsi="Calibri" w:cs="Calibri"/>
            <w:sz w:val="16"/>
            <w:szCs w:val="16"/>
          </w:rPr>
          <w:t>http://www.gov.scot/Topics/Statistics/Browse/School-Education/AttendanceAbsenceDatasets/atttab2017</w:t>
        </w:r>
      </w:hyperlink>
      <w:r w:rsidRPr="00761A72">
        <w:rPr>
          <w:rFonts w:ascii="Calibri" w:hAnsi="Calibri" w:cs="Calibri"/>
          <w:sz w:val="16"/>
          <w:szCs w:val="16"/>
        </w:rPr>
        <w:t xml:space="preserve"> )</w:t>
      </w:r>
    </w:p>
    <w:p w14:paraId="7140D6CB" w14:textId="77777777" w:rsidR="00026A32" w:rsidRDefault="00026A32" w:rsidP="00C209DA">
      <w:pPr>
        <w:rPr>
          <w:rFonts w:ascii="Calibri" w:hAnsi="Calibri" w:cs="Calibri"/>
        </w:rPr>
      </w:pPr>
    </w:p>
    <w:p w14:paraId="0D81C21B" w14:textId="6E83CD3E" w:rsidR="007E4D9F" w:rsidRDefault="00EB6729" w:rsidP="007E4D9F">
      <w:pPr>
        <w:rPr>
          <w:rFonts w:ascii="Calibri" w:hAnsi="Calibri" w:cs="Calibri"/>
        </w:rPr>
      </w:pPr>
      <w:r>
        <w:rPr>
          <w:rFonts w:ascii="Calibri" w:hAnsi="Calibri" w:cs="Calibri"/>
          <w:b/>
        </w:rPr>
        <w:t>Exclusions:</w:t>
      </w:r>
      <w:r>
        <w:rPr>
          <w:rFonts w:ascii="Calibri" w:hAnsi="Calibri" w:cs="Calibri"/>
        </w:rPr>
        <w:t xml:space="preserve">  In 2016/17 there was a total of 1,072 exclusions from schools in the City.  This is equivalent to a rate of 47.6 (crude rate per 1,000 population), which is significantly higher than the rate for Scotland of 26.9.   </w:t>
      </w:r>
      <w:r w:rsidR="007E4D9F">
        <w:rPr>
          <w:rFonts w:ascii="Calibri" w:hAnsi="Calibri" w:cs="Calibri"/>
        </w:rPr>
        <w:t xml:space="preserve">(Note: exclusion data at school level is not available.)  </w:t>
      </w:r>
      <w:r w:rsidR="007E4D9F" w:rsidRPr="00D905F4">
        <w:rPr>
          <w:rFonts w:ascii="Calibri" w:hAnsi="Calibri" w:cs="Calibri"/>
          <w:sz w:val="16"/>
          <w:szCs w:val="16"/>
        </w:rPr>
        <w:t xml:space="preserve">(Source: School Exclusions 2016/17: </w:t>
      </w:r>
      <w:hyperlink r:id="rId70" w:history="1">
        <w:r w:rsidR="007E4D9F" w:rsidRPr="00D905F4">
          <w:rPr>
            <w:rStyle w:val="Hyperlink"/>
            <w:rFonts w:ascii="Calibri" w:hAnsi="Calibri" w:cs="Calibri"/>
            <w:sz w:val="16"/>
            <w:szCs w:val="16"/>
          </w:rPr>
          <w:t>http://www.gov.scot/Topics/Statistics/Browse/School-Education/exclusiondatasets/exclusionsdataset2017</w:t>
        </w:r>
      </w:hyperlink>
      <w:r w:rsidR="007E4D9F">
        <w:rPr>
          <w:rFonts w:ascii="Calibri" w:hAnsi="Calibri" w:cs="Calibri"/>
        </w:rPr>
        <w:t xml:space="preserve"> </w:t>
      </w:r>
      <w:r w:rsidR="007E4D9F" w:rsidRPr="00D905F4">
        <w:rPr>
          <w:rFonts w:ascii="Calibri" w:hAnsi="Calibri" w:cs="Calibri"/>
          <w:sz w:val="16"/>
          <w:szCs w:val="16"/>
        </w:rPr>
        <w:t>)</w:t>
      </w:r>
    </w:p>
    <w:p w14:paraId="478661CC" w14:textId="77777777" w:rsidR="00026A32" w:rsidRPr="00165378" w:rsidRDefault="00026A32" w:rsidP="007E4D9F">
      <w:pPr>
        <w:rPr>
          <w:rFonts w:ascii="Calibri" w:hAnsi="Calibri" w:cs="Calibri"/>
        </w:rPr>
      </w:pPr>
    </w:p>
    <w:p w14:paraId="21766E78" w14:textId="43622284" w:rsidR="00B55359" w:rsidRPr="00761A72" w:rsidRDefault="00092C99" w:rsidP="00761A72">
      <w:pPr>
        <w:pStyle w:val="Heading2"/>
        <w:numPr>
          <w:ilvl w:val="2"/>
          <w:numId w:val="4"/>
        </w:numPr>
        <w:spacing w:after="240"/>
        <w:rPr>
          <w:rFonts w:cs="Calibri"/>
        </w:rPr>
      </w:pPr>
      <w:bookmarkStart w:id="42" w:name="_Toc519088575"/>
      <w:r w:rsidRPr="00B55359">
        <w:rPr>
          <w:rFonts w:cs="Calibri"/>
        </w:rPr>
        <w:t>Attainment</w:t>
      </w:r>
      <w:r w:rsidR="00FC0001" w:rsidRPr="00B55359">
        <w:rPr>
          <w:rFonts w:cs="Calibri"/>
        </w:rPr>
        <w:t xml:space="preserve"> – Curriculum for Excellence</w:t>
      </w:r>
      <w:bookmarkEnd w:id="42"/>
    </w:p>
    <w:p w14:paraId="5F9F26B3" w14:textId="77777777" w:rsidR="00D905F4" w:rsidRDefault="00B55359" w:rsidP="00C209DA">
      <w:pPr>
        <w:rPr>
          <w:rFonts w:ascii="Calibri" w:hAnsi="Calibri" w:cs="Calibri"/>
        </w:rPr>
      </w:pPr>
      <w:r>
        <w:rPr>
          <w:rFonts w:ascii="Calibri" w:hAnsi="Calibri" w:cs="Calibri"/>
        </w:rPr>
        <w:t>D</w:t>
      </w:r>
      <w:r w:rsidR="003301EB" w:rsidRPr="003301EB">
        <w:rPr>
          <w:rFonts w:ascii="Calibri" w:hAnsi="Calibri" w:cs="Calibri"/>
        </w:rPr>
        <w:t>ata on</w:t>
      </w:r>
      <w:r w:rsidR="003301EB">
        <w:rPr>
          <w:rFonts w:ascii="Calibri" w:hAnsi="Calibri" w:cs="Calibri"/>
          <w:b/>
        </w:rPr>
        <w:t xml:space="preserve"> </w:t>
      </w:r>
      <w:r w:rsidR="00FC0001">
        <w:rPr>
          <w:rFonts w:ascii="Calibri" w:hAnsi="Calibri" w:cs="Calibri"/>
        </w:rPr>
        <w:t xml:space="preserve">achievement </w:t>
      </w:r>
      <w:r w:rsidR="00696284">
        <w:rPr>
          <w:rFonts w:ascii="Calibri" w:hAnsi="Calibri" w:cs="Calibri"/>
        </w:rPr>
        <w:t>against</w:t>
      </w:r>
      <w:r w:rsidR="00FC0001">
        <w:rPr>
          <w:rFonts w:ascii="Calibri" w:hAnsi="Calibri" w:cs="Calibri"/>
        </w:rPr>
        <w:t xml:space="preserve"> expected levels</w:t>
      </w:r>
      <w:r w:rsidR="00696284">
        <w:rPr>
          <w:rFonts w:ascii="Calibri" w:hAnsi="Calibri" w:cs="Calibri"/>
        </w:rPr>
        <w:t xml:space="preserve"> (Early Level, First Level, Second Level, Third level or better and Fourth Level)</w:t>
      </w:r>
      <w:r w:rsidR="00FC0001">
        <w:rPr>
          <w:rFonts w:ascii="Calibri" w:hAnsi="Calibri" w:cs="Calibri"/>
        </w:rPr>
        <w:t xml:space="preserve"> is given at five stages – P1, P4, P7, S3 and S4 – in four areas: reading, writing, listening and numeracy.  </w:t>
      </w:r>
    </w:p>
    <w:p w14:paraId="54167C68" w14:textId="7D5C791C" w:rsidR="00092C99" w:rsidRPr="00D905F4" w:rsidRDefault="00FC0001" w:rsidP="00C209DA">
      <w:pPr>
        <w:rPr>
          <w:rFonts w:ascii="Calibri" w:hAnsi="Calibri" w:cs="Calibri"/>
          <w:sz w:val="16"/>
          <w:szCs w:val="16"/>
        </w:rPr>
      </w:pPr>
      <w:r w:rsidRPr="00D905F4">
        <w:rPr>
          <w:rFonts w:ascii="Calibri" w:hAnsi="Calibri" w:cs="Calibri"/>
          <w:sz w:val="16"/>
          <w:szCs w:val="16"/>
        </w:rPr>
        <w:t>(</w:t>
      </w:r>
      <w:r w:rsidR="00D905F4" w:rsidRPr="00D905F4">
        <w:rPr>
          <w:rFonts w:ascii="Calibri" w:hAnsi="Calibri" w:cs="Calibri"/>
          <w:sz w:val="16"/>
          <w:szCs w:val="16"/>
        </w:rPr>
        <w:t xml:space="preserve">Source: </w:t>
      </w:r>
      <w:r w:rsidRPr="00D905F4">
        <w:rPr>
          <w:rFonts w:ascii="Calibri" w:hAnsi="Calibri" w:cs="Calibri"/>
          <w:sz w:val="16"/>
          <w:szCs w:val="16"/>
        </w:rPr>
        <w:t xml:space="preserve">Scottish Government: </w:t>
      </w:r>
      <w:hyperlink r:id="rId71" w:history="1">
        <w:r w:rsidRPr="00D905F4">
          <w:rPr>
            <w:rStyle w:val="Hyperlink"/>
            <w:rFonts w:ascii="Calibri" w:hAnsi="Calibri" w:cs="Calibri"/>
            <w:sz w:val="16"/>
            <w:szCs w:val="16"/>
          </w:rPr>
          <w:t>http://www.gov.scot/Topics/Statistics/Browse/School-Education/Datasets/ACELTrenddatasets</w:t>
        </w:r>
      </w:hyperlink>
      <w:r w:rsidRPr="00D905F4">
        <w:rPr>
          <w:rFonts w:ascii="Calibri" w:hAnsi="Calibri" w:cs="Calibri"/>
          <w:sz w:val="16"/>
          <w:szCs w:val="16"/>
        </w:rPr>
        <w:t xml:space="preserve"> )</w:t>
      </w:r>
    </w:p>
    <w:p w14:paraId="6197BD30" w14:textId="77777777" w:rsidR="00026A32" w:rsidRDefault="00026A32" w:rsidP="00C209DA">
      <w:pPr>
        <w:rPr>
          <w:rFonts w:ascii="Calibri" w:hAnsi="Calibri" w:cs="Calibri"/>
        </w:rPr>
      </w:pPr>
    </w:p>
    <w:p w14:paraId="7FE7395C" w14:textId="09C31910" w:rsidR="00FC0001" w:rsidRDefault="00FC0001" w:rsidP="00C209DA">
      <w:pPr>
        <w:rPr>
          <w:rFonts w:ascii="Calibri" w:hAnsi="Calibri" w:cs="Calibri"/>
        </w:rPr>
      </w:pPr>
      <w:r>
        <w:rPr>
          <w:rFonts w:ascii="Calibri" w:hAnsi="Calibri" w:cs="Calibri"/>
        </w:rPr>
        <w:t xml:space="preserve">In almost every </w:t>
      </w:r>
      <w:r w:rsidR="00CF5190">
        <w:rPr>
          <w:rFonts w:ascii="Calibri" w:hAnsi="Calibri" w:cs="Calibri"/>
        </w:rPr>
        <w:t>stage and area, the proportion of pupils in Aberdeen City achieving the expected level is lower than the equivalent proportion for Scotland as a whole.  The only exception to this is ‘listening’ where the proportion of P4 and P7 pupils achieving the expected standard is the same in Aberdeen</w:t>
      </w:r>
      <w:r w:rsidR="00696284">
        <w:rPr>
          <w:rFonts w:ascii="Calibri" w:hAnsi="Calibri" w:cs="Calibri"/>
        </w:rPr>
        <w:t xml:space="preserve"> City</w:t>
      </w:r>
      <w:r w:rsidR="00CF5190">
        <w:rPr>
          <w:rFonts w:ascii="Calibri" w:hAnsi="Calibri" w:cs="Calibri"/>
        </w:rPr>
        <w:t xml:space="preserve"> as in Scotland. </w:t>
      </w:r>
    </w:p>
    <w:p w14:paraId="1CA532B6" w14:textId="505EB28F" w:rsidR="00FD3AA8" w:rsidRDefault="00FD3AA8">
      <w:pPr>
        <w:rPr>
          <w:rFonts w:ascii="Calibri" w:hAnsi="Calibri" w:cs="Calibri"/>
        </w:rPr>
      </w:pPr>
      <w:r>
        <w:rPr>
          <w:rFonts w:ascii="Calibri" w:hAnsi="Calibri" w:cs="Calibri"/>
        </w:rPr>
        <w:br w:type="page"/>
      </w:r>
    </w:p>
    <w:p w14:paraId="5BF507AA" w14:textId="77777777" w:rsidR="000172EC" w:rsidRDefault="000172EC" w:rsidP="00C209DA">
      <w:pPr>
        <w:rPr>
          <w:rFonts w:ascii="Calibri" w:hAnsi="Calibri" w:cs="Calibri"/>
        </w:rPr>
      </w:pPr>
    </w:p>
    <w:p w14:paraId="414588F0" w14:textId="7677FE02" w:rsidR="00CF5190" w:rsidRPr="00CF5190" w:rsidRDefault="00CF5190" w:rsidP="00CF5190">
      <w:pPr>
        <w:rPr>
          <w:rFonts w:ascii="Calibri" w:hAnsi="Calibri" w:cs="Calibri"/>
          <w:b/>
        </w:rPr>
      </w:pPr>
      <w:r w:rsidRPr="00CF5190">
        <w:rPr>
          <w:rFonts w:ascii="Calibri" w:hAnsi="Calibri" w:cs="Calibri"/>
          <w:b/>
        </w:rPr>
        <w:t>Percentage of pupils achieving expected levels, Aberdeen City and Scotland, 2016/17</w:t>
      </w:r>
    </w:p>
    <w:tbl>
      <w:tblPr>
        <w:tblStyle w:val="TableGrid"/>
        <w:tblW w:w="0" w:type="auto"/>
        <w:tblInd w:w="720" w:type="dxa"/>
        <w:tblLook w:val="04A0" w:firstRow="1" w:lastRow="0" w:firstColumn="1" w:lastColumn="0" w:noHBand="0" w:noVBand="1"/>
      </w:tblPr>
      <w:tblGrid>
        <w:gridCol w:w="995"/>
        <w:gridCol w:w="913"/>
        <w:gridCol w:w="827"/>
        <w:gridCol w:w="1025"/>
        <w:gridCol w:w="925"/>
        <w:gridCol w:w="1025"/>
        <w:gridCol w:w="925"/>
        <w:gridCol w:w="870"/>
        <w:gridCol w:w="791"/>
      </w:tblGrid>
      <w:tr w:rsidR="00CF5190" w:rsidRPr="00CF5190" w14:paraId="2379517F" w14:textId="77777777" w:rsidTr="00CF5190">
        <w:trPr>
          <w:trHeight w:val="325"/>
        </w:trPr>
        <w:tc>
          <w:tcPr>
            <w:tcW w:w="1003" w:type="dxa"/>
            <w:shd w:val="clear" w:color="auto" w:fill="D9E2F3" w:themeFill="accent1" w:themeFillTint="33"/>
          </w:tcPr>
          <w:p w14:paraId="3E0C4DB7" w14:textId="77777777" w:rsidR="00CF5190" w:rsidRPr="00CF5190" w:rsidRDefault="00CF5190" w:rsidP="00026A32">
            <w:pPr>
              <w:ind w:left="0"/>
              <w:rPr>
                <w:rFonts w:ascii="Calibri" w:hAnsi="Calibri" w:cs="Calibri"/>
                <w:sz w:val="16"/>
                <w:szCs w:val="16"/>
              </w:rPr>
            </w:pPr>
          </w:p>
        </w:tc>
        <w:tc>
          <w:tcPr>
            <w:tcW w:w="1742" w:type="dxa"/>
            <w:gridSpan w:val="2"/>
            <w:shd w:val="clear" w:color="auto" w:fill="D9E2F3" w:themeFill="accent1" w:themeFillTint="33"/>
            <w:vAlign w:val="center"/>
          </w:tcPr>
          <w:p w14:paraId="300ADC35" w14:textId="0EF3FF9C" w:rsidR="00CF5190" w:rsidRPr="00CF5190" w:rsidRDefault="00CF5190" w:rsidP="00026A32">
            <w:pPr>
              <w:ind w:left="0"/>
              <w:jc w:val="center"/>
              <w:rPr>
                <w:rFonts w:ascii="Calibri" w:hAnsi="Calibri" w:cs="Calibri"/>
                <w:b/>
                <w:sz w:val="16"/>
                <w:szCs w:val="16"/>
              </w:rPr>
            </w:pPr>
            <w:r w:rsidRPr="00CF5190">
              <w:rPr>
                <w:rFonts w:ascii="Calibri" w:hAnsi="Calibri" w:cs="Calibri"/>
                <w:b/>
                <w:sz w:val="16"/>
                <w:szCs w:val="16"/>
              </w:rPr>
              <w:t>Reading</w:t>
            </w:r>
          </w:p>
        </w:tc>
        <w:tc>
          <w:tcPr>
            <w:tcW w:w="1959" w:type="dxa"/>
            <w:gridSpan w:val="2"/>
            <w:shd w:val="clear" w:color="auto" w:fill="D9E2F3" w:themeFill="accent1" w:themeFillTint="33"/>
            <w:vAlign w:val="center"/>
          </w:tcPr>
          <w:p w14:paraId="66F27990" w14:textId="7697CB0A" w:rsidR="00CF5190" w:rsidRPr="00CF5190" w:rsidRDefault="00CF5190" w:rsidP="00026A32">
            <w:pPr>
              <w:ind w:left="0"/>
              <w:jc w:val="center"/>
              <w:rPr>
                <w:b/>
                <w:sz w:val="16"/>
                <w:szCs w:val="16"/>
              </w:rPr>
            </w:pPr>
            <w:r w:rsidRPr="00CF5190">
              <w:rPr>
                <w:b/>
                <w:sz w:val="16"/>
                <w:szCs w:val="16"/>
              </w:rPr>
              <w:t>Writing</w:t>
            </w:r>
          </w:p>
        </w:tc>
        <w:tc>
          <w:tcPr>
            <w:tcW w:w="1959" w:type="dxa"/>
            <w:gridSpan w:val="2"/>
            <w:shd w:val="clear" w:color="auto" w:fill="D9E2F3" w:themeFill="accent1" w:themeFillTint="33"/>
            <w:vAlign w:val="center"/>
          </w:tcPr>
          <w:p w14:paraId="35E8AF70" w14:textId="249AF559" w:rsidR="00CF5190" w:rsidRPr="00CF5190" w:rsidRDefault="00CF5190" w:rsidP="00026A32">
            <w:pPr>
              <w:ind w:left="0"/>
              <w:jc w:val="center"/>
              <w:rPr>
                <w:b/>
                <w:sz w:val="16"/>
                <w:szCs w:val="16"/>
              </w:rPr>
            </w:pPr>
            <w:r w:rsidRPr="00CF5190">
              <w:rPr>
                <w:b/>
                <w:sz w:val="16"/>
                <w:szCs w:val="16"/>
              </w:rPr>
              <w:t>Listening</w:t>
            </w:r>
          </w:p>
        </w:tc>
        <w:tc>
          <w:tcPr>
            <w:tcW w:w="1633" w:type="dxa"/>
            <w:gridSpan w:val="2"/>
            <w:shd w:val="clear" w:color="auto" w:fill="D9E2F3" w:themeFill="accent1" w:themeFillTint="33"/>
            <w:vAlign w:val="center"/>
          </w:tcPr>
          <w:p w14:paraId="089050D3" w14:textId="03F59AB9" w:rsidR="00CF5190" w:rsidRPr="00CF5190" w:rsidRDefault="00CF5190" w:rsidP="00026A32">
            <w:pPr>
              <w:ind w:left="0"/>
              <w:jc w:val="center"/>
              <w:rPr>
                <w:b/>
                <w:sz w:val="16"/>
                <w:szCs w:val="16"/>
              </w:rPr>
            </w:pPr>
            <w:r w:rsidRPr="00CF5190">
              <w:rPr>
                <w:b/>
                <w:sz w:val="16"/>
                <w:szCs w:val="16"/>
              </w:rPr>
              <w:t>Numeracy</w:t>
            </w:r>
          </w:p>
        </w:tc>
      </w:tr>
      <w:tr w:rsidR="00CF5190" w:rsidRPr="00CF5190" w14:paraId="6C80414F" w14:textId="77777777" w:rsidTr="000172EC">
        <w:tc>
          <w:tcPr>
            <w:tcW w:w="1003" w:type="dxa"/>
            <w:shd w:val="clear" w:color="auto" w:fill="D9E2F3" w:themeFill="accent1" w:themeFillTint="33"/>
          </w:tcPr>
          <w:p w14:paraId="4D57EC76" w14:textId="77777777" w:rsidR="00CF5190" w:rsidRPr="00CF5190" w:rsidRDefault="00CF5190" w:rsidP="00026A32">
            <w:pPr>
              <w:ind w:left="0"/>
              <w:rPr>
                <w:rFonts w:ascii="Calibri" w:hAnsi="Calibri" w:cs="Calibri"/>
                <w:sz w:val="16"/>
                <w:szCs w:val="16"/>
              </w:rPr>
            </w:pPr>
          </w:p>
        </w:tc>
        <w:tc>
          <w:tcPr>
            <w:tcW w:w="914" w:type="dxa"/>
            <w:shd w:val="clear" w:color="auto" w:fill="D9E2F3" w:themeFill="accent1" w:themeFillTint="33"/>
            <w:vAlign w:val="center"/>
          </w:tcPr>
          <w:p w14:paraId="411742D5" w14:textId="1FD3FFB9" w:rsidR="00CF5190" w:rsidRPr="00CF5190" w:rsidRDefault="00CF5190" w:rsidP="00026A32">
            <w:pPr>
              <w:ind w:left="0"/>
              <w:jc w:val="center"/>
              <w:rPr>
                <w:rFonts w:ascii="Calibri" w:hAnsi="Calibri" w:cs="Calibri"/>
                <w:b/>
                <w:sz w:val="16"/>
                <w:szCs w:val="16"/>
              </w:rPr>
            </w:pPr>
            <w:r w:rsidRPr="00CF5190">
              <w:rPr>
                <w:rFonts w:ascii="Calibri" w:hAnsi="Calibri" w:cs="Calibri"/>
                <w:b/>
                <w:sz w:val="16"/>
                <w:szCs w:val="16"/>
              </w:rPr>
              <w:t>Aberdeen City</w:t>
            </w:r>
          </w:p>
        </w:tc>
        <w:tc>
          <w:tcPr>
            <w:tcW w:w="828" w:type="dxa"/>
            <w:shd w:val="clear" w:color="auto" w:fill="D9E2F3" w:themeFill="accent1" w:themeFillTint="33"/>
            <w:vAlign w:val="center"/>
          </w:tcPr>
          <w:p w14:paraId="346BC8A9" w14:textId="5653BE88" w:rsidR="00CF5190" w:rsidRPr="00CF5190" w:rsidRDefault="00CF5190" w:rsidP="00026A32">
            <w:pPr>
              <w:ind w:left="0"/>
              <w:jc w:val="center"/>
              <w:rPr>
                <w:rFonts w:ascii="Calibri" w:hAnsi="Calibri" w:cs="Calibri"/>
                <w:b/>
                <w:sz w:val="16"/>
                <w:szCs w:val="16"/>
              </w:rPr>
            </w:pPr>
            <w:r w:rsidRPr="00CF5190">
              <w:rPr>
                <w:rFonts w:ascii="Calibri" w:hAnsi="Calibri" w:cs="Calibri"/>
                <w:b/>
                <w:sz w:val="16"/>
                <w:szCs w:val="16"/>
              </w:rPr>
              <w:t>Scotland</w:t>
            </w:r>
          </w:p>
        </w:tc>
        <w:tc>
          <w:tcPr>
            <w:tcW w:w="1030" w:type="dxa"/>
            <w:shd w:val="clear" w:color="auto" w:fill="D9E2F3" w:themeFill="accent1" w:themeFillTint="33"/>
            <w:vAlign w:val="center"/>
          </w:tcPr>
          <w:p w14:paraId="25FDC8B9" w14:textId="7FAD0FA0" w:rsidR="00CF5190" w:rsidRPr="00CF5190" w:rsidRDefault="00CF5190" w:rsidP="000172EC">
            <w:pPr>
              <w:ind w:left="0"/>
              <w:jc w:val="center"/>
              <w:rPr>
                <w:rFonts w:ascii="Calibri" w:hAnsi="Calibri" w:cs="Calibri"/>
                <w:b/>
                <w:sz w:val="16"/>
                <w:szCs w:val="16"/>
              </w:rPr>
            </w:pPr>
            <w:r w:rsidRPr="00CF5190">
              <w:rPr>
                <w:b/>
                <w:sz w:val="16"/>
                <w:szCs w:val="16"/>
              </w:rPr>
              <w:t>Aberdeen City</w:t>
            </w:r>
          </w:p>
        </w:tc>
        <w:tc>
          <w:tcPr>
            <w:tcW w:w="929" w:type="dxa"/>
            <w:shd w:val="clear" w:color="auto" w:fill="D9E2F3" w:themeFill="accent1" w:themeFillTint="33"/>
            <w:vAlign w:val="center"/>
          </w:tcPr>
          <w:p w14:paraId="140A2612" w14:textId="2D3D7C9D" w:rsidR="00CF5190" w:rsidRPr="00CF5190" w:rsidRDefault="00CF5190" w:rsidP="000172EC">
            <w:pPr>
              <w:ind w:left="0"/>
              <w:jc w:val="center"/>
              <w:rPr>
                <w:rFonts w:ascii="Calibri" w:hAnsi="Calibri" w:cs="Calibri"/>
                <w:b/>
                <w:sz w:val="16"/>
                <w:szCs w:val="16"/>
              </w:rPr>
            </w:pPr>
            <w:r w:rsidRPr="00CF5190">
              <w:rPr>
                <w:b/>
                <w:sz w:val="16"/>
                <w:szCs w:val="16"/>
              </w:rPr>
              <w:t>Scotland</w:t>
            </w:r>
          </w:p>
        </w:tc>
        <w:tc>
          <w:tcPr>
            <w:tcW w:w="1030" w:type="dxa"/>
            <w:shd w:val="clear" w:color="auto" w:fill="D9E2F3" w:themeFill="accent1" w:themeFillTint="33"/>
            <w:vAlign w:val="center"/>
          </w:tcPr>
          <w:p w14:paraId="6463313E" w14:textId="5D8EA943" w:rsidR="00CF5190" w:rsidRPr="00CF5190" w:rsidRDefault="00CF5190" w:rsidP="000172EC">
            <w:pPr>
              <w:ind w:left="0"/>
              <w:jc w:val="center"/>
              <w:rPr>
                <w:rFonts w:ascii="Calibri" w:hAnsi="Calibri" w:cs="Calibri"/>
                <w:b/>
                <w:sz w:val="16"/>
                <w:szCs w:val="16"/>
              </w:rPr>
            </w:pPr>
            <w:r w:rsidRPr="00CF5190">
              <w:rPr>
                <w:b/>
                <w:sz w:val="16"/>
                <w:szCs w:val="16"/>
              </w:rPr>
              <w:t>Aberdeen City</w:t>
            </w:r>
          </w:p>
        </w:tc>
        <w:tc>
          <w:tcPr>
            <w:tcW w:w="929" w:type="dxa"/>
            <w:shd w:val="clear" w:color="auto" w:fill="D9E2F3" w:themeFill="accent1" w:themeFillTint="33"/>
            <w:vAlign w:val="center"/>
          </w:tcPr>
          <w:p w14:paraId="4C64F3E9" w14:textId="45004CA0" w:rsidR="00CF5190" w:rsidRPr="00CF5190" w:rsidRDefault="00CF5190" w:rsidP="000172EC">
            <w:pPr>
              <w:ind w:left="0"/>
              <w:jc w:val="center"/>
              <w:rPr>
                <w:rFonts w:ascii="Calibri" w:hAnsi="Calibri" w:cs="Calibri"/>
                <w:b/>
                <w:sz w:val="16"/>
                <w:szCs w:val="16"/>
              </w:rPr>
            </w:pPr>
            <w:r w:rsidRPr="00CF5190">
              <w:rPr>
                <w:b/>
                <w:sz w:val="16"/>
                <w:szCs w:val="16"/>
              </w:rPr>
              <w:t>Scotland</w:t>
            </w:r>
          </w:p>
        </w:tc>
        <w:tc>
          <w:tcPr>
            <w:tcW w:w="856" w:type="dxa"/>
            <w:shd w:val="clear" w:color="auto" w:fill="D9E2F3" w:themeFill="accent1" w:themeFillTint="33"/>
            <w:vAlign w:val="center"/>
          </w:tcPr>
          <w:p w14:paraId="57EE0A0F" w14:textId="25347CBF" w:rsidR="00CF5190" w:rsidRPr="00CF5190" w:rsidRDefault="00CF5190" w:rsidP="000172EC">
            <w:pPr>
              <w:ind w:left="0"/>
              <w:jc w:val="center"/>
              <w:rPr>
                <w:rFonts w:ascii="Calibri" w:hAnsi="Calibri" w:cs="Calibri"/>
                <w:b/>
                <w:sz w:val="16"/>
                <w:szCs w:val="16"/>
              </w:rPr>
            </w:pPr>
            <w:r w:rsidRPr="00CF5190">
              <w:rPr>
                <w:b/>
                <w:sz w:val="16"/>
                <w:szCs w:val="16"/>
              </w:rPr>
              <w:t>Aberdeen City</w:t>
            </w:r>
          </w:p>
        </w:tc>
        <w:tc>
          <w:tcPr>
            <w:tcW w:w="777" w:type="dxa"/>
            <w:shd w:val="clear" w:color="auto" w:fill="D9E2F3" w:themeFill="accent1" w:themeFillTint="33"/>
            <w:vAlign w:val="center"/>
          </w:tcPr>
          <w:p w14:paraId="6204C82D" w14:textId="69A26A66" w:rsidR="00CF5190" w:rsidRPr="00CF5190" w:rsidRDefault="00CF5190" w:rsidP="000172EC">
            <w:pPr>
              <w:ind w:left="0"/>
              <w:jc w:val="center"/>
              <w:rPr>
                <w:rFonts w:ascii="Calibri" w:hAnsi="Calibri" w:cs="Calibri"/>
                <w:b/>
                <w:sz w:val="16"/>
                <w:szCs w:val="16"/>
              </w:rPr>
            </w:pPr>
            <w:r w:rsidRPr="00CF5190">
              <w:rPr>
                <w:b/>
                <w:sz w:val="16"/>
                <w:szCs w:val="16"/>
              </w:rPr>
              <w:t>Scotland</w:t>
            </w:r>
          </w:p>
        </w:tc>
      </w:tr>
      <w:tr w:rsidR="00CF5190" w:rsidRPr="00CF5190" w14:paraId="33708E65" w14:textId="77777777" w:rsidTr="00CF5190">
        <w:tc>
          <w:tcPr>
            <w:tcW w:w="1003" w:type="dxa"/>
          </w:tcPr>
          <w:p w14:paraId="713A9C30" w14:textId="02C43889" w:rsidR="00CF5190" w:rsidRPr="00CF5190" w:rsidRDefault="00CF5190" w:rsidP="00026A32">
            <w:pPr>
              <w:ind w:left="0"/>
              <w:rPr>
                <w:rFonts w:ascii="Calibri" w:hAnsi="Calibri" w:cs="Calibri"/>
                <w:b/>
                <w:sz w:val="16"/>
                <w:szCs w:val="16"/>
              </w:rPr>
            </w:pPr>
            <w:r w:rsidRPr="00CF5190">
              <w:rPr>
                <w:rFonts w:ascii="Calibri" w:hAnsi="Calibri" w:cs="Calibri"/>
                <w:b/>
                <w:sz w:val="16"/>
                <w:szCs w:val="16"/>
              </w:rPr>
              <w:t xml:space="preserve">P1 -Early </w:t>
            </w:r>
          </w:p>
          <w:p w14:paraId="0F56612C" w14:textId="3CB9884E" w:rsidR="00CF5190" w:rsidRPr="00CF5190" w:rsidRDefault="00CF5190" w:rsidP="00026A32">
            <w:pPr>
              <w:ind w:left="0"/>
              <w:rPr>
                <w:rFonts w:ascii="Calibri" w:hAnsi="Calibri" w:cs="Calibri"/>
                <w:b/>
                <w:sz w:val="16"/>
                <w:szCs w:val="16"/>
              </w:rPr>
            </w:pPr>
            <w:r w:rsidRPr="00CF5190">
              <w:rPr>
                <w:rFonts w:ascii="Calibri" w:hAnsi="Calibri" w:cs="Calibri"/>
                <w:b/>
                <w:sz w:val="16"/>
                <w:szCs w:val="16"/>
              </w:rPr>
              <w:t>Level</w:t>
            </w:r>
          </w:p>
        </w:tc>
        <w:tc>
          <w:tcPr>
            <w:tcW w:w="914" w:type="dxa"/>
            <w:shd w:val="clear" w:color="auto" w:fill="auto"/>
            <w:vAlign w:val="center"/>
          </w:tcPr>
          <w:p w14:paraId="7FDA96FE" w14:textId="16D8C20B"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75</w:t>
            </w:r>
            <w:r>
              <w:rPr>
                <w:rFonts w:ascii="Calibri" w:hAnsi="Calibri"/>
                <w:color w:val="000000"/>
                <w:sz w:val="16"/>
                <w:szCs w:val="16"/>
              </w:rPr>
              <w:t>%</w:t>
            </w:r>
          </w:p>
        </w:tc>
        <w:tc>
          <w:tcPr>
            <w:tcW w:w="828" w:type="dxa"/>
            <w:shd w:val="clear" w:color="auto" w:fill="auto"/>
            <w:vAlign w:val="center"/>
          </w:tcPr>
          <w:p w14:paraId="7FDF8F72" w14:textId="590E739D"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80</w:t>
            </w:r>
            <w:r>
              <w:rPr>
                <w:rFonts w:ascii="Calibri" w:hAnsi="Calibri"/>
                <w:color w:val="000000"/>
                <w:sz w:val="16"/>
                <w:szCs w:val="16"/>
              </w:rPr>
              <w:t>%</w:t>
            </w:r>
          </w:p>
        </w:tc>
        <w:tc>
          <w:tcPr>
            <w:tcW w:w="1030" w:type="dxa"/>
            <w:shd w:val="clear" w:color="auto" w:fill="auto"/>
            <w:vAlign w:val="center"/>
          </w:tcPr>
          <w:p w14:paraId="3E8F0E50" w14:textId="0C028B28"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73</w:t>
            </w:r>
            <w:r>
              <w:rPr>
                <w:rFonts w:ascii="Calibri" w:hAnsi="Calibri"/>
                <w:color w:val="000000"/>
                <w:sz w:val="16"/>
                <w:szCs w:val="16"/>
              </w:rPr>
              <w:t>%</w:t>
            </w:r>
          </w:p>
        </w:tc>
        <w:tc>
          <w:tcPr>
            <w:tcW w:w="929" w:type="dxa"/>
            <w:shd w:val="clear" w:color="auto" w:fill="auto"/>
            <w:vAlign w:val="center"/>
          </w:tcPr>
          <w:p w14:paraId="1124DD52" w14:textId="7F3E7C76"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77</w:t>
            </w:r>
            <w:r>
              <w:rPr>
                <w:rFonts w:ascii="Calibri" w:hAnsi="Calibri"/>
                <w:color w:val="000000"/>
                <w:sz w:val="16"/>
                <w:szCs w:val="16"/>
              </w:rPr>
              <w:t>%</w:t>
            </w:r>
          </w:p>
        </w:tc>
        <w:tc>
          <w:tcPr>
            <w:tcW w:w="1030" w:type="dxa"/>
            <w:shd w:val="clear" w:color="auto" w:fill="auto"/>
            <w:vAlign w:val="center"/>
          </w:tcPr>
          <w:p w14:paraId="4E4B467D" w14:textId="792826F1"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82</w:t>
            </w:r>
            <w:r>
              <w:rPr>
                <w:rFonts w:ascii="Calibri" w:hAnsi="Calibri"/>
                <w:color w:val="000000"/>
                <w:sz w:val="16"/>
                <w:szCs w:val="16"/>
              </w:rPr>
              <w:t>%</w:t>
            </w:r>
          </w:p>
        </w:tc>
        <w:tc>
          <w:tcPr>
            <w:tcW w:w="929" w:type="dxa"/>
            <w:shd w:val="clear" w:color="auto" w:fill="auto"/>
            <w:vAlign w:val="center"/>
          </w:tcPr>
          <w:p w14:paraId="38DC0FFD" w14:textId="50DBEC64"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85</w:t>
            </w:r>
            <w:r>
              <w:rPr>
                <w:rFonts w:ascii="Calibri" w:hAnsi="Calibri"/>
                <w:color w:val="000000"/>
                <w:sz w:val="16"/>
                <w:szCs w:val="16"/>
              </w:rPr>
              <w:t>%</w:t>
            </w:r>
          </w:p>
        </w:tc>
        <w:tc>
          <w:tcPr>
            <w:tcW w:w="856" w:type="dxa"/>
            <w:shd w:val="clear" w:color="auto" w:fill="auto"/>
            <w:vAlign w:val="center"/>
          </w:tcPr>
          <w:p w14:paraId="6D5E29EF" w14:textId="4B8CC968"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80</w:t>
            </w:r>
            <w:r>
              <w:rPr>
                <w:rFonts w:ascii="Calibri" w:hAnsi="Calibri"/>
                <w:color w:val="000000"/>
                <w:sz w:val="16"/>
                <w:szCs w:val="16"/>
              </w:rPr>
              <w:t>%</w:t>
            </w:r>
          </w:p>
        </w:tc>
        <w:tc>
          <w:tcPr>
            <w:tcW w:w="777" w:type="dxa"/>
            <w:shd w:val="clear" w:color="auto" w:fill="auto"/>
            <w:vAlign w:val="center"/>
          </w:tcPr>
          <w:p w14:paraId="507BAB89" w14:textId="15C70BCC"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83</w:t>
            </w:r>
            <w:r>
              <w:rPr>
                <w:rFonts w:ascii="Calibri" w:hAnsi="Calibri"/>
                <w:color w:val="000000"/>
                <w:sz w:val="16"/>
                <w:szCs w:val="16"/>
              </w:rPr>
              <w:t>%</w:t>
            </w:r>
          </w:p>
        </w:tc>
      </w:tr>
      <w:tr w:rsidR="00CF5190" w:rsidRPr="00CF5190" w14:paraId="2B9CD930" w14:textId="77777777" w:rsidTr="00CF5190">
        <w:tc>
          <w:tcPr>
            <w:tcW w:w="1003" w:type="dxa"/>
          </w:tcPr>
          <w:p w14:paraId="6A5B257F" w14:textId="16BD99DC" w:rsidR="00CF5190" w:rsidRPr="00CF5190" w:rsidRDefault="00CF5190" w:rsidP="00026A32">
            <w:pPr>
              <w:ind w:left="0"/>
              <w:rPr>
                <w:rFonts w:ascii="Calibri" w:hAnsi="Calibri" w:cs="Calibri"/>
                <w:b/>
                <w:sz w:val="16"/>
                <w:szCs w:val="16"/>
              </w:rPr>
            </w:pPr>
            <w:r w:rsidRPr="00CF5190">
              <w:rPr>
                <w:rFonts w:ascii="Calibri" w:hAnsi="Calibri" w:cs="Calibri"/>
                <w:b/>
                <w:sz w:val="16"/>
                <w:szCs w:val="16"/>
              </w:rPr>
              <w:t>P4 -First</w:t>
            </w:r>
          </w:p>
          <w:p w14:paraId="00139A8D" w14:textId="1216FB91" w:rsidR="00CF5190" w:rsidRPr="00CF5190" w:rsidRDefault="00CF5190" w:rsidP="00026A32">
            <w:pPr>
              <w:ind w:left="0"/>
              <w:rPr>
                <w:rFonts w:ascii="Calibri" w:hAnsi="Calibri" w:cs="Calibri"/>
                <w:b/>
                <w:sz w:val="16"/>
                <w:szCs w:val="16"/>
              </w:rPr>
            </w:pPr>
            <w:r w:rsidRPr="00CF5190">
              <w:rPr>
                <w:rFonts w:ascii="Calibri" w:hAnsi="Calibri" w:cs="Calibri"/>
                <w:b/>
                <w:sz w:val="16"/>
                <w:szCs w:val="16"/>
              </w:rPr>
              <w:t>Level</w:t>
            </w:r>
          </w:p>
        </w:tc>
        <w:tc>
          <w:tcPr>
            <w:tcW w:w="914" w:type="dxa"/>
            <w:shd w:val="clear" w:color="auto" w:fill="auto"/>
            <w:vAlign w:val="center"/>
          </w:tcPr>
          <w:p w14:paraId="0B1CCF3E" w14:textId="1498E48F"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75</w:t>
            </w:r>
            <w:r>
              <w:rPr>
                <w:rFonts w:ascii="Calibri" w:hAnsi="Calibri"/>
                <w:color w:val="000000"/>
                <w:sz w:val="16"/>
                <w:szCs w:val="16"/>
              </w:rPr>
              <w:t>%</w:t>
            </w:r>
          </w:p>
        </w:tc>
        <w:tc>
          <w:tcPr>
            <w:tcW w:w="828" w:type="dxa"/>
            <w:shd w:val="clear" w:color="auto" w:fill="auto"/>
            <w:vAlign w:val="center"/>
          </w:tcPr>
          <w:p w14:paraId="6B4743F5" w14:textId="1A762EB2"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77</w:t>
            </w:r>
            <w:r>
              <w:rPr>
                <w:rFonts w:ascii="Calibri" w:hAnsi="Calibri"/>
                <w:color w:val="000000"/>
                <w:sz w:val="16"/>
                <w:szCs w:val="16"/>
              </w:rPr>
              <w:t>%</w:t>
            </w:r>
          </w:p>
        </w:tc>
        <w:tc>
          <w:tcPr>
            <w:tcW w:w="1030" w:type="dxa"/>
            <w:shd w:val="clear" w:color="auto" w:fill="auto"/>
            <w:vAlign w:val="center"/>
          </w:tcPr>
          <w:p w14:paraId="2806EB9C" w14:textId="58A127DD"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70</w:t>
            </w:r>
            <w:r>
              <w:rPr>
                <w:rFonts w:ascii="Calibri" w:hAnsi="Calibri"/>
                <w:color w:val="000000"/>
                <w:sz w:val="16"/>
                <w:szCs w:val="16"/>
              </w:rPr>
              <w:t>%</w:t>
            </w:r>
          </w:p>
        </w:tc>
        <w:tc>
          <w:tcPr>
            <w:tcW w:w="929" w:type="dxa"/>
            <w:shd w:val="clear" w:color="auto" w:fill="auto"/>
            <w:vAlign w:val="center"/>
          </w:tcPr>
          <w:p w14:paraId="2C898CC6" w14:textId="1B39A904"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71</w:t>
            </w:r>
            <w:r>
              <w:rPr>
                <w:rFonts w:ascii="Calibri" w:hAnsi="Calibri"/>
                <w:color w:val="000000"/>
                <w:sz w:val="16"/>
                <w:szCs w:val="16"/>
              </w:rPr>
              <w:t>%</w:t>
            </w:r>
          </w:p>
        </w:tc>
        <w:tc>
          <w:tcPr>
            <w:tcW w:w="1030" w:type="dxa"/>
            <w:shd w:val="clear" w:color="auto" w:fill="auto"/>
            <w:vAlign w:val="center"/>
          </w:tcPr>
          <w:p w14:paraId="33EA5E40" w14:textId="146AEED4"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83</w:t>
            </w:r>
            <w:r>
              <w:rPr>
                <w:rFonts w:ascii="Calibri" w:hAnsi="Calibri"/>
                <w:color w:val="000000"/>
                <w:sz w:val="16"/>
                <w:szCs w:val="16"/>
              </w:rPr>
              <w:t>%</w:t>
            </w:r>
          </w:p>
        </w:tc>
        <w:tc>
          <w:tcPr>
            <w:tcW w:w="929" w:type="dxa"/>
            <w:shd w:val="clear" w:color="auto" w:fill="auto"/>
            <w:vAlign w:val="center"/>
          </w:tcPr>
          <w:p w14:paraId="412E7A51" w14:textId="2008A9D9"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83</w:t>
            </w:r>
            <w:r>
              <w:rPr>
                <w:rFonts w:ascii="Calibri" w:hAnsi="Calibri"/>
                <w:color w:val="000000"/>
                <w:sz w:val="16"/>
                <w:szCs w:val="16"/>
              </w:rPr>
              <w:t>%</w:t>
            </w:r>
          </w:p>
        </w:tc>
        <w:tc>
          <w:tcPr>
            <w:tcW w:w="856" w:type="dxa"/>
            <w:shd w:val="clear" w:color="auto" w:fill="auto"/>
            <w:vAlign w:val="center"/>
          </w:tcPr>
          <w:p w14:paraId="2F1750B1" w14:textId="7317713F"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74</w:t>
            </w:r>
            <w:r>
              <w:rPr>
                <w:rFonts w:ascii="Calibri" w:hAnsi="Calibri"/>
                <w:color w:val="000000"/>
                <w:sz w:val="16"/>
                <w:szCs w:val="16"/>
              </w:rPr>
              <w:t>%</w:t>
            </w:r>
          </w:p>
        </w:tc>
        <w:tc>
          <w:tcPr>
            <w:tcW w:w="777" w:type="dxa"/>
            <w:shd w:val="clear" w:color="auto" w:fill="auto"/>
            <w:vAlign w:val="center"/>
          </w:tcPr>
          <w:p w14:paraId="2C7F52EB" w14:textId="101C3D9F"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75</w:t>
            </w:r>
            <w:r>
              <w:rPr>
                <w:rFonts w:ascii="Calibri" w:hAnsi="Calibri"/>
                <w:color w:val="000000"/>
                <w:sz w:val="16"/>
                <w:szCs w:val="16"/>
              </w:rPr>
              <w:t>%</w:t>
            </w:r>
          </w:p>
        </w:tc>
      </w:tr>
      <w:tr w:rsidR="00CF5190" w:rsidRPr="00CF5190" w14:paraId="2BC85C18" w14:textId="77777777" w:rsidTr="00CF5190">
        <w:tc>
          <w:tcPr>
            <w:tcW w:w="1003" w:type="dxa"/>
          </w:tcPr>
          <w:p w14:paraId="6E736CD9" w14:textId="29B3CC88" w:rsidR="00CF5190" w:rsidRPr="00CF5190" w:rsidRDefault="00CF5190" w:rsidP="00026A32">
            <w:pPr>
              <w:ind w:left="0"/>
              <w:rPr>
                <w:rFonts w:ascii="Calibri" w:hAnsi="Calibri" w:cs="Calibri"/>
                <w:b/>
                <w:sz w:val="16"/>
                <w:szCs w:val="16"/>
              </w:rPr>
            </w:pPr>
            <w:r w:rsidRPr="00CF5190">
              <w:rPr>
                <w:rFonts w:ascii="Calibri" w:hAnsi="Calibri" w:cs="Calibri"/>
                <w:b/>
                <w:sz w:val="16"/>
                <w:szCs w:val="16"/>
              </w:rPr>
              <w:t xml:space="preserve">P7 -Second </w:t>
            </w:r>
          </w:p>
          <w:p w14:paraId="3B44DBC8" w14:textId="71BA45DC" w:rsidR="00CF5190" w:rsidRPr="00CF5190" w:rsidRDefault="00CF5190" w:rsidP="00026A32">
            <w:pPr>
              <w:ind w:left="0"/>
              <w:rPr>
                <w:rFonts w:ascii="Calibri" w:hAnsi="Calibri" w:cs="Calibri"/>
                <w:b/>
                <w:sz w:val="16"/>
                <w:szCs w:val="16"/>
              </w:rPr>
            </w:pPr>
            <w:r w:rsidRPr="00CF5190">
              <w:rPr>
                <w:rFonts w:ascii="Calibri" w:hAnsi="Calibri" w:cs="Calibri"/>
                <w:b/>
                <w:sz w:val="16"/>
                <w:szCs w:val="16"/>
              </w:rPr>
              <w:t>Level</w:t>
            </w:r>
          </w:p>
        </w:tc>
        <w:tc>
          <w:tcPr>
            <w:tcW w:w="914" w:type="dxa"/>
            <w:shd w:val="clear" w:color="auto" w:fill="auto"/>
            <w:vAlign w:val="center"/>
          </w:tcPr>
          <w:p w14:paraId="5BB05D39" w14:textId="4884FD24"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72</w:t>
            </w:r>
            <w:r>
              <w:rPr>
                <w:rFonts w:ascii="Calibri" w:hAnsi="Calibri"/>
                <w:color w:val="000000"/>
                <w:sz w:val="16"/>
                <w:szCs w:val="16"/>
              </w:rPr>
              <w:t>%</w:t>
            </w:r>
          </w:p>
        </w:tc>
        <w:tc>
          <w:tcPr>
            <w:tcW w:w="828" w:type="dxa"/>
            <w:shd w:val="clear" w:color="auto" w:fill="auto"/>
            <w:vAlign w:val="center"/>
          </w:tcPr>
          <w:p w14:paraId="17F53E2F" w14:textId="42EA2247"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76</w:t>
            </w:r>
            <w:r>
              <w:rPr>
                <w:rFonts w:ascii="Calibri" w:hAnsi="Calibri"/>
                <w:color w:val="000000"/>
                <w:sz w:val="16"/>
                <w:szCs w:val="16"/>
              </w:rPr>
              <w:t>%</w:t>
            </w:r>
          </w:p>
        </w:tc>
        <w:tc>
          <w:tcPr>
            <w:tcW w:w="1030" w:type="dxa"/>
            <w:shd w:val="clear" w:color="auto" w:fill="auto"/>
            <w:vAlign w:val="center"/>
          </w:tcPr>
          <w:p w14:paraId="365F48D2" w14:textId="39833B2D"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66</w:t>
            </w:r>
            <w:r>
              <w:rPr>
                <w:rFonts w:ascii="Calibri" w:hAnsi="Calibri"/>
                <w:color w:val="000000"/>
                <w:sz w:val="16"/>
                <w:szCs w:val="16"/>
              </w:rPr>
              <w:t>%</w:t>
            </w:r>
          </w:p>
        </w:tc>
        <w:tc>
          <w:tcPr>
            <w:tcW w:w="929" w:type="dxa"/>
            <w:shd w:val="clear" w:color="auto" w:fill="auto"/>
            <w:vAlign w:val="center"/>
          </w:tcPr>
          <w:p w14:paraId="00797F87" w14:textId="0E15B288"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69</w:t>
            </w:r>
            <w:r>
              <w:rPr>
                <w:rFonts w:ascii="Calibri" w:hAnsi="Calibri"/>
                <w:color w:val="000000"/>
                <w:sz w:val="16"/>
                <w:szCs w:val="16"/>
              </w:rPr>
              <w:t>%</w:t>
            </w:r>
          </w:p>
        </w:tc>
        <w:tc>
          <w:tcPr>
            <w:tcW w:w="1030" w:type="dxa"/>
            <w:shd w:val="clear" w:color="auto" w:fill="auto"/>
            <w:vAlign w:val="center"/>
          </w:tcPr>
          <w:p w14:paraId="501E0C59" w14:textId="6558F77B"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81</w:t>
            </w:r>
            <w:r>
              <w:rPr>
                <w:rFonts w:ascii="Calibri" w:hAnsi="Calibri"/>
                <w:color w:val="000000"/>
                <w:sz w:val="16"/>
                <w:szCs w:val="16"/>
              </w:rPr>
              <w:t>%</w:t>
            </w:r>
          </w:p>
        </w:tc>
        <w:tc>
          <w:tcPr>
            <w:tcW w:w="929" w:type="dxa"/>
            <w:shd w:val="clear" w:color="auto" w:fill="auto"/>
            <w:vAlign w:val="center"/>
          </w:tcPr>
          <w:p w14:paraId="2BCC95EA" w14:textId="0768A46E"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81</w:t>
            </w:r>
            <w:r>
              <w:rPr>
                <w:rFonts w:ascii="Calibri" w:hAnsi="Calibri"/>
                <w:color w:val="000000"/>
                <w:sz w:val="16"/>
                <w:szCs w:val="16"/>
              </w:rPr>
              <w:t>%</w:t>
            </w:r>
          </w:p>
        </w:tc>
        <w:tc>
          <w:tcPr>
            <w:tcW w:w="856" w:type="dxa"/>
            <w:shd w:val="clear" w:color="auto" w:fill="auto"/>
            <w:vAlign w:val="center"/>
          </w:tcPr>
          <w:p w14:paraId="62A0004E" w14:textId="65606F40"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69</w:t>
            </w:r>
            <w:r>
              <w:rPr>
                <w:rFonts w:ascii="Calibri" w:hAnsi="Calibri"/>
                <w:color w:val="000000"/>
                <w:sz w:val="16"/>
                <w:szCs w:val="16"/>
              </w:rPr>
              <w:t>%</w:t>
            </w:r>
          </w:p>
        </w:tc>
        <w:tc>
          <w:tcPr>
            <w:tcW w:w="777" w:type="dxa"/>
            <w:shd w:val="clear" w:color="auto" w:fill="auto"/>
            <w:vAlign w:val="center"/>
          </w:tcPr>
          <w:p w14:paraId="2F38A96C" w14:textId="2674AC31"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70</w:t>
            </w:r>
            <w:r>
              <w:rPr>
                <w:rFonts w:ascii="Calibri" w:hAnsi="Calibri"/>
                <w:color w:val="000000"/>
                <w:sz w:val="16"/>
                <w:szCs w:val="16"/>
              </w:rPr>
              <w:t>%</w:t>
            </w:r>
          </w:p>
        </w:tc>
      </w:tr>
      <w:tr w:rsidR="00CF5190" w:rsidRPr="00CF5190" w14:paraId="4279139F" w14:textId="77777777" w:rsidTr="00CF5190">
        <w:tc>
          <w:tcPr>
            <w:tcW w:w="1003" w:type="dxa"/>
          </w:tcPr>
          <w:p w14:paraId="155D9E22" w14:textId="70B34D92" w:rsidR="00CF5190" w:rsidRPr="00CF5190" w:rsidRDefault="00CF5190" w:rsidP="00026A32">
            <w:pPr>
              <w:ind w:left="0"/>
              <w:rPr>
                <w:rFonts w:ascii="Calibri" w:hAnsi="Calibri" w:cs="Calibri"/>
                <w:b/>
                <w:sz w:val="16"/>
                <w:szCs w:val="16"/>
              </w:rPr>
            </w:pPr>
            <w:r w:rsidRPr="00CF5190">
              <w:rPr>
                <w:rFonts w:ascii="Calibri" w:hAnsi="Calibri" w:cs="Calibri"/>
                <w:b/>
                <w:sz w:val="16"/>
                <w:szCs w:val="16"/>
              </w:rPr>
              <w:t>S3 -Third Level</w:t>
            </w:r>
          </w:p>
          <w:p w14:paraId="4081BF9D" w14:textId="2C5269D8" w:rsidR="00CF5190" w:rsidRPr="00CF5190" w:rsidRDefault="00CF5190" w:rsidP="00026A32">
            <w:pPr>
              <w:ind w:left="0"/>
              <w:rPr>
                <w:rFonts w:ascii="Calibri" w:hAnsi="Calibri" w:cs="Calibri"/>
                <w:b/>
                <w:sz w:val="16"/>
                <w:szCs w:val="16"/>
              </w:rPr>
            </w:pPr>
            <w:r w:rsidRPr="00CF5190">
              <w:rPr>
                <w:rFonts w:ascii="Calibri" w:hAnsi="Calibri" w:cs="Calibri"/>
                <w:b/>
                <w:sz w:val="16"/>
                <w:szCs w:val="16"/>
              </w:rPr>
              <w:t>or better</w:t>
            </w:r>
          </w:p>
        </w:tc>
        <w:tc>
          <w:tcPr>
            <w:tcW w:w="914" w:type="dxa"/>
            <w:shd w:val="clear" w:color="auto" w:fill="auto"/>
            <w:vAlign w:val="center"/>
          </w:tcPr>
          <w:p w14:paraId="4CA0BB08" w14:textId="30F03AF3"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85</w:t>
            </w:r>
            <w:r>
              <w:rPr>
                <w:rFonts w:ascii="Calibri" w:hAnsi="Calibri"/>
                <w:color w:val="000000"/>
                <w:sz w:val="16"/>
                <w:szCs w:val="16"/>
              </w:rPr>
              <w:t>%</w:t>
            </w:r>
          </w:p>
        </w:tc>
        <w:tc>
          <w:tcPr>
            <w:tcW w:w="828" w:type="dxa"/>
            <w:shd w:val="clear" w:color="auto" w:fill="auto"/>
            <w:vAlign w:val="center"/>
          </w:tcPr>
          <w:p w14:paraId="4D34094F" w14:textId="2B31DFCD"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90</w:t>
            </w:r>
            <w:r>
              <w:rPr>
                <w:rFonts w:ascii="Calibri" w:hAnsi="Calibri"/>
                <w:color w:val="000000"/>
                <w:sz w:val="16"/>
                <w:szCs w:val="16"/>
              </w:rPr>
              <w:t>%</w:t>
            </w:r>
          </w:p>
        </w:tc>
        <w:tc>
          <w:tcPr>
            <w:tcW w:w="1030" w:type="dxa"/>
            <w:shd w:val="clear" w:color="auto" w:fill="auto"/>
            <w:vAlign w:val="center"/>
          </w:tcPr>
          <w:p w14:paraId="6055E8A6" w14:textId="7A820AC8"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82</w:t>
            </w:r>
            <w:r>
              <w:rPr>
                <w:rFonts w:ascii="Calibri" w:hAnsi="Calibri"/>
                <w:color w:val="000000"/>
                <w:sz w:val="16"/>
                <w:szCs w:val="16"/>
              </w:rPr>
              <w:t>%</w:t>
            </w:r>
          </w:p>
        </w:tc>
        <w:tc>
          <w:tcPr>
            <w:tcW w:w="929" w:type="dxa"/>
            <w:shd w:val="clear" w:color="auto" w:fill="auto"/>
            <w:vAlign w:val="center"/>
          </w:tcPr>
          <w:p w14:paraId="5ACB170C" w14:textId="716EC818"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89</w:t>
            </w:r>
            <w:r>
              <w:rPr>
                <w:rFonts w:ascii="Calibri" w:hAnsi="Calibri"/>
                <w:color w:val="000000"/>
                <w:sz w:val="16"/>
                <w:szCs w:val="16"/>
              </w:rPr>
              <w:t>%</w:t>
            </w:r>
          </w:p>
        </w:tc>
        <w:tc>
          <w:tcPr>
            <w:tcW w:w="1030" w:type="dxa"/>
            <w:shd w:val="clear" w:color="auto" w:fill="auto"/>
            <w:vAlign w:val="center"/>
          </w:tcPr>
          <w:p w14:paraId="3C401308" w14:textId="211B19EE"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86</w:t>
            </w:r>
            <w:r>
              <w:rPr>
                <w:rFonts w:ascii="Calibri" w:hAnsi="Calibri"/>
                <w:color w:val="000000"/>
                <w:sz w:val="16"/>
                <w:szCs w:val="16"/>
              </w:rPr>
              <w:t>%</w:t>
            </w:r>
          </w:p>
        </w:tc>
        <w:tc>
          <w:tcPr>
            <w:tcW w:w="929" w:type="dxa"/>
            <w:shd w:val="clear" w:color="auto" w:fill="auto"/>
            <w:vAlign w:val="center"/>
          </w:tcPr>
          <w:p w14:paraId="0126F46C" w14:textId="5478C516"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91</w:t>
            </w:r>
            <w:r>
              <w:rPr>
                <w:rFonts w:ascii="Calibri" w:hAnsi="Calibri"/>
                <w:color w:val="000000"/>
                <w:sz w:val="16"/>
                <w:szCs w:val="16"/>
              </w:rPr>
              <w:t>%</w:t>
            </w:r>
          </w:p>
        </w:tc>
        <w:tc>
          <w:tcPr>
            <w:tcW w:w="856" w:type="dxa"/>
            <w:shd w:val="clear" w:color="auto" w:fill="auto"/>
            <w:vAlign w:val="center"/>
          </w:tcPr>
          <w:p w14:paraId="4E7B96E5" w14:textId="3F98E3B6"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82</w:t>
            </w:r>
            <w:r>
              <w:rPr>
                <w:rFonts w:ascii="Calibri" w:hAnsi="Calibri"/>
                <w:color w:val="000000"/>
                <w:sz w:val="16"/>
                <w:szCs w:val="16"/>
              </w:rPr>
              <w:t>%</w:t>
            </w:r>
          </w:p>
        </w:tc>
        <w:tc>
          <w:tcPr>
            <w:tcW w:w="777" w:type="dxa"/>
            <w:shd w:val="clear" w:color="auto" w:fill="auto"/>
            <w:vAlign w:val="center"/>
          </w:tcPr>
          <w:p w14:paraId="7658A9DA" w14:textId="64FEACD0"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88</w:t>
            </w:r>
            <w:r>
              <w:rPr>
                <w:rFonts w:ascii="Calibri" w:hAnsi="Calibri"/>
                <w:color w:val="000000"/>
                <w:sz w:val="16"/>
                <w:szCs w:val="16"/>
              </w:rPr>
              <w:t>%</w:t>
            </w:r>
          </w:p>
        </w:tc>
      </w:tr>
      <w:tr w:rsidR="00CF5190" w:rsidRPr="00CF5190" w14:paraId="0EC362E4" w14:textId="77777777" w:rsidTr="00CF5190">
        <w:tc>
          <w:tcPr>
            <w:tcW w:w="1003" w:type="dxa"/>
          </w:tcPr>
          <w:p w14:paraId="39F28551" w14:textId="68780198" w:rsidR="00CF5190" w:rsidRPr="00CF5190" w:rsidRDefault="00CF5190" w:rsidP="00026A32">
            <w:pPr>
              <w:ind w:left="0"/>
              <w:rPr>
                <w:rFonts w:ascii="Calibri" w:hAnsi="Calibri" w:cs="Calibri"/>
                <w:b/>
                <w:sz w:val="16"/>
                <w:szCs w:val="16"/>
              </w:rPr>
            </w:pPr>
            <w:r w:rsidRPr="00CF5190">
              <w:rPr>
                <w:rFonts w:ascii="Calibri" w:hAnsi="Calibri" w:cs="Calibri"/>
                <w:b/>
                <w:sz w:val="16"/>
                <w:szCs w:val="16"/>
              </w:rPr>
              <w:t xml:space="preserve">S3 - Fourth </w:t>
            </w:r>
            <w:r w:rsidRPr="00CF5190">
              <w:rPr>
                <w:rFonts w:ascii="Calibri" w:hAnsi="Calibri" w:cs="Calibri"/>
                <w:b/>
                <w:sz w:val="16"/>
                <w:szCs w:val="16"/>
              </w:rPr>
              <w:br/>
              <w:t>Level</w:t>
            </w:r>
          </w:p>
        </w:tc>
        <w:tc>
          <w:tcPr>
            <w:tcW w:w="914" w:type="dxa"/>
            <w:shd w:val="clear" w:color="auto" w:fill="auto"/>
            <w:vAlign w:val="center"/>
          </w:tcPr>
          <w:p w14:paraId="27F14400" w14:textId="0B125333"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48</w:t>
            </w:r>
            <w:r>
              <w:rPr>
                <w:rFonts w:ascii="Calibri" w:hAnsi="Calibri"/>
                <w:color w:val="000000"/>
                <w:sz w:val="16"/>
                <w:szCs w:val="16"/>
              </w:rPr>
              <w:t>%</w:t>
            </w:r>
          </w:p>
        </w:tc>
        <w:tc>
          <w:tcPr>
            <w:tcW w:w="828" w:type="dxa"/>
            <w:shd w:val="clear" w:color="auto" w:fill="auto"/>
            <w:vAlign w:val="center"/>
          </w:tcPr>
          <w:p w14:paraId="6DCA8A17" w14:textId="3363856E"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51</w:t>
            </w:r>
            <w:r>
              <w:rPr>
                <w:rFonts w:ascii="Calibri" w:hAnsi="Calibri"/>
                <w:color w:val="000000"/>
                <w:sz w:val="16"/>
                <w:szCs w:val="16"/>
              </w:rPr>
              <w:t>%</w:t>
            </w:r>
          </w:p>
        </w:tc>
        <w:tc>
          <w:tcPr>
            <w:tcW w:w="1030" w:type="dxa"/>
            <w:shd w:val="clear" w:color="auto" w:fill="auto"/>
            <w:vAlign w:val="center"/>
          </w:tcPr>
          <w:p w14:paraId="0E20893F" w14:textId="69E487E6"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46</w:t>
            </w:r>
            <w:r>
              <w:rPr>
                <w:rFonts w:ascii="Calibri" w:hAnsi="Calibri"/>
                <w:color w:val="000000"/>
                <w:sz w:val="16"/>
                <w:szCs w:val="16"/>
              </w:rPr>
              <w:t>%</w:t>
            </w:r>
          </w:p>
        </w:tc>
        <w:tc>
          <w:tcPr>
            <w:tcW w:w="929" w:type="dxa"/>
            <w:shd w:val="clear" w:color="auto" w:fill="auto"/>
            <w:vAlign w:val="center"/>
          </w:tcPr>
          <w:p w14:paraId="113DF727" w14:textId="41FF45DE"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48</w:t>
            </w:r>
            <w:r>
              <w:rPr>
                <w:rFonts w:ascii="Calibri" w:hAnsi="Calibri"/>
                <w:color w:val="000000"/>
                <w:sz w:val="16"/>
                <w:szCs w:val="16"/>
              </w:rPr>
              <w:t>%</w:t>
            </w:r>
          </w:p>
        </w:tc>
        <w:tc>
          <w:tcPr>
            <w:tcW w:w="1030" w:type="dxa"/>
            <w:shd w:val="clear" w:color="auto" w:fill="auto"/>
            <w:vAlign w:val="center"/>
          </w:tcPr>
          <w:p w14:paraId="113F4EAA" w14:textId="27BE76AF"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47</w:t>
            </w:r>
            <w:r>
              <w:rPr>
                <w:rFonts w:ascii="Calibri" w:hAnsi="Calibri"/>
                <w:color w:val="000000"/>
                <w:sz w:val="16"/>
                <w:szCs w:val="16"/>
              </w:rPr>
              <w:t>%</w:t>
            </w:r>
          </w:p>
        </w:tc>
        <w:tc>
          <w:tcPr>
            <w:tcW w:w="929" w:type="dxa"/>
            <w:shd w:val="clear" w:color="auto" w:fill="auto"/>
            <w:vAlign w:val="center"/>
          </w:tcPr>
          <w:p w14:paraId="44B98BC7" w14:textId="382DAE84"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51</w:t>
            </w:r>
            <w:r>
              <w:rPr>
                <w:rFonts w:ascii="Calibri" w:hAnsi="Calibri"/>
                <w:color w:val="000000"/>
                <w:sz w:val="16"/>
                <w:szCs w:val="16"/>
              </w:rPr>
              <w:t>%</w:t>
            </w:r>
          </w:p>
        </w:tc>
        <w:tc>
          <w:tcPr>
            <w:tcW w:w="856" w:type="dxa"/>
            <w:shd w:val="clear" w:color="auto" w:fill="auto"/>
            <w:vAlign w:val="center"/>
          </w:tcPr>
          <w:p w14:paraId="1D3417BA" w14:textId="67648173"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51</w:t>
            </w:r>
            <w:r>
              <w:rPr>
                <w:rFonts w:ascii="Calibri" w:hAnsi="Calibri"/>
                <w:color w:val="000000"/>
                <w:sz w:val="16"/>
                <w:szCs w:val="16"/>
              </w:rPr>
              <w:t>%</w:t>
            </w:r>
          </w:p>
        </w:tc>
        <w:tc>
          <w:tcPr>
            <w:tcW w:w="777" w:type="dxa"/>
            <w:shd w:val="clear" w:color="auto" w:fill="auto"/>
            <w:vAlign w:val="center"/>
          </w:tcPr>
          <w:p w14:paraId="727F0A84" w14:textId="19389FAD" w:rsidR="00CF5190" w:rsidRPr="00CF5190" w:rsidRDefault="00CF5190" w:rsidP="00026A32">
            <w:pPr>
              <w:ind w:left="0"/>
              <w:jc w:val="center"/>
              <w:rPr>
                <w:rFonts w:ascii="Calibri" w:hAnsi="Calibri" w:cs="Calibri"/>
                <w:sz w:val="16"/>
                <w:szCs w:val="16"/>
              </w:rPr>
            </w:pPr>
            <w:r w:rsidRPr="00CF5190">
              <w:rPr>
                <w:rFonts w:ascii="Calibri" w:hAnsi="Calibri"/>
                <w:color w:val="000000"/>
                <w:sz w:val="16"/>
                <w:szCs w:val="16"/>
              </w:rPr>
              <w:t>56</w:t>
            </w:r>
            <w:r>
              <w:rPr>
                <w:rFonts w:ascii="Calibri" w:hAnsi="Calibri"/>
                <w:color w:val="000000"/>
                <w:sz w:val="16"/>
                <w:szCs w:val="16"/>
              </w:rPr>
              <w:t>%</w:t>
            </w:r>
          </w:p>
        </w:tc>
      </w:tr>
    </w:tbl>
    <w:p w14:paraId="0BA6E7EE" w14:textId="77777777" w:rsidR="00026A32" w:rsidRDefault="00CF5190" w:rsidP="00C209DA">
      <w:pPr>
        <w:rPr>
          <w:rFonts w:ascii="Calibri" w:hAnsi="Calibri" w:cs="Calibri"/>
          <w:sz w:val="16"/>
          <w:szCs w:val="16"/>
        </w:rPr>
      </w:pPr>
      <w:r w:rsidRPr="00CF5190">
        <w:rPr>
          <w:rFonts w:ascii="Calibri" w:hAnsi="Calibri" w:cs="Calibri"/>
          <w:sz w:val="16"/>
          <w:szCs w:val="16"/>
        </w:rPr>
        <w:t>Source: Scottish Government, Achievement of Curriculum for Excellence Datasets</w:t>
      </w:r>
    </w:p>
    <w:p w14:paraId="01A92009" w14:textId="21AD2D13" w:rsidR="003D35AA" w:rsidRPr="003D35AA" w:rsidRDefault="00CF5190" w:rsidP="00C209DA">
      <w:pPr>
        <w:rPr>
          <w:sz w:val="16"/>
          <w:szCs w:val="16"/>
        </w:rPr>
      </w:pPr>
      <w:r>
        <w:rPr>
          <w:rFonts w:ascii="Calibri" w:hAnsi="Calibri" w:cs="Calibri"/>
          <w:sz w:val="16"/>
          <w:szCs w:val="16"/>
        </w:rPr>
        <w:fldChar w:fldCharType="begin"/>
      </w:r>
      <w:r w:rsidRPr="00CF5190">
        <w:rPr>
          <w:rFonts w:ascii="Calibri" w:hAnsi="Calibri" w:cs="Calibri"/>
          <w:sz w:val="16"/>
          <w:szCs w:val="16"/>
        </w:rPr>
        <w:instrText xml:space="preserve"> LINK </w:instrText>
      </w:r>
      <w:r w:rsidR="003D35AA">
        <w:rPr>
          <w:rFonts w:ascii="Calibri" w:hAnsi="Calibri" w:cs="Calibri"/>
          <w:sz w:val="16"/>
          <w:szCs w:val="16"/>
        </w:rPr>
        <w:instrText xml:space="preserve">Excel.Sheet.12 "\\\\acc.gov.uk\\data\\CHI\\PLANNING\\TRANSFER\\RESEARCH &amp; INFORMATION\\Population Needs Assessment\\Data Children.xlsx" Attainment!R6C15:R12C23 </w:instrText>
      </w:r>
      <w:r w:rsidRPr="00CF5190">
        <w:rPr>
          <w:rFonts w:ascii="Calibri" w:hAnsi="Calibri" w:cs="Calibri"/>
          <w:sz w:val="16"/>
          <w:szCs w:val="16"/>
        </w:rPr>
        <w:instrText xml:space="preserve">\a \f 5 \h  \* MERGEFORMAT </w:instrText>
      </w:r>
      <w:r>
        <w:rPr>
          <w:rFonts w:ascii="Calibri" w:hAnsi="Calibri" w:cs="Calibri"/>
          <w:sz w:val="16"/>
          <w:szCs w:val="16"/>
        </w:rPr>
        <w:fldChar w:fldCharType="separate"/>
      </w:r>
    </w:p>
    <w:p w14:paraId="1C1985CE" w14:textId="7BABFBC5" w:rsidR="00CF5190" w:rsidRDefault="00CF5190" w:rsidP="00C209DA">
      <w:pPr>
        <w:rPr>
          <w:rFonts w:ascii="Calibri" w:hAnsi="Calibri" w:cs="Calibri"/>
        </w:rPr>
      </w:pPr>
      <w:r>
        <w:rPr>
          <w:rFonts w:ascii="Calibri" w:hAnsi="Calibri" w:cs="Calibri"/>
        </w:rPr>
        <w:fldChar w:fldCharType="end"/>
      </w:r>
      <w:r w:rsidR="00696284">
        <w:rPr>
          <w:rFonts w:ascii="Calibri" w:hAnsi="Calibri" w:cs="Calibri"/>
        </w:rPr>
        <w:t>Achievement of expected levels also varies by deprivation.  In Aberdeen City in all subject areas, a smaller proportion of those in the most deprived 20% (SIMD 2016) achieved the expected level than those in the least deprived 20%.  This is particularly evident when considering the percentage of S3 pupils achieving Forth Level</w:t>
      </w:r>
      <w:r w:rsidR="0019539C">
        <w:rPr>
          <w:rFonts w:ascii="Calibri" w:hAnsi="Calibri" w:cs="Calibri"/>
        </w:rPr>
        <w:t xml:space="preserve">, for example only 21% of S3 pupils from the most deprived quintile achieved Forth Level </w:t>
      </w:r>
      <w:r w:rsidR="003301EB">
        <w:rPr>
          <w:rFonts w:ascii="Calibri" w:hAnsi="Calibri" w:cs="Calibri"/>
        </w:rPr>
        <w:t xml:space="preserve">writing </w:t>
      </w:r>
      <w:r w:rsidR="0019539C">
        <w:rPr>
          <w:rFonts w:ascii="Calibri" w:hAnsi="Calibri" w:cs="Calibri"/>
        </w:rPr>
        <w:t>compared to 71% of pupils from the least deprived quintile</w:t>
      </w:r>
      <w:r w:rsidR="00696284">
        <w:rPr>
          <w:rFonts w:ascii="Calibri" w:hAnsi="Calibri" w:cs="Calibri"/>
        </w:rPr>
        <w:t>.</w:t>
      </w:r>
      <w:r w:rsidR="007C3AB0">
        <w:rPr>
          <w:rFonts w:ascii="Calibri" w:hAnsi="Calibri" w:cs="Calibri"/>
        </w:rPr>
        <w:t xml:space="preserve">  </w:t>
      </w:r>
    </w:p>
    <w:p w14:paraId="50625B48" w14:textId="77777777" w:rsidR="00026A32" w:rsidRDefault="00026A32" w:rsidP="00C209DA">
      <w:pPr>
        <w:rPr>
          <w:rFonts w:ascii="Calibri" w:hAnsi="Calibri" w:cs="Calibri"/>
        </w:rPr>
      </w:pPr>
    </w:p>
    <w:p w14:paraId="7B10D114" w14:textId="7556C4F5" w:rsidR="00394DA2" w:rsidRDefault="00394DA2" w:rsidP="00394DA2">
      <w:pPr>
        <w:rPr>
          <w:rFonts w:ascii="Calibri" w:hAnsi="Calibri" w:cs="Calibri"/>
        </w:rPr>
      </w:pPr>
      <w:r>
        <w:rPr>
          <w:noProof/>
        </w:rPr>
        <w:drawing>
          <wp:inline distT="0" distB="0" distL="0" distR="0" wp14:anchorId="3BC42586" wp14:editId="25385E6E">
            <wp:extent cx="5384800" cy="2600076"/>
            <wp:effectExtent l="0" t="0" r="6350" b="10160"/>
            <wp:docPr id="28" name="Chart 28">
              <a:extLst xmlns:a="http://schemas.openxmlformats.org/drawingml/2006/main">
                <a:ext uri="{FF2B5EF4-FFF2-40B4-BE49-F238E27FC236}">
                  <a16:creationId xmlns:a16="http://schemas.microsoft.com/office/drawing/2014/main" id="{7A18AB03-1E2F-4524-9B50-41031D4BB5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CCEF387" w14:textId="50D763D2" w:rsidR="00394DA2" w:rsidRDefault="00394DA2" w:rsidP="00394DA2">
      <w:pPr>
        <w:rPr>
          <w:rFonts w:ascii="Calibri" w:hAnsi="Calibri" w:cs="Calibri"/>
          <w:sz w:val="16"/>
          <w:szCs w:val="16"/>
        </w:rPr>
      </w:pPr>
      <w:r w:rsidRPr="00394DA2">
        <w:rPr>
          <w:rFonts w:ascii="Calibri" w:hAnsi="Calibri" w:cs="Calibri"/>
          <w:sz w:val="16"/>
          <w:szCs w:val="16"/>
        </w:rPr>
        <w:t>Source: Scottish Government, Achievement of Curriculum for Excellence Datasets</w:t>
      </w:r>
    </w:p>
    <w:p w14:paraId="721D5364" w14:textId="2CCE0B8F" w:rsidR="00C30134" w:rsidRDefault="00C30134" w:rsidP="00394DA2">
      <w:pPr>
        <w:rPr>
          <w:rFonts w:ascii="Calibri" w:hAnsi="Calibri" w:cs="Calibri"/>
          <w:sz w:val="16"/>
          <w:szCs w:val="16"/>
        </w:rPr>
      </w:pPr>
    </w:p>
    <w:p w14:paraId="2908BD85" w14:textId="1364006D" w:rsidR="00C30134" w:rsidRPr="00C30134" w:rsidRDefault="00C30134" w:rsidP="00C30134">
      <w:pPr>
        <w:rPr>
          <w:rFonts w:ascii="Calibri" w:hAnsi="Calibri" w:cs="Calibri"/>
        </w:rPr>
      </w:pPr>
      <w:r>
        <w:rPr>
          <w:rFonts w:ascii="Calibri" w:hAnsi="Calibri" w:cs="Calibri"/>
        </w:rPr>
        <w:t>The</w:t>
      </w:r>
      <w:r w:rsidRPr="00C30134">
        <w:rPr>
          <w:rFonts w:ascii="Calibri" w:hAnsi="Calibri" w:cs="Calibri"/>
        </w:rPr>
        <w:t xml:space="preserve"> gap between most and least deprived seems to widen as children progress.  </w:t>
      </w:r>
      <w:r w:rsidR="00EB2641">
        <w:rPr>
          <w:rFonts w:ascii="Calibri" w:hAnsi="Calibri" w:cs="Calibri"/>
        </w:rPr>
        <w:t>For example, t</w:t>
      </w:r>
      <w:r w:rsidRPr="00C30134">
        <w:rPr>
          <w:rFonts w:ascii="Calibri" w:hAnsi="Calibri" w:cs="Calibri"/>
        </w:rPr>
        <w:t>he percentage of P1 children achieving early level writing is 6</w:t>
      </w:r>
      <w:r w:rsidR="00EB2641">
        <w:rPr>
          <w:rFonts w:ascii="Calibri" w:hAnsi="Calibri" w:cs="Calibri"/>
        </w:rPr>
        <w:t>6.5</w:t>
      </w:r>
      <w:r w:rsidRPr="00C30134">
        <w:rPr>
          <w:rFonts w:ascii="Calibri" w:hAnsi="Calibri" w:cs="Calibri"/>
        </w:rPr>
        <w:t xml:space="preserve">% </w:t>
      </w:r>
      <w:r w:rsidR="00EB2641">
        <w:rPr>
          <w:rFonts w:ascii="Calibri" w:hAnsi="Calibri" w:cs="Calibri"/>
        </w:rPr>
        <w:t xml:space="preserve">for those in the most deprived quintile </w:t>
      </w:r>
      <w:r w:rsidRPr="00C30134">
        <w:rPr>
          <w:rFonts w:ascii="Calibri" w:hAnsi="Calibri" w:cs="Calibri"/>
        </w:rPr>
        <w:t>compared to 84</w:t>
      </w:r>
      <w:r w:rsidR="00EB2641">
        <w:rPr>
          <w:rFonts w:ascii="Calibri" w:hAnsi="Calibri" w:cs="Calibri"/>
        </w:rPr>
        <w:t>.1</w:t>
      </w:r>
      <w:r w:rsidRPr="00C30134">
        <w:rPr>
          <w:rFonts w:ascii="Calibri" w:hAnsi="Calibri" w:cs="Calibri"/>
        </w:rPr>
        <w:t>%</w:t>
      </w:r>
      <w:r w:rsidR="00EB2641">
        <w:rPr>
          <w:rFonts w:ascii="Calibri" w:hAnsi="Calibri" w:cs="Calibri"/>
        </w:rPr>
        <w:t xml:space="preserve"> for those in the least deprived quintile – a difference of almost 18%</w:t>
      </w:r>
      <w:r w:rsidRPr="00C30134">
        <w:rPr>
          <w:rFonts w:ascii="Calibri" w:hAnsi="Calibri" w:cs="Calibri"/>
        </w:rPr>
        <w:t xml:space="preserve">; </w:t>
      </w:r>
      <w:r w:rsidR="00EB2641">
        <w:rPr>
          <w:rFonts w:ascii="Calibri" w:hAnsi="Calibri" w:cs="Calibri"/>
        </w:rPr>
        <w:t xml:space="preserve">for </w:t>
      </w:r>
      <w:r w:rsidRPr="00C30134">
        <w:rPr>
          <w:rFonts w:ascii="Calibri" w:hAnsi="Calibri" w:cs="Calibri"/>
        </w:rPr>
        <w:t xml:space="preserve">P4 pupils </w:t>
      </w:r>
      <w:r w:rsidR="00EB2641">
        <w:rPr>
          <w:rFonts w:ascii="Calibri" w:hAnsi="Calibri" w:cs="Calibri"/>
        </w:rPr>
        <w:t>(First level) the difference between most and least deprived is 23% and for P7 pupils (Second Level) the difference is 30%.</w:t>
      </w:r>
    </w:p>
    <w:p w14:paraId="779E491C" w14:textId="77777777" w:rsidR="00C30134" w:rsidRDefault="00C30134" w:rsidP="00394DA2">
      <w:pPr>
        <w:rPr>
          <w:rFonts w:ascii="Calibri" w:hAnsi="Calibri" w:cs="Calibri"/>
          <w:sz w:val="16"/>
          <w:szCs w:val="16"/>
        </w:rPr>
      </w:pPr>
    </w:p>
    <w:p w14:paraId="59A2F515" w14:textId="54630F45" w:rsidR="00C30134" w:rsidRPr="00394DA2" w:rsidRDefault="00C30134" w:rsidP="00394DA2">
      <w:pPr>
        <w:rPr>
          <w:rFonts w:ascii="Calibri" w:hAnsi="Calibri" w:cs="Calibri"/>
          <w:sz w:val="16"/>
          <w:szCs w:val="16"/>
        </w:rPr>
      </w:pPr>
      <w:r>
        <w:rPr>
          <w:noProof/>
        </w:rPr>
        <w:lastRenderedPageBreak/>
        <w:drawing>
          <wp:inline distT="0" distB="0" distL="0" distR="0" wp14:anchorId="774DA600" wp14:editId="3FDFCAD1">
            <wp:extent cx="4972050" cy="2743200"/>
            <wp:effectExtent l="0" t="0" r="0" b="0"/>
            <wp:docPr id="243" name="Chart 243">
              <a:extLst xmlns:a="http://schemas.openxmlformats.org/drawingml/2006/main">
                <a:ext uri="{FF2B5EF4-FFF2-40B4-BE49-F238E27FC236}">
                  <a16:creationId xmlns:a16="http://schemas.microsoft.com/office/drawing/2014/main" id="{4B645A6A-C302-405D-AC8C-D0DC9923AA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BECC35C" w14:textId="77777777" w:rsidR="00EB2641" w:rsidRPr="00EB2641" w:rsidRDefault="00EB2641" w:rsidP="00EB2641">
      <w:pPr>
        <w:rPr>
          <w:rFonts w:ascii="Calibri" w:hAnsi="Calibri" w:cs="Calibri"/>
          <w:sz w:val="16"/>
          <w:szCs w:val="16"/>
        </w:rPr>
      </w:pPr>
      <w:r w:rsidRPr="00EB2641">
        <w:rPr>
          <w:rFonts w:ascii="Calibri" w:hAnsi="Calibri" w:cs="Calibri"/>
          <w:sz w:val="16"/>
          <w:szCs w:val="16"/>
        </w:rPr>
        <w:t>Source: Scottish Government, Achievement of Curriculum for Excellence Datasets</w:t>
      </w:r>
    </w:p>
    <w:p w14:paraId="14715EA0" w14:textId="7FC455D1" w:rsidR="00CF5190" w:rsidRDefault="00CF5190" w:rsidP="00C209DA">
      <w:pPr>
        <w:rPr>
          <w:rFonts w:ascii="Calibri" w:hAnsi="Calibri" w:cs="Calibri"/>
        </w:rPr>
      </w:pPr>
    </w:p>
    <w:p w14:paraId="5FA6D1F7" w14:textId="4416CD3E" w:rsidR="000D662C" w:rsidRPr="000D662C" w:rsidRDefault="000B289A" w:rsidP="000D662C">
      <w:pPr>
        <w:pStyle w:val="Heading2"/>
        <w:numPr>
          <w:ilvl w:val="2"/>
          <w:numId w:val="4"/>
        </w:numPr>
        <w:spacing w:after="240"/>
        <w:rPr>
          <w:rFonts w:cs="Calibri"/>
        </w:rPr>
      </w:pPr>
      <w:bookmarkStart w:id="43" w:name="_Toc519088576"/>
      <w:r w:rsidRPr="000D662C">
        <w:rPr>
          <w:rFonts w:cs="Calibri"/>
        </w:rPr>
        <w:t>Positive destinations</w:t>
      </w:r>
      <w:r w:rsidR="00274177" w:rsidRPr="000D662C">
        <w:rPr>
          <w:rFonts w:cs="Calibri"/>
        </w:rPr>
        <w:t>/partic</w:t>
      </w:r>
      <w:r w:rsidR="0019539C" w:rsidRPr="000D662C">
        <w:rPr>
          <w:rFonts w:cs="Calibri"/>
        </w:rPr>
        <w:t>i</w:t>
      </w:r>
      <w:r w:rsidR="00274177" w:rsidRPr="000D662C">
        <w:rPr>
          <w:rFonts w:cs="Calibri"/>
        </w:rPr>
        <w:t>pation</w:t>
      </w:r>
      <w:bookmarkEnd w:id="43"/>
      <w:r w:rsidR="006217BE" w:rsidRPr="000D662C">
        <w:rPr>
          <w:rFonts w:cs="Calibri"/>
        </w:rPr>
        <w:t xml:space="preserve"> </w:t>
      </w:r>
    </w:p>
    <w:p w14:paraId="0404F7B3" w14:textId="70148E5F" w:rsidR="000B289A" w:rsidRPr="006217BE" w:rsidRDefault="006217BE" w:rsidP="00C209DA">
      <w:pPr>
        <w:rPr>
          <w:rFonts w:ascii="Calibri" w:hAnsi="Calibri" w:cs="Calibri"/>
        </w:rPr>
      </w:pPr>
      <w:r w:rsidRPr="006217BE">
        <w:rPr>
          <w:rFonts w:ascii="Calibri" w:hAnsi="Calibri" w:cs="Calibri"/>
          <w:lang w:val="en"/>
        </w:rPr>
        <w:t xml:space="preserve">The Scottish Government’s </w:t>
      </w:r>
      <w:r w:rsidR="007C7877">
        <w:rPr>
          <w:rFonts w:ascii="Calibri" w:hAnsi="Calibri" w:cs="Calibri"/>
          <w:lang w:val="en"/>
        </w:rPr>
        <w:t>‘</w:t>
      </w:r>
      <w:r w:rsidRPr="006217BE">
        <w:rPr>
          <w:rFonts w:ascii="Calibri" w:hAnsi="Calibri" w:cs="Calibri"/>
          <w:lang w:val="en"/>
        </w:rPr>
        <w:t>Opportunities for All</w:t>
      </w:r>
      <w:r w:rsidR="007C7877">
        <w:rPr>
          <w:rFonts w:ascii="Calibri" w:hAnsi="Calibri" w:cs="Calibri"/>
          <w:lang w:val="en"/>
        </w:rPr>
        <w:t>’</w:t>
      </w:r>
      <w:r w:rsidRPr="006217BE">
        <w:rPr>
          <w:rFonts w:ascii="Calibri" w:hAnsi="Calibri" w:cs="Calibri"/>
          <w:lang w:val="en"/>
        </w:rPr>
        <w:t xml:space="preserve"> commitment offers a place in learning or training to every 16-19 year</w:t>
      </w:r>
      <w:r>
        <w:rPr>
          <w:rFonts w:ascii="Calibri" w:hAnsi="Calibri" w:cs="Calibri"/>
          <w:lang w:val="en"/>
        </w:rPr>
        <w:t>-</w:t>
      </w:r>
      <w:r w:rsidRPr="006217BE">
        <w:rPr>
          <w:rFonts w:ascii="Calibri" w:hAnsi="Calibri" w:cs="Calibri"/>
          <w:lang w:val="en"/>
        </w:rPr>
        <w:t>old who is not in employment, education or training.</w:t>
      </w:r>
      <w:r>
        <w:rPr>
          <w:rFonts w:ascii="Calibri" w:hAnsi="Calibri" w:cs="Calibri"/>
          <w:b/>
        </w:rPr>
        <w:t xml:space="preserve"> </w:t>
      </w:r>
      <w:r>
        <w:rPr>
          <w:rFonts w:ascii="Calibri" w:hAnsi="Calibri" w:cs="Calibri"/>
        </w:rPr>
        <w:t>T</w:t>
      </w:r>
      <w:r w:rsidRPr="006217BE">
        <w:rPr>
          <w:rFonts w:ascii="Calibri" w:hAnsi="Calibri" w:cs="Calibri"/>
        </w:rPr>
        <w:t xml:space="preserve">he </w:t>
      </w:r>
      <w:r w:rsidR="007C3AB0">
        <w:rPr>
          <w:rFonts w:ascii="Calibri" w:hAnsi="Calibri" w:cs="Calibri"/>
        </w:rPr>
        <w:t>‘</w:t>
      </w:r>
      <w:r w:rsidRPr="006217BE">
        <w:rPr>
          <w:rFonts w:ascii="Calibri" w:hAnsi="Calibri" w:cs="Calibri"/>
        </w:rPr>
        <w:t>Annual Participation Measure</w:t>
      </w:r>
      <w:r w:rsidR="007C3AB0">
        <w:rPr>
          <w:rFonts w:ascii="Calibri" w:hAnsi="Calibri" w:cs="Calibri"/>
        </w:rPr>
        <w:t>’</w:t>
      </w:r>
      <w:r w:rsidRPr="006217BE">
        <w:rPr>
          <w:rFonts w:ascii="Calibri" w:hAnsi="Calibri" w:cs="Calibri"/>
        </w:rPr>
        <w:t xml:space="preserve"> </w:t>
      </w:r>
      <w:r>
        <w:rPr>
          <w:rFonts w:ascii="Calibri" w:hAnsi="Calibri" w:cs="Calibri"/>
        </w:rPr>
        <w:t>has replaced</w:t>
      </w:r>
      <w:r w:rsidRPr="006217BE">
        <w:rPr>
          <w:rFonts w:ascii="Calibri" w:hAnsi="Calibri" w:cs="Calibri"/>
        </w:rPr>
        <w:t xml:space="preserve"> school leaver destination </w:t>
      </w:r>
      <w:r>
        <w:rPr>
          <w:rFonts w:ascii="Calibri" w:hAnsi="Calibri" w:cs="Calibri"/>
        </w:rPr>
        <w:t xml:space="preserve">data as the </w:t>
      </w:r>
      <w:r w:rsidRPr="006217BE">
        <w:rPr>
          <w:rFonts w:ascii="Calibri" w:hAnsi="Calibri" w:cs="Calibri"/>
        </w:rPr>
        <w:t>as the source of the indicator, “</w:t>
      </w:r>
      <w:r w:rsidRPr="006217BE">
        <w:rPr>
          <w:rFonts w:ascii="Calibri" w:hAnsi="Calibri" w:cs="Calibri"/>
          <w:bCs/>
        </w:rPr>
        <w:t>increase the proportion of young people in learning, training or work”</w:t>
      </w:r>
      <w:r w:rsidRPr="006217BE">
        <w:rPr>
          <w:rFonts w:ascii="Calibri" w:hAnsi="Calibri" w:cs="Calibri"/>
        </w:rPr>
        <w:t>.</w:t>
      </w:r>
      <w:r w:rsidR="007C7877">
        <w:rPr>
          <w:rFonts w:ascii="Calibri" w:hAnsi="Calibri" w:cs="Calibri"/>
        </w:rPr>
        <w:t xml:space="preserve"> Unlike the school leaver destination data, the Annual Participation Measure includes all 16-19 year-olds.</w:t>
      </w:r>
    </w:p>
    <w:p w14:paraId="4B8C058F" w14:textId="5F4EFA56" w:rsidR="00171F8E" w:rsidRPr="00D905F4" w:rsidRDefault="009B6E5C" w:rsidP="00C209DA">
      <w:pPr>
        <w:rPr>
          <w:rFonts w:ascii="Calibri" w:hAnsi="Calibri" w:cs="Calibri"/>
          <w:sz w:val="16"/>
          <w:szCs w:val="16"/>
        </w:rPr>
      </w:pPr>
      <w:r w:rsidRPr="00D905F4">
        <w:rPr>
          <w:rFonts w:ascii="Calibri" w:hAnsi="Calibri" w:cs="Calibri"/>
          <w:sz w:val="16"/>
          <w:szCs w:val="16"/>
        </w:rPr>
        <w:t>(</w:t>
      </w:r>
      <w:r w:rsidR="00D905F4" w:rsidRPr="00D905F4">
        <w:rPr>
          <w:rFonts w:ascii="Calibri" w:hAnsi="Calibri" w:cs="Calibri"/>
          <w:sz w:val="16"/>
          <w:szCs w:val="16"/>
        </w:rPr>
        <w:t>Source</w:t>
      </w:r>
      <w:r w:rsidRPr="00D905F4">
        <w:rPr>
          <w:rFonts w:ascii="Calibri" w:hAnsi="Calibri" w:cs="Calibri"/>
          <w:sz w:val="16"/>
          <w:szCs w:val="16"/>
        </w:rPr>
        <w:t>:</w:t>
      </w:r>
      <w:r w:rsidR="00D905F4" w:rsidRPr="00D905F4">
        <w:rPr>
          <w:rFonts w:ascii="Calibri" w:hAnsi="Calibri" w:cs="Calibri"/>
          <w:sz w:val="16"/>
          <w:szCs w:val="16"/>
        </w:rPr>
        <w:t xml:space="preserve"> Skills Development Scotland, available at: </w:t>
      </w:r>
      <w:r w:rsidRPr="00D905F4">
        <w:rPr>
          <w:rFonts w:ascii="Calibri" w:hAnsi="Calibri" w:cs="Calibri"/>
          <w:sz w:val="16"/>
          <w:szCs w:val="16"/>
        </w:rPr>
        <w:t xml:space="preserve"> </w:t>
      </w:r>
      <w:hyperlink r:id="rId74" w:history="1">
        <w:r w:rsidRPr="00D905F4">
          <w:rPr>
            <w:rStyle w:val="Hyperlink"/>
            <w:rFonts w:ascii="Calibri" w:hAnsi="Calibri" w:cs="Calibri"/>
            <w:sz w:val="16"/>
            <w:szCs w:val="16"/>
          </w:rPr>
          <w:t>https://www.skillsdevelopmentscotland.co.uk/media/43537/2017_annual-participation-measure-summary_aberdeencity.pdf</w:t>
        </w:r>
      </w:hyperlink>
      <w:r w:rsidR="00171F8E" w:rsidRPr="00D905F4">
        <w:rPr>
          <w:rFonts w:ascii="Calibri" w:hAnsi="Calibri" w:cs="Calibri"/>
          <w:sz w:val="16"/>
          <w:szCs w:val="16"/>
        </w:rPr>
        <w:t xml:space="preserve"> </w:t>
      </w:r>
      <w:r w:rsidRPr="00D905F4">
        <w:rPr>
          <w:rFonts w:ascii="Calibri" w:hAnsi="Calibri" w:cs="Calibri"/>
          <w:sz w:val="16"/>
          <w:szCs w:val="16"/>
        </w:rPr>
        <w:t>)</w:t>
      </w:r>
    </w:p>
    <w:p w14:paraId="1306A70C" w14:textId="77777777" w:rsidR="00026A32" w:rsidRDefault="00026A32" w:rsidP="00C209DA">
      <w:pPr>
        <w:rPr>
          <w:rFonts w:ascii="Calibri" w:hAnsi="Calibri" w:cs="Calibri"/>
        </w:rPr>
      </w:pPr>
    </w:p>
    <w:p w14:paraId="42D7F146" w14:textId="317C448F" w:rsidR="006217BE" w:rsidRDefault="006217BE" w:rsidP="007D09EA">
      <w:pPr>
        <w:rPr>
          <w:rFonts w:ascii="Calibri" w:hAnsi="Calibri" w:cs="Calibri"/>
        </w:rPr>
      </w:pPr>
      <w:r>
        <w:rPr>
          <w:rFonts w:ascii="Calibri" w:hAnsi="Calibri" w:cs="Calibri"/>
        </w:rPr>
        <w:t xml:space="preserve">Data from the 2017 Annual Participation Measure Report indicates that </w:t>
      </w:r>
      <w:r w:rsidR="007D09EA" w:rsidRPr="007D09EA">
        <w:rPr>
          <w:rFonts w:ascii="Calibri" w:hAnsi="Calibri" w:cs="Calibri"/>
          <w:b/>
        </w:rPr>
        <w:t>89.4%</w:t>
      </w:r>
      <w:r w:rsidR="007D09EA">
        <w:rPr>
          <w:rFonts w:ascii="Calibri" w:hAnsi="Calibri" w:cs="Calibri"/>
        </w:rPr>
        <w:t xml:space="preserve"> of 6,862 16-19 year-olds in Aberdeen City were </w:t>
      </w:r>
      <w:r w:rsidR="007D09EA" w:rsidRPr="007F5617">
        <w:rPr>
          <w:rFonts w:ascii="Calibri" w:hAnsi="Calibri" w:cs="Calibri"/>
        </w:rPr>
        <w:t>participating</w:t>
      </w:r>
      <w:r w:rsidR="007D09EA">
        <w:rPr>
          <w:rFonts w:ascii="Calibri" w:hAnsi="Calibri" w:cs="Calibri"/>
        </w:rPr>
        <w:t xml:space="preserve"> in education (70.3%), employment (17.3%) or training (1.8%).  This is lower than the rate for Scotland as a whole (91.1%), but 0.5% higher than in 2016.  </w:t>
      </w:r>
      <w:r w:rsidR="007D09EA" w:rsidRPr="007D09EA">
        <w:rPr>
          <w:rFonts w:ascii="Calibri" w:hAnsi="Calibri" w:cs="Calibri"/>
          <w:b/>
        </w:rPr>
        <w:t>3.9%</w:t>
      </w:r>
      <w:r w:rsidR="007D09EA">
        <w:rPr>
          <w:rFonts w:ascii="Calibri" w:hAnsi="Calibri" w:cs="Calibri"/>
        </w:rPr>
        <w:t xml:space="preserve"> of 16-19 year-olds in Aberdeen were identified as </w:t>
      </w:r>
      <w:r w:rsidR="007D09EA" w:rsidRPr="007F5617">
        <w:rPr>
          <w:rFonts w:ascii="Calibri" w:hAnsi="Calibri" w:cs="Calibri"/>
        </w:rPr>
        <w:t>not participating</w:t>
      </w:r>
      <w:r w:rsidR="007D09EA">
        <w:rPr>
          <w:rFonts w:ascii="Calibri" w:hAnsi="Calibri" w:cs="Calibri"/>
        </w:rPr>
        <w:t xml:space="preserve"> (i.e. </w:t>
      </w:r>
      <w:r w:rsidR="007D09EA" w:rsidRPr="007D09EA">
        <w:rPr>
          <w:rFonts w:ascii="Calibri" w:hAnsi="Calibri" w:cs="Calibri"/>
        </w:rPr>
        <w:t>those unemployed seeking employment and others unemployed and not seeking</w:t>
      </w:r>
      <w:r w:rsidR="007D09EA">
        <w:rPr>
          <w:rFonts w:ascii="Calibri" w:hAnsi="Calibri" w:cs="Calibri"/>
        </w:rPr>
        <w:t xml:space="preserve">) and </w:t>
      </w:r>
      <w:r w:rsidR="007D09EA" w:rsidRPr="007D09EA">
        <w:rPr>
          <w:rFonts w:ascii="Calibri" w:hAnsi="Calibri" w:cs="Calibri"/>
          <w:b/>
        </w:rPr>
        <w:t>6.7%</w:t>
      </w:r>
      <w:r w:rsidR="007D09EA">
        <w:rPr>
          <w:rFonts w:ascii="Calibri" w:hAnsi="Calibri" w:cs="Calibri"/>
        </w:rPr>
        <w:t xml:space="preserve"> had an </w:t>
      </w:r>
      <w:r w:rsidR="007D09EA" w:rsidRPr="007F5617">
        <w:rPr>
          <w:rFonts w:ascii="Calibri" w:hAnsi="Calibri" w:cs="Calibri"/>
        </w:rPr>
        <w:t>unconfirmed</w:t>
      </w:r>
      <w:r w:rsidR="007D09EA">
        <w:rPr>
          <w:rFonts w:ascii="Calibri" w:hAnsi="Calibri" w:cs="Calibri"/>
        </w:rPr>
        <w:t xml:space="preserve"> status.</w:t>
      </w:r>
      <w:r w:rsidR="009B6E5C">
        <w:rPr>
          <w:rFonts w:ascii="Calibri" w:hAnsi="Calibri" w:cs="Calibri"/>
        </w:rPr>
        <w:t xml:space="preserve">  Rates of </w:t>
      </w:r>
      <w:r w:rsidR="0019539C">
        <w:rPr>
          <w:rFonts w:ascii="Calibri" w:hAnsi="Calibri" w:cs="Calibri"/>
        </w:rPr>
        <w:t>‘</w:t>
      </w:r>
      <w:r w:rsidR="009B6E5C">
        <w:rPr>
          <w:rFonts w:ascii="Calibri" w:hAnsi="Calibri" w:cs="Calibri"/>
        </w:rPr>
        <w:t>non-participation</w:t>
      </w:r>
      <w:r w:rsidR="0019539C">
        <w:rPr>
          <w:rFonts w:ascii="Calibri" w:hAnsi="Calibri" w:cs="Calibri"/>
        </w:rPr>
        <w:t>’</w:t>
      </w:r>
      <w:r w:rsidR="009B6E5C">
        <w:rPr>
          <w:rFonts w:ascii="Calibri" w:hAnsi="Calibri" w:cs="Calibri"/>
        </w:rPr>
        <w:t xml:space="preserve"> and </w:t>
      </w:r>
      <w:r w:rsidR="0019539C">
        <w:rPr>
          <w:rFonts w:ascii="Calibri" w:hAnsi="Calibri" w:cs="Calibri"/>
        </w:rPr>
        <w:t>‘</w:t>
      </w:r>
      <w:r w:rsidR="009B6E5C">
        <w:rPr>
          <w:rFonts w:ascii="Calibri" w:hAnsi="Calibri" w:cs="Calibri"/>
        </w:rPr>
        <w:t>unconfirmed</w:t>
      </w:r>
      <w:r w:rsidR="0019539C">
        <w:rPr>
          <w:rFonts w:ascii="Calibri" w:hAnsi="Calibri" w:cs="Calibri"/>
        </w:rPr>
        <w:t>’</w:t>
      </w:r>
      <w:r w:rsidR="009B6E5C">
        <w:rPr>
          <w:rFonts w:ascii="Calibri" w:hAnsi="Calibri" w:cs="Calibri"/>
        </w:rPr>
        <w:t xml:space="preserve"> were higher in Aberdeen City than in Scotland (3.7% and 5.3% respectively). </w:t>
      </w:r>
    </w:p>
    <w:p w14:paraId="55233FB1" w14:textId="3C1661F0" w:rsidR="001156DF" w:rsidRDefault="001156DF" w:rsidP="007D09EA">
      <w:pPr>
        <w:rPr>
          <w:rFonts w:ascii="Calibri" w:hAnsi="Calibri" w:cs="Calibri"/>
        </w:rPr>
      </w:pPr>
      <w:r>
        <w:rPr>
          <w:rFonts w:ascii="Calibri" w:hAnsi="Calibri" w:cs="Calibri"/>
        </w:rPr>
        <w:t xml:space="preserve">The proportion of females participating </w:t>
      </w:r>
      <w:r w:rsidR="008A5CCD">
        <w:rPr>
          <w:rFonts w:ascii="Calibri" w:hAnsi="Calibri" w:cs="Calibri"/>
        </w:rPr>
        <w:t>in Aberdeen City is higher than males (90.6% compared to 88.4%).  This is consistent with Scotland (91.6% compared to 90.5%).</w:t>
      </w:r>
    </w:p>
    <w:p w14:paraId="41B817C4" w14:textId="705A9991" w:rsidR="000C63B0" w:rsidRDefault="000C63B0" w:rsidP="007D09EA">
      <w:pPr>
        <w:rPr>
          <w:rFonts w:ascii="Calibri" w:hAnsi="Calibri" w:cs="Calibri"/>
        </w:rPr>
      </w:pPr>
      <w:r>
        <w:rPr>
          <w:rFonts w:ascii="Calibri" w:hAnsi="Calibri" w:cs="Calibri"/>
        </w:rPr>
        <w:t>Rates of participation varied across Scotland, ranging from low of 87.6% in Dundee City to a high of 96.9% in Eilean Siar.  Aberdeen City had the sixth lowest participation rate of all local authorities.</w:t>
      </w:r>
    </w:p>
    <w:p w14:paraId="5EC24E61" w14:textId="5CD2676F" w:rsidR="000C63B0" w:rsidRPr="000C63B0" w:rsidRDefault="000C63B0" w:rsidP="000172EC">
      <w:pPr>
        <w:ind w:left="0"/>
        <w:rPr>
          <w:rFonts w:ascii="Calibri" w:hAnsi="Calibri" w:cs="Calibri"/>
          <w:b/>
        </w:rPr>
      </w:pPr>
    </w:p>
    <w:p w14:paraId="507586A6" w14:textId="3FC1613C" w:rsidR="007D09EA" w:rsidRDefault="000C63B0" w:rsidP="000C63B0">
      <w:pPr>
        <w:rPr>
          <w:rFonts w:ascii="Calibri" w:hAnsi="Calibri" w:cs="Calibri"/>
        </w:rPr>
      </w:pPr>
      <w:r>
        <w:rPr>
          <w:noProof/>
        </w:rPr>
        <w:lastRenderedPageBreak/>
        <w:drawing>
          <wp:inline distT="0" distB="0" distL="0" distR="0" wp14:anchorId="7757EDDF" wp14:editId="0DFCAB16">
            <wp:extent cx="5402580" cy="2743200"/>
            <wp:effectExtent l="0" t="0" r="7620" b="0"/>
            <wp:docPr id="21" name="Chart 21">
              <a:extLst xmlns:a="http://schemas.openxmlformats.org/drawingml/2006/main">
                <a:ext uri="{FF2B5EF4-FFF2-40B4-BE49-F238E27FC236}">
                  <a16:creationId xmlns:a16="http://schemas.microsoft.com/office/drawing/2014/main" id="{A71A4535-7177-41C6-B053-7DEDDA543E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8BC23D8" w14:textId="4B2ED76C" w:rsidR="000C63B0" w:rsidRDefault="000C63B0" w:rsidP="007D09EA">
      <w:pPr>
        <w:rPr>
          <w:rFonts w:ascii="Calibri" w:hAnsi="Calibri" w:cs="Calibri"/>
          <w:sz w:val="16"/>
          <w:szCs w:val="16"/>
        </w:rPr>
      </w:pPr>
      <w:r w:rsidRPr="000C63B0">
        <w:rPr>
          <w:rFonts w:ascii="Calibri" w:hAnsi="Calibri" w:cs="Calibri"/>
          <w:sz w:val="16"/>
          <w:szCs w:val="16"/>
        </w:rPr>
        <w:t>Source: Skills Development Scotland, Annual Participation Measure 2017 (Supplementary Tables)</w:t>
      </w:r>
    </w:p>
    <w:p w14:paraId="5F0B1A68" w14:textId="2FDD242B" w:rsidR="00026A32" w:rsidRDefault="00026A32" w:rsidP="007D09EA">
      <w:pPr>
        <w:rPr>
          <w:rFonts w:ascii="Calibri" w:hAnsi="Calibri" w:cs="Calibri"/>
          <w:sz w:val="16"/>
          <w:szCs w:val="16"/>
        </w:rPr>
      </w:pPr>
    </w:p>
    <w:p w14:paraId="51C1514C" w14:textId="77777777" w:rsidR="00026A32" w:rsidRPr="000C63B0" w:rsidRDefault="00026A32" w:rsidP="007D09EA">
      <w:pPr>
        <w:rPr>
          <w:rFonts w:ascii="Calibri" w:hAnsi="Calibri" w:cs="Calibri"/>
          <w:sz w:val="16"/>
          <w:szCs w:val="16"/>
        </w:rPr>
      </w:pPr>
    </w:p>
    <w:p w14:paraId="7BE5659B" w14:textId="0C91ECA5" w:rsidR="000C63B0" w:rsidRDefault="003B22CD" w:rsidP="007D09EA">
      <w:pPr>
        <w:rPr>
          <w:rFonts w:ascii="Calibri" w:hAnsi="Calibri" w:cs="Calibri"/>
        </w:rPr>
      </w:pPr>
      <w:r>
        <w:rPr>
          <w:rFonts w:ascii="Calibri" w:hAnsi="Calibri" w:cs="Calibri"/>
        </w:rPr>
        <w:t>In Scotland, participation rates decrease with increasing deprivation (SIMD 2016 deciles), with 83.2% of those from the 10% most deprived areas participating compared to 96.8% of those in the 10% least deprived areas.  There were also differences in the type of participation by deprivation.  For example, those from the least deprived areas were more likely than those from the most deprived areas to enter higher education (30.5% compared to 10.5%), while those from the most deprived areas were more likely than those from the least deprived areas to enter further education (15.4% compared to 5.7%).</w:t>
      </w:r>
    </w:p>
    <w:p w14:paraId="55301B08" w14:textId="77777777" w:rsidR="00026A32" w:rsidRDefault="00026A32" w:rsidP="007D09EA">
      <w:pPr>
        <w:rPr>
          <w:rFonts w:ascii="Calibri" w:hAnsi="Calibri" w:cs="Calibri"/>
        </w:rPr>
      </w:pPr>
    </w:p>
    <w:p w14:paraId="2D19F545" w14:textId="53448211" w:rsidR="003B22CD" w:rsidRDefault="006B29D3" w:rsidP="00BE7B57">
      <w:pPr>
        <w:rPr>
          <w:rFonts w:ascii="Calibri" w:hAnsi="Calibri" w:cs="Calibri"/>
        </w:rPr>
      </w:pPr>
      <w:r>
        <w:rPr>
          <w:noProof/>
        </w:rPr>
        <w:drawing>
          <wp:inline distT="0" distB="0" distL="0" distR="0" wp14:anchorId="3B8E7A9E" wp14:editId="0AEE839C">
            <wp:extent cx="5233916" cy="2981960"/>
            <wp:effectExtent l="0" t="0" r="5080" b="8890"/>
            <wp:docPr id="23" name="Chart 23">
              <a:extLst xmlns:a="http://schemas.openxmlformats.org/drawingml/2006/main">
                <a:ext uri="{FF2B5EF4-FFF2-40B4-BE49-F238E27FC236}">
                  <a16:creationId xmlns:a16="http://schemas.microsoft.com/office/drawing/2014/main" id="{3E1540FD-80BE-47AD-8274-1B1D8E4B35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5EDBEE8" w14:textId="77777777" w:rsidR="00BE7B57" w:rsidRPr="000C63B0" w:rsidRDefault="00BE7B57" w:rsidP="00BE7B57">
      <w:pPr>
        <w:rPr>
          <w:rFonts w:ascii="Calibri" w:hAnsi="Calibri" w:cs="Calibri"/>
          <w:sz w:val="16"/>
          <w:szCs w:val="16"/>
        </w:rPr>
      </w:pPr>
      <w:r w:rsidRPr="000C63B0">
        <w:rPr>
          <w:rFonts w:ascii="Calibri" w:hAnsi="Calibri" w:cs="Calibri"/>
          <w:sz w:val="16"/>
          <w:szCs w:val="16"/>
        </w:rPr>
        <w:t>Source: Skills Development Scotland, Annual Participation Measure 2017 (Supplementary Tables)</w:t>
      </w:r>
    </w:p>
    <w:p w14:paraId="0FE6F6C1" w14:textId="4F2CFF9D" w:rsidR="0026724C" w:rsidRDefault="0026724C" w:rsidP="00FD3AA8">
      <w:pPr>
        <w:pStyle w:val="ListParagraph"/>
        <w:ind w:left="1440"/>
        <w:rPr>
          <w:highlight w:val="yellow"/>
        </w:rPr>
      </w:pPr>
    </w:p>
    <w:p w14:paraId="50A104A7" w14:textId="77777777" w:rsidR="00394DA2" w:rsidRPr="00394DA2" w:rsidRDefault="00394DA2" w:rsidP="00394DA2">
      <w:pPr>
        <w:pStyle w:val="ListParagraph"/>
        <w:rPr>
          <w:highlight w:val="yellow"/>
        </w:rPr>
      </w:pPr>
    </w:p>
    <w:p w14:paraId="28013027" w14:textId="77777777" w:rsidR="00394DA2" w:rsidRPr="00833F54" w:rsidRDefault="00394DA2" w:rsidP="00394DA2">
      <w:pPr>
        <w:pStyle w:val="ListParagraph"/>
        <w:ind w:left="1440"/>
        <w:rPr>
          <w:highlight w:val="yellow"/>
        </w:rPr>
      </w:pPr>
    </w:p>
    <w:p w14:paraId="56FC82C8" w14:textId="77777777" w:rsidR="00026A32" w:rsidRDefault="00026A32" w:rsidP="00772123">
      <w:pPr>
        <w:pStyle w:val="ListParagraph"/>
        <w:ind w:left="1440"/>
      </w:pPr>
    </w:p>
    <w:p w14:paraId="68D28685" w14:textId="6FDC6C3A" w:rsidR="00696C57" w:rsidRDefault="001E4927" w:rsidP="001E4927">
      <w:pPr>
        <w:pStyle w:val="Heading2"/>
        <w:numPr>
          <w:ilvl w:val="1"/>
          <w:numId w:val="4"/>
        </w:numPr>
      </w:pPr>
      <w:bookmarkStart w:id="44" w:name="_Toc519088577"/>
      <w:r>
        <w:lastRenderedPageBreak/>
        <w:t>F</w:t>
      </w:r>
      <w:r w:rsidR="00394DA2">
        <w:t xml:space="preserve">ree </w:t>
      </w:r>
      <w:r>
        <w:t>S</w:t>
      </w:r>
      <w:r w:rsidR="00394DA2">
        <w:t xml:space="preserve">chool </w:t>
      </w:r>
      <w:r>
        <w:t>M</w:t>
      </w:r>
      <w:r w:rsidR="00394DA2">
        <w:t>eals</w:t>
      </w:r>
      <w:bookmarkEnd w:id="44"/>
    </w:p>
    <w:p w14:paraId="6DACD3DB" w14:textId="5481109F" w:rsidR="001E4927" w:rsidRDefault="0041217A" w:rsidP="0041217A">
      <w:pPr>
        <w:spacing w:before="240"/>
        <w:ind w:left="721" w:hanging="1"/>
        <w:rPr>
          <w:rFonts w:ascii="Calibri" w:hAnsi="Calibri" w:cs="Calibri"/>
        </w:rPr>
      </w:pPr>
      <w:r w:rsidRPr="0041217A">
        <w:rPr>
          <w:rFonts w:ascii="Calibri" w:hAnsi="Calibri" w:cs="Calibri"/>
        </w:rPr>
        <w:t xml:space="preserve">In February 2017 </w:t>
      </w:r>
      <w:r w:rsidR="001E4927" w:rsidRPr="0041217A">
        <w:rPr>
          <w:rFonts w:ascii="Calibri" w:hAnsi="Calibri" w:cs="Calibri"/>
        </w:rPr>
        <w:t xml:space="preserve">52.6% of primary school pupils in Aberdeen were registered for FSM in mainstream local authority schools.  All P1-P3 primary school pupils are entitled to free school meals.  The proportion of P4-P7 pupils who were registered for FSM varied by school, ranging from a low of 0-&lt;5% to a high of 40-&lt;45%.  At secondary school level, a total of 9.0% of pupils were registered for a FSM, although again there was variation between schools with the proportion of pupils registered ranging from a low of 2.8% to a high of 28.1%.   At Aberdeen City’s special schools 30.8% of pupils were registered for a FSM.    </w:t>
      </w:r>
      <w:r w:rsidRPr="0041217A">
        <w:rPr>
          <w:rFonts w:ascii="Calibri" w:hAnsi="Calibri" w:cs="Calibri"/>
        </w:rPr>
        <w:t>The table below</w:t>
      </w:r>
      <w:r w:rsidR="001E4927" w:rsidRPr="0041217A">
        <w:rPr>
          <w:rFonts w:ascii="Calibri" w:hAnsi="Calibri" w:cs="Calibri"/>
        </w:rPr>
        <w:t xml:space="preserve"> shows the number and percentage of school pupils registered for free school meals in Aberdeen City, together with the percentage of pupils who were registered for a FSM and present on the day of the survey who took a FSM. </w:t>
      </w:r>
      <w:r w:rsidR="0019539C">
        <w:rPr>
          <w:rFonts w:ascii="Calibri" w:hAnsi="Calibri" w:cs="Calibri"/>
        </w:rPr>
        <w:t>Almost a quarter of primary pupils and a third of secondary pupils who were registered, did not take a FSM on the day of the survey.</w:t>
      </w:r>
    </w:p>
    <w:p w14:paraId="1A486668" w14:textId="2F50C103" w:rsidR="001E4927" w:rsidRPr="0041217A" w:rsidRDefault="001E4927" w:rsidP="00026A32">
      <w:pPr>
        <w:spacing w:before="240"/>
        <w:jc w:val="both"/>
        <w:rPr>
          <w:rFonts w:ascii="Calibri" w:hAnsi="Calibri" w:cs="Calibri"/>
          <w:b/>
        </w:rPr>
      </w:pPr>
      <w:r w:rsidRPr="0041217A">
        <w:rPr>
          <w:rFonts w:ascii="Calibri" w:hAnsi="Calibri" w:cs="Calibri"/>
          <w:b/>
        </w:rPr>
        <w:t>Pupils registered for free school meals, Aberdeen City, 2017</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3"/>
        <w:gridCol w:w="1870"/>
        <w:gridCol w:w="1870"/>
        <w:gridCol w:w="1871"/>
      </w:tblGrid>
      <w:tr w:rsidR="001E4927" w:rsidRPr="0041217A" w14:paraId="46109C31" w14:textId="77777777" w:rsidTr="00772123">
        <w:trPr>
          <w:trHeight w:val="340"/>
        </w:trPr>
        <w:tc>
          <w:tcPr>
            <w:tcW w:w="2523" w:type="dxa"/>
            <w:tcBorders>
              <w:top w:val="single" w:sz="4" w:space="0" w:color="auto"/>
              <w:left w:val="single" w:sz="4" w:space="0" w:color="auto"/>
              <w:bottom w:val="single" w:sz="4" w:space="0" w:color="auto"/>
              <w:right w:val="single" w:sz="4" w:space="0" w:color="auto"/>
            </w:tcBorders>
            <w:shd w:val="clear" w:color="auto" w:fill="DBE5F1"/>
            <w:vAlign w:val="center"/>
          </w:tcPr>
          <w:p w14:paraId="668D6258" w14:textId="77777777" w:rsidR="001E4927" w:rsidRPr="0041217A" w:rsidRDefault="001E4927" w:rsidP="00026A32">
            <w:pPr>
              <w:ind w:left="0"/>
              <w:jc w:val="both"/>
              <w:rPr>
                <w:rFonts w:ascii="Calibri" w:hAnsi="Calibri" w:cs="Calibri"/>
                <w:b/>
                <w:sz w:val="20"/>
                <w:lang w:val="en-US"/>
              </w:rPr>
            </w:pPr>
            <w:r w:rsidRPr="0041217A">
              <w:rPr>
                <w:rFonts w:ascii="Calibri" w:hAnsi="Calibri" w:cs="Calibri"/>
                <w:b/>
                <w:sz w:val="20"/>
                <w:lang w:val="en-US"/>
              </w:rPr>
              <w:t>Year</w:t>
            </w:r>
          </w:p>
        </w:tc>
        <w:tc>
          <w:tcPr>
            <w:tcW w:w="1870" w:type="dxa"/>
            <w:tcBorders>
              <w:top w:val="single" w:sz="4" w:space="0" w:color="auto"/>
              <w:left w:val="single" w:sz="4" w:space="0" w:color="auto"/>
              <w:bottom w:val="single" w:sz="4" w:space="0" w:color="auto"/>
              <w:right w:val="single" w:sz="4" w:space="0" w:color="auto"/>
            </w:tcBorders>
            <w:shd w:val="clear" w:color="auto" w:fill="DBE5F1"/>
            <w:vAlign w:val="center"/>
          </w:tcPr>
          <w:p w14:paraId="5902BD82" w14:textId="77777777" w:rsidR="001E4927" w:rsidRPr="0041217A" w:rsidRDefault="001E4927" w:rsidP="00026A32">
            <w:pPr>
              <w:ind w:left="0"/>
              <w:jc w:val="center"/>
              <w:rPr>
                <w:rFonts w:ascii="Calibri" w:hAnsi="Calibri" w:cs="Calibri"/>
                <w:b/>
                <w:sz w:val="20"/>
                <w:lang w:val="en-US"/>
              </w:rPr>
            </w:pPr>
            <w:r w:rsidRPr="0041217A">
              <w:rPr>
                <w:rFonts w:ascii="Calibri" w:hAnsi="Calibri" w:cs="Calibri"/>
                <w:b/>
                <w:sz w:val="20"/>
                <w:lang w:val="en-US"/>
              </w:rPr>
              <w:t>Number of pupils registered for FSM</w:t>
            </w:r>
          </w:p>
        </w:tc>
        <w:tc>
          <w:tcPr>
            <w:tcW w:w="1870" w:type="dxa"/>
            <w:tcBorders>
              <w:top w:val="single" w:sz="4" w:space="0" w:color="auto"/>
              <w:left w:val="single" w:sz="4" w:space="0" w:color="auto"/>
              <w:bottom w:val="single" w:sz="4" w:space="0" w:color="auto"/>
              <w:right w:val="single" w:sz="4" w:space="0" w:color="auto"/>
            </w:tcBorders>
            <w:shd w:val="clear" w:color="auto" w:fill="DBE5F1"/>
            <w:vAlign w:val="center"/>
          </w:tcPr>
          <w:p w14:paraId="592D0183" w14:textId="77777777" w:rsidR="001E4927" w:rsidRPr="0041217A" w:rsidRDefault="001E4927" w:rsidP="00026A32">
            <w:pPr>
              <w:ind w:left="0"/>
              <w:jc w:val="center"/>
              <w:rPr>
                <w:rFonts w:ascii="Calibri" w:hAnsi="Calibri" w:cs="Calibri"/>
                <w:b/>
                <w:sz w:val="20"/>
                <w:lang w:val="en-US"/>
              </w:rPr>
            </w:pPr>
            <w:r w:rsidRPr="0041217A">
              <w:rPr>
                <w:rFonts w:ascii="Calibri" w:hAnsi="Calibri" w:cs="Calibri"/>
                <w:b/>
                <w:sz w:val="20"/>
                <w:lang w:val="en-US"/>
              </w:rPr>
              <w:t>Number registered as percentage of school roll</w:t>
            </w:r>
          </w:p>
        </w:tc>
        <w:tc>
          <w:tcPr>
            <w:tcW w:w="1871" w:type="dxa"/>
            <w:tcBorders>
              <w:top w:val="single" w:sz="4" w:space="0" w:color="auto"/>
              <w:left w:val="single" w:sz="4" w:space="0" w:color="auto"/>
              <w:bottom w:val="single" w:sz="4" w:space="0" w:color="auto"/>
              <w:right w:val="single" w:sz="4" w:space="0" w:color="auto"/>
            </w:tcBorders>
            <w:shd w:val="clear" w:color="auto" w:fill="DBE5F1"/>
            <w:vAlign w:val="center"/>
          </w:tcPr>
          <w:p w14:paraId="2E9FDDE6" w14:textId="77777777" w:rsidR="001E4927" w:rsidRPr="0041217A" w:rsidRDefault="001E4927" w:rsidP="00026A32">
            <w:pPr>
              <w:ind w:left="0"/>
              <w:jc w:val="center"/>
              <w:rPr>
                <w:rFonts w:ascii="Calibri" w:hAnsi="Calibri" w:cs="Calibri"/>
                <w:b/>
                <w:sz w:val="20"/>
                <w:lang w:val="en-US"/>
              </w:rPr>
            </w:pPr>
            <w:r w:rsidRPr="0041217A">
              <w:rPr>
                <w:rFonts w:ascii="Calibri" w:hAnsi="Calibri" w:cs="Calibri"/>
                <w:b/>
                <w:sz w:val="20"/>
                <w:lang w:val="en-US"/>
              </w:rPr>
              <w:t>Registered and present who took a FSM</w:t>
            </w:r>
          </w:p>
        </w:tc>
      </w:tr>
      <w:tr w:rsidR="001E4927" w:rsidRPr="0041217A" w14:paraId="4B595656" w14:textId="77777777" w:rsidTr="00772123">
        <w:trPr>
          <w:trHeight w:val="340"/>
        </w:trPr>
        <w:tc>
          <w:tcPr>
            <w:tcW w:w="2523" w:type="dxa"/>
            <w:tcBorders>
              <w:top w:val="single" w:sz="4" w:space="0" w:color="auto"/>
              <w:left w:val="single" w:sz="4" w:space="0" w:color="000000"/>
              <w:bottom w:val="single" w:sz="4" w:space="0" w:color="000000"/>
              <w:right w:val="single" w:sz="4" w:space="0" w:color="000000"/>
            </w:tcBorders>
            <w:vAlign w:val="center"/>
          </w:tcPr>
          <w:p w14:paraId="0644E343" w14:textId="77777777" w:rsidR="001E4927" w:rsidRPr="0041217A" w:rsidRDefault="001E4927" w:rsidP="00026A32">
            <w:pPr>
              <w:ind w:left="0"/>
              <w:rPr>
                <w:rFonts w:ascii="Calibri" w:hAnsi="Calibri" w:cs="Calibri"/>
                <w:sz w:val="20"/>
                <w:lang w:val="en-US"/>
              </w:rPr>
            </w:pPr>
            <w:r w:rsidRPr="0041217A">
              <w:rPr>
                <w:rFonts w:ascii="Calibri" w:hAnsi="Calibri" w:cs="Calibri"/>
                <w:sz w:val="20"/>
                <w:lang w:val="en-US"/>
              </w:rPr>
              <w:t>Primary</w:t>
            </w:r>
          </w:p>
        </w:tc>
        <w:tc>
          <w:tcPr>
            <w:tcW w:w="1870" w:type="dxa"/>
            <w:tcBorders>
              <w:top w:val="single" w:sz="4" w:space="0" w:color="auto"/>
              <w:left w:val="single" w:sz="4" w:space="0" w:color="000000"/>
              <w:bottom w:val="single" w:sz="4" w:space="0" w:color="000000"/>
              <w:right w:val="single" w:sz="4" w:space="0" w:color="000000"/>
            </w:tcBorders>
            <w:vAlign w:val="center"/>
          </w:tcPr>
          <w:p w14:paraId="1BCF448E" w14:textId="77777777" w:rsidR="001E4927" w:rsidRPr="0041217A" w:rsidRDefault="001E4927" w:rsidP="00026A32">
            <w:pPr>
              <w:ind w:left="0"/>
              <w:jc w:val="center"/>
              <w:rPr>
                <w:rFonts w:ascii="Calibri" w:hAnsi="Calibri" w:cs="Calibri"/>
                <w:color w:val="000000"/>
                <w:sz w:val="20"/>
              </w:rPr>
            </w:pPr>
            <w:r w:rsidRPr="0041217A">
              <w:rPr>
                <w:rFonts w:ascii="Calibri" w:hAnsi="Calibri" w:cs="Calibri"/>
                <w:color w:val="000000"/>
                <w:sz w:val="20"/>
              </w:rPr>
              <w:t>7,187</w:t>
            </w:r>
          </w:p>
        </w:tc>
        <w:tc>
          <w:tcPr>
            <w:tcW w:w="1870" w:type="dxa"/>
            <w:tcBorders>
              <w:top w:val="single" w:sz="4" w:space="0" w:color="auto"/>
              <w:left w:val="single" w:sz="4" w:space="0" w:color="000000"/>
              <w:bottom w:val="single" w:sz="4" w:space="0" w:color="000000"/>
              <w:right w:val="single" w:sz="4" w:space="0" w:color="000000"/>
            </w:tcBorders>
            <w:vAlign w:val="center"/>
          </w:tcPr>
          <w:p w14:paraId="7985AC70" w14:textId="77777777" w:rsidR="001E4927" w:rsidRPr="0041217A" w:rsidRDefault="001E4927" w:rsidP="00026A32">
            <w:pPr>
              <w:ind w:left="0"/>
              <w:jc w:val="center"/>
              <w:rPr>
                <w:rFonts w:ascii="Calibri" w:hAnsi="Calibri" w:cs="Calibri"/>
                <w:sz w:val="20"/>
                <w:lang w:val="en-US"/>
              </w:rPr>
            </w:pPr>
            <w:r w:rsidRPr="0041217A">
              <w:rPr>
                <w:rFonts w:ascii="Calibri" w:hAnsi="Calibri" w:cs="Calibri"/>
                <w:sz w:val="20"/>
                <w:lang w:val="en-US"/>
              </w:rPr>
              <w:t>52.6%</w:t>
            </w:r>
          </w:p>
        </w:tc>
        <w:tc>
          <w:tcPr>
            <w:tcW w:w="1871" w:type="dxa"/>
            <w:tcBorders>
              <w:top w:val="single" w:sz="4" w:space="0" w:color="auto"/>
              <w:left w:val="single" w:sz="4" w:space="0" w:color="000000"/>
              <w:bottom w:val="single" w:sz="4" w:space="0" w:color="000000"/>
              <w:right w:val="single" w:sz="4" w:space="0" w:color="000000"/>
            </w:tcBorders>
            <w:vAlign w:val="center"/>
          </w:tcPr>
          <w:p w14:paraId="18352F03" w14:textId="77777777" w:rsidR="001E4927" w:rsidRPr="0041217A" w:rsidRDefault="001E4927" w:rsidP="00026A32">
            <w:pPr>
              <w:ind w:left="0"/>
              <w:jc w:val="center"/>
              <w:rPr>
                <w:rFonts w:ascii="Calibri" w:hAnsi="Calibri" w:cs="Calibri"/>
                <w:sz w:val="20"/>
                <w:lang w:val="en-US"/>
              </w:rPr>
            </w:pPr>
            <w:r w:rsidRPr="0041217A">
              <w:rPr>
                <w:rFonts w:ascii="Calibri" w:hAnsi="Calibri" w:cs="Calibri"/>
                <w:sz w:val="20"/>
                <w:lang w:val="en-US"/>
              </w:rPr>
              <w:t>76.9%</w:t>
            </w:r>
          </w:p>
        </w:tc>
      </w:tr>
      <w:tr w:rsidR="001E4927" w:rsidRPr="0041217A" w14:paraId="302F1851" w14:textId="77777777" w:rsidTr="00772123">
        <w:trPr>
          <w:trHeight w:val="340"/>
        </w:trPr>
        <w:tc>
          <w:tcPr>
            <w:tcW w:w="2523" w:type="dxa"/>
            <w:tcBorders>
              <w:top w:val="single" w:sz="4" w:space="0" w:color="000000"/>
              <w:left w:val="single" w:sz="4" w:space="0" w:color="000000"/>
              <w:bottom w:val="single" w:sz="4" w:space="0" w:color="000000"/>
              <w:right w:val="single" w:sz="4" w:space="0" w:color="000000"/>
            </w:tcBorders>
            <w:vAlign w:val="center"/>
          </w:tcPr>
          <w:p w14:paraId="3D520FB0" w14:textId="77777777" w:rsidR="001E4927" w:rsidRPr="0041217A" w:rsidRDefault="001E4927" w:rsidP="00026A32">
            <w:pPr>
              <w:ind w:left="0"/>
              <w:rPr>
                <w:rFonts w:ascii="Calibri" w:hAnsi="Calibri" w:cs="Calibri"/>
                <w:sz w:val="20"/>
                <w:lang w:val="en-US"/>
              </w:rPr>
            </w:pPr>
            <w:r w:rsidRPr="0041217A">
              <w:rPr>
                <w:rFonts w:ascii="Calibri" w:hAnsi="Calibri" w:cs="Calibri"/>
                <w:sz w:val="20"/>
                <w:lang w:val="en-US"/>
              </w:rPr>
              <w:t>Secondary</w:t>
            </w:r>
          </w:p>
        </w:tc>
        <w:tc>
          <w:tcPr>
            <w:tcW w:w="1870" w:type="dxa"/>
            <w:tcBorders>
              <w:top w:val="single" w:sz="4" w:space="0" w:color="000000"/>
              <w:left w:val="single" w:sz="4" w:space="0" w:color="000000"/>
              <w:bottom w:val="single" w:sz="4" w:space="0" w:color="000000"/>
              <w:right w:val="single" w:sz="4" w:space="0" w:color="000000"/>
            </w:tcBorders>
            <w:vAlign w:val="center"/>
          </w:tcPr>
          <w:p w14:paraId="1030A2BD" w14:textId="77777777" w:rsidR="001E4927" w:rsidRPr="0041217A" w:rsidRDefault="001E4927" w:rsidP="00026A32">
            <w:pPr>
              <w:ind w:left="0"/>
              <w:jc w:val="center"/>
              <w:rPr>
                <w:rFonts w:ascii="Calibri" w:hAnsi="Calibri" w:cs="Calibri"/>
                <w:color w:val="000000"/>
                <w:sz w:val="20"/>
              </w:rPr>
            </w:pPr>
            <w:r w:rsidRPr="0041217A">
              <w:rPr>
                <w:rFonts w:ascii="Calibri" w:hAnsi="Calibri" w:cs="Calibri"/>
                <w:color w:val="000000"/>
                <w:sz w:val="20"/>
              </w:rPr>
              <w:t>763</w:t>
            </w:r>
          </w:p>
        </w:tc>
        <w:tc>
          <w:tcPr>
            <w:tcW w:w="1870" w:type="dxa"/>
            <w:tcBorders>
              <w:top w:val="single" w:sz="4" w:space="0" w:color="000000"/>
              <w:left w:val="single" w:sz="4" w:space="0" w:color="000000"/>
              <w:bottom w:val="single" w:sz="4" w:space="0" w:color="000000"/>
              <w:right w:val="single" w:sz="4" w:space="0" w:color="000000"/>
            </w:tcBorders>
            <w:vAlign w:val="center"/>
          </w:tcPr>
          <w:p w14:paraId="34DFF14C" w14:textId="77777777" w:rsidR="001E4927" w:rsidRPr="0041217A" w:rsidRDefault="001E4927" w:rsidP="00026A32">
            <w:pPr>
              <w:ind w:left="0"/>
              <w:jc w:val="center"/>
              <w:rPr>
                <w:rFonts w:ascii="Calibri" w:hAnsi="Calibri" w:cs="Calibri"/>
                <w:sz w:val="20"/>
                <w:lang w:val="en-US"/>
              </w:rPr>
            </w:pPr>
            <w:r w:rsidRPr="0041217A">
              <w:rPr>
                <w:rFonts w:ascii="Calibri" w:hAnsi="Calibri" w:cs="Calibri"/>
                <w:sz w:val="20"/>
                <w:lang w:val="en-US"/>
              </w:rPr>
              <w:t>9.0%</w:t>
            </w:r>
          </w:p>
        </w:tc>
        <w:tc>
          <w:tcPr>
            <w:tcW w:w="1871" w:type="dxa"/>
            <w:tcBorders>
              <w:top w:val="single" w:sz="4" w:space="0" w:color="000000"/>
              <w:left w:val="single" w:sz="4" w:space="0" w:color="000000"/>
              <w:bottom w:val="single" w:sz="4" w:space="0" w:color="000000"/>
              <w:right w:val="single" w:sz="4" w:space="0" w:color="000000"/>
            </w:tcBorders>
            <w:vAlign w:val="center"/>
          </w:tcPr>
          <w:p w14:paraId="0E38B2C6" w14:textId="77777777" w:rsidR="001E4927" w:rsidRPr="0041217A" w:rsidRDefault="001E4927" w:rsidP="00026A32">
            <w:pPr>
              <w:ind w:left="0"/>
              <w:jc w:val="center"/>
              <w:rPr>
                <w:rFonts w:ascii="Calibri" w:hAnsi="Calibri" w:cs="Calibri"/>
                <w:sz w:val="20"/>
                <w:lang w:val="en-US"/>
              </w:rPr>
            </w:pPr>
            <w:r w:rsidRPr="0041217A">
              <w:rPr>
                <w:rFonts w:ascii="Calibri" w:hAnsi="Calibri" w:cs="Calibri"/>
                <w:sz w:val="20"/>
                <w:lang w:val="en-US"/>
              </w:rPr>
              <w:t>68.1%</w:t>
            </w:r>
          </w:p>
        </w:tc>
      </w:tr>
      <w:tr w:rsidR="001E4927" w:rsidRPr="0041217A" w14:paraId="17FE0CAC" w14:textId="77777777" w:rsidTr="00772123">
        <w:trPr>
          <w:trHeight w:val="340"/>
        </w:trPr>
        <w:tc>
          <w:tcPr>
            <w:tcW w:w="2523" w:type="dxa"/>
            <w:tcBorders>
              <w:top w:val="single" w:sz="4" w:space="0" w:color="000000"/>
              <w:left w:val="single" w:sz="4" w:space="0" w:color="000000"/>
              <w:bottom w:val="single" w:sz="4" w:space="0" w:color="000000"/>
              <w:right w:val="single" w:sz="4" w:space="0" w:color="000000"/>
            </w:tcBorders>
            <w:vAlign w:val="center"/>
          </w:tcPr>
          <w:p w14:paraId="19C4B2B8" w14:textId="77777777" w:rsidR="001E4927" w:rsidRPr="0041217A" w:rsidRDefault="001E4927" w:rsidP="00026A32">
            <w:pPr>
              <w:ind w:left="0"/>
              <w:rPr>
                <w:rFonts w:ascii="Calibri" w:hAnsi="Calibri" w:cs="Calibri"/>
                <w:sz w:val="20"/>
                <w:lang w:val="en-US"/>
              </w:rPr>
            </w:pPr>
            <w:r w:rsidRPr="0041217A">
              <w:rPr>
                <w:rFonts w:ascii="Calibri" w:hAnsi="Calibri" w:cs="Calibri"/>
                <w:sz w:val="20"/>
                <w:lang w:val="en-US"/>
              </w:rPr>
              <w:t>Special</w:t>
            </w:r>
          </w:p>
        </w:tc>
        <w:tc>
          <w:tcPr>
            <w:tcW w:w="1870" w:type="dxa"/>
            <w:tcBorders>
              <w:top w:val="single" w:sz="4" w:space="0" w:color="000000"/>
              <w:left w:val="single" w:sz="4" w:space="0" w:color="000000"/>
              <w:bottom w:val="single" w:sz="4" w:space="0" w:color="000000"/>
              <w:right w:val="single" w:sz="4" w:space="0" w:color="000000"/>
            </w:tcBorders>
            <w:vAlign w:val="center"/>
          </w:tcPr>
          <w:p w14:paraId="2A0907C6" w14:textId="77777777" w:rsidR="001E4927" w:rsidRPr="0041217A" w:rsidRDefault="001E4927" w:rsidP="00026A32">
            <w:pPr>
              <w:ind w:left="0"/>
              <w:jc w:val="center"/>
              <w:rPr>
                <w:rFonts w:ascii="Calibri" w:hAnsi="Calibri" w:cs="Calibri"/>
                <w:color w:val="000000"/>
                <w:sz w:val="20"/>
              </w:rPr>
            </w:pPr>
            <w:r w:rsidRPr="0041217A">
              <w:rPr>
                <w:rFonts w:ascii="Calibri" w:hAnsi="Calibri" w:cs="Calibri"/>
                <w:color w:val="000000"/>
                <w:sz w:val="20"/>
              </w:rPr>
              <w:t>44</w:t>
            </w:r>
          </w:p>
        </w:tc>
        <w:tc>
          <w:tcPr>
            <w:tcW w:w="1870" w:type="dxa"/>
            <w:tcBorders>
              <w:top w:val="single" w:sz="4" w:space="0" w:color="000000"/>
              <w:left w:val="single" w:sz="4" w:space="0" w:color="000000"/>
              <w:bottom w:val="single" w:sz="4" w:space="0" w:color="000000"/>
              <w:right w:val="single" w:sz="4" w:space="0" w:color="000000"/>
            </w:tcBorders>
            <w:vAlign w:val="center"/>
          </w:tcPr>
          <w:p w14:paraId="377C02FC" w14:textId="77777777" w:rsidR="001E4927" w:rsidRPr="0041217A" w:rsidRDefault="001E4927" w:rsidP="00026A32">
            <w:pPr>
              <w:ind w:left="0"/>
              <w:jc w:val="center"/>
              <w:rPr>
                <w:rFonts w:ascii="Calibri" w:hAnsi="Calibri" w:cs="Calibri"/>
                <w:sz w:val="20"/>
                <w:lang w:val="en-US"/>
              </w:rPr>
            </w:pPr>
            <w:r w:rsidRPr="0041217A">
              <w:rPr>
                <w:rFonts w:ascii="Calibri" w:hAnsi="Calibri" w:cs="Calibri"/>
                <w:sz w:val="20"/>
                <w:lang w:val="en-US"/>
              </w:rPr>
              <w:t>30.8%</w:t>
            </w:r>
          </w:p>
        </w:tc>
        <w:tc>
          <w:tcPr>
            <w:tcW w:w="1871" w:type="dxa"/>
            <w:tcBorders>
              <w:top w:val="single" w:sz="4" w:space="0" w:color="000000"/>
              <w:left w:val="single" w:sz="4" w:space="0" w:color="000000"/>
              <w:bottom w:val="single" w:sz="4" w:space="0" w:color="000000"/>
              <w:right w:val="single" w:sz="4" w:space="0" w:color="000000"/>
            </w:tcBorders>
            <w:vAlign w:val="center"/>
          </w:tcPr>
          <w:p w14:paraId="2B8B3F09" w14:textId="77777777" w:rsidR="001E4927" w:rsidRPr="0041217A" w:rsidRDefault="001E4927" w:rsidP="00026A32">
            <w:pPr>
              <w:ind w:left="0"/>
              <w:jc w:val="center"/>
              <w:rPr>
                <w:rFonts w:ascii="Calibri" w:hAnsi="Calibri" w:cs="Calibri"/>
                <w:sz w:val="20"/>
                <w:lang w:val="en-US"/>
              </w:rPr>
            </w:pPr>
            <w:r w:rsidRPr="0041217A">
              <w:rPr>
                <w:rFonts w:ascii="Calibri" w:hAnsi="Calibri" w:cs="Calibri"/>
                <w:sz w:val="20"/>
                <w:lang w:val="en-US"/>
              </w:rPr>
              <w:t>100%</w:t>
            </w:r>
          </w:p>
        </w:tc>
      </w:tr>
    </w:tbl>
    <w:p w14:paraId="0838D224" w14:textId="6BA69573" w:rsidR="001E4927" w:rsidRPr="0041217A" w:rsidRDefault="001E4927" w:rsidP="001E4927">
      <w:pPr>
        <w:rPr>
          <w:rFonts w:ascii="Calibri" w:hAnsi="Calibri" w:cs="Calibri"/>
          <w:sz w:val="16"/>
          <w:szCs w:val="16"/>
        </w:rPr>
      </w:pPr>
      <w:r w:rsidRPr="0041217A">
        <w:rPr>
          <w:rFonts w:ascii="Calibri" w:hAnsi="Calibri" w:cs="Calibri"/>
          <w:sz w:val="16"/>
          <w:szCs w:val="16"/>
        </w:rPr>
        <w:t>Source: Scottish Government, School Meals Data set 2017</w:t>
      </w:r>
    </w:p>
    <w:p w14:paraId="2C860EB7" w14:textId="4D439C26" w:rsidR="001E4927" w:rsidRPr="0041217A" w:rsidRDefault="001E4927" w:rsidP="001E4927">
      <w:pPr>
        <w:autoSpaceDE w:val="0"/>
        <w:autoSpaceDN w:val="0"/>
        <w:adjustRightInd w:val="0"/>
        <w:spacing w:before="240"/>
        <w:ind w:left="721" w:hanging="902"/>
        <w:rPr>
          <w:rFonts w:ascii="Calibri" w:hAnsi="Calibri" w:cs="Calibri"/>
          <w:color w:val="FF0000"/>
          <w:lang w:val="en-US"/>
        </w:rPr>
      </w:pPr>
      <w:r w:rsidRPr="0041217A">
        <w:rPr>
          <w:rFonts w:ascii="Calibri" w:hAnsi="Calibri" w:cs="Calibri"/>
          <w:lang w:val="en-US"/>
        </w:rPr>
        <w:tab/>
      </w:r>
      <w:r w:rsidR="0041217A" w:rsidRPr="0041217A">
        <w:rPr>
          <w:rFonts w:ascii="Calibri" w:hAnsi="Calibri" w:cs="Calibri"/>
          <w:b/>
          <w:lang w:val="en-US"/>
        </w:rPr>
        <w:t>Free breakfasts:</w:t>
      </w:r>
      <w:r w:rsidR="0041217A" w:rsidRPr="0041217A">
        <w:rPr>
          <w:rFonts w:ascii="Calibri" w:hAnsi="Calibri" w:cs="Calibri"/>
          <w:lang w:val="en-US"/>
        </w:rPr>
        <w:t xml:space="preserve">  </w:t>
      </w:r>
      <w:r w:rsidRPr="0041217A">
        <w:rPr>
          <w:rFonts w:ascii="Calibri" w:hAnsi="Calibri" w:cs="Calibri"/>
          <w:lang w:val="en-US"/>
        </w:rPr>
        <w:t>Aberdeen City Council currently runs a free breakfast service at seven primary schools in areas of the city with high levels of deprivation.</w:t>
      </w:r>
      <w:r w:rsidRPr="0041217A">
        <w:rPr>
          <w:rFonts w:ascii="Calibri" w:hAnsi="Calibri" w:cs="Calibri"/>
          <w:color w:val="FF0000"/>
          <w:lang w:val="en-US"/>
        </w:rPr>
        <w:t xml:space="preserve"> </w:t>
      </w:r>
      <w:r w:rsidR="0041217A" w:rsidRPr="0041217A">
        <w:rPr>
          <w:rFonts w:ascii="Calibri" w:hAnsi="Calibri" w:cs="Calibri"/>
          <w:lang w:val="en-US"/>
        </w:rPr>
        <w:t>The Table</w:t>
      </w:r>
      <w:r w:rsidRPr="0041217A">
        <w:rPr>
          <w:rFonts w:ascii="Calibri" w:hAnsi="Calibri" w:cs="Calibri"/>
          <w:lang w:val="en-US"/>
        </w:rPr>
        <w:t xml:space="preserve"> shows the schools and the average number of pupils attending free breakfast in September 2017.</w:t>
      </w:r>
      <w:r w:rsidRPr="0041217A">
        <w:rPr>
          <w:rFonts w:ascii="Calibri" w:hAnsi="Calibri" w:cs="Calibri"/>
          <w:color w:val="FF0000"/>
          <w:lang w:val="en-US"/>
        </w:rPr>
        <w:t xml:space="preserve">  </w:t>
      </w:r>
    </w:p>
    <w:p w14:paraId="2DEF5D85" w14:textId="4344F7A6" w:rsidR="001E4927" w:rsidRPr="0041217A" w:rsidRDefault="001E4927" w:rsidP="001E4927">
      <w:pPr>
        <w:autoSpaceDE w:val="0"/>
        <w:autoSpaceDN w:val="0"/>
        <w:adjustRightInd w:val="0"/>
        <w:spacing w:before="240"/>
        <w:rPr>
          <w:rFonts w:ascii="Calibri" w:hAnsi="Calibri" w:cs="Calibri"/>
          <w:b/>
          <w:bCs/>
          <w:color w:val="FF0000"/>
          <w:lang w:val="en-US"/>
        </w:rPr>
      </w:pPr>
      <w:r w:rsidRPr="0041217A">
        <w:rPr>
          <w:rFonts w:ascii="Calibri" w:hAnsi="Calibri" w:cs="Calibri"/>
          <w:b/>
          <w:bCs/>
          <w:lang w:val="en-US"/>
        </w:rPr>
        <w:t>Average number of pupils attending free breakfast, September 2017</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3"/>
        <w:gridCol w:w="2693"/>
      </w:tblGrid>
      <w:tr w:rsidR="001E4927" w:rsidRPr="0041217A" w14:paraId="60551C72" w14:textId="77777777" w:rsidTr="006D1AB0">
        <w:trPr>
          <w:trHeight w:val="284"/>
        </w:trPr>
        <w:tc>
          <w:tcPr>
            <w:tcW w:w="4253" w:type="dxa"/>
            <w:tcBorders>
              <w:top w:val="single" w:sz="4" w:space="0" w:color="auto"/>
              <w:left w:val="single" w:sz="4" w:space="0" w:color="auto"/>
              <w:bottom w:val="single" w:sz="4" w:space="0" w:color="auto"/>
              <w:right w:val="single" w:sz="4" w:space="0" w:color="auto"/>
            </w:tcBorders>
            <w:shd w:val="clear" w:color="auto" w:fill="DBE5F1"/>
            <w:vAlign w:val="center"/>
          </w:tcPr>
          <w:p w14:paraId="52E38564" w14:textId="77777777" w:rsidR="001E4927" w:rsidRPr="0041217A" w:rsidRDefault="001E4927" w:rsidP="00026A32">
            <w:pPr>
              <w:autoSpaceDE w:val="0"/>
              <w:autoSpaceDN w:val="0"/>
              <w:adjustRightInd w:val="0"/>
              <w:spacing w:before="120" w:line="360" w:lineRule="auto"/>
              <w:ind w:left="0"/>
              <w:rPr>
                <w:rFonts w:ascii="Calibri" w:hAnsi="Calibri" w:cs="Calibri"/>
                <w:b/>
                <w:bCs/>
                <w:sz w:val="20"/>
                <w:lang w:val="en-US"/>
              </w:rPr>
            </w:pPr>
            <w:r w:rsidRPr="0041217A">
              <w:rPr>
                <w:rFonts w:ascii="Calibri" w:hAnsi="Calibri" w:cs="Calibri"/>
                <w:b/>
                <w:bCs/>
                <w:sz w:val="20"/>
                <w:lang w:val="en-US"/>
              </w:rPr>
              <w:t>School</w:t>
            </w:r>
          </w:p>
        </w:tc>
        <w:tc>
          <w:tcPr>
            <w:tcW w:w="2693" w:type="dxa"/>
            <w:tcBorders>
              <w:top w:val="single" w:sz="4" w:space="0" w:color="auto"/>
              <w:left w:val="single" w:sz="4" w:space="0" w:color="auto"/>
              <w:bottom w:val="single" w:sz="4" w:space="0" w:color="auto"/>
              <w:right w:val="single" w:sz="4" w:space="0" w:color="auto"/>
            </w:tcBorders>
            <w:shd w:val="clear" w:color="auto" w:fill="DBE5F1"/>
            <w:vAlign w:val="center"/>
          </w:tcPr>
          <w:p w14:paraId="7D813181" w14:textId="77777777" w:rsidR="001E4927" w:rsidRPr="0041217A" w:rsidRDefault="001E4927" w:rsidP="00026A32">
            <w:pPr>
              <w:autoSpaceDE w:val="0"/>
              <w:autoSpaceDN w:val="0"/>
              <w:adjustRightInd w:val="0"/>
              <w:spacing w:before="120" w:line="360" w:lineRule="auto"/>
              <w:ind w:left="0"/>
              <w:jc w:val="center"/>
              <w:rPr>
                <w:rFonts w:ascii="Calibri" w:hAnsi="Calibri" w:cs="Calibri"/>
                <w:b/>
                <w:bCs/>
                <w:sz w:val="20"/>
                <w:lang w:val="en-US"/>
              </w:rPr>
            </w:pPr>
            <w:r w:rsidRPr="0041217A">
              <w:rPr>
                <w:rFonts w:ascii="Calibri" w:hAnsi="Calibri" w:cs="Calibri"/>
                <w:b/>
                <w:bCs/>
                <w:sz w:val="20"/>
                <w:lang w:val="en-US"/>
              </w:rPr>
              <w:t>September 2017</w:t>
            </w:r>
          </w:p>
        </w:tc>
      </w:tr>
      <w:tr w:rsidR="001E4927" w:rsidRPr="0041217A" w14:paraId="231BAEBA" w14:textId="77777777" w:rsidTr="006D1AB0">
        <w:trPr>
          <w:trHeight w:val="284"/>
        </w:trPr>
        <w:tc>
          <w:tcPr>
            <w:tcW w:w="4253" w:type="dxa"/>
            <w:tcBorders>
              <w:top w:val="single" w:sz="4" w:space="0" w:color="auto"/>
            </w:tcBorders>
            <w:shd w:val="clear" w:color="auto" w:fill="auto"/>
            <w:vAlign w:val="center"/>
          </w:tcPr>
          <w:p w14:paraId="3C31218C" w14:textId="77777777" w:rsidR="001E4927" w:rsidRPr="0041217A" w:rsidRDefault="001E4927" w:rsidP="00026A32">
            <w:pPr>
              <w:autoSpaceDE w:val="0"/>
              <w:autoSpaceDN w:val="0"/>
              <w:adjustRightInd w:val="0"/>
              <w:ind w:left="0"/>
              <w:rPr>
                <w:rFonts w:ascii="Calibri" w:hAnsi="Calibri" w:cs="Calibri"/>
                <w:bCs/>
                <w:sz w:val="20"/>
                <w:lang w:val="en-US"/>
              </w:rPr>
            </w:pPr>
            <w:r w:rsidRPr="0041217A">
              <w:rPr>
                <w:rFonts w:ascii="Calibri" w:hAnsi="Calibri" w:cs="Calibri"/>
                <w:bCs/>
                <w:sz w:val="20"/>
                <w:lang w:val="en-US"/>
              </w:rPr>
              <w:t>Heathryburn School</w:t>
            </w:r>
          </w:p>
        </w:tc>
        <w:tc>
          <w:tcPr>
            <w:tcW w:w="2693" w:type="dxa"/>
            <w:tcBorders>
              <w:top w:val="single" w:sz="4" w:space="0" w:color="auto"/>
            </w:tcBorders>
            <w:vAlign w:val="center"/>
          </w:tcPr>
          <w:p w14:paraId="43E0D36C" w14:textId="77777777" w:rsidR="001E4927" w:rsidRPr="0041217A" w:rsidRDefault="001E4927" w:rsidP="00026A32">
            <w:pPr>
              <w:autoSpaceDE w:val="0"/>
              <w:autoSpaceDN w:val="0"/>
              <w:adjustRightInd w:val="0"/>
              <w:ind w:left="0"/>
              <w:jc w:val="center"/>
              <w:rPr>
                <w:rFonts w:ascii="Calibri" w:hAnsi="Calibri" w:cs="Calibri"/>
                <w:bCs/>
                <w:sz w:val="20"/>
                <w:lang w:val="en-US"/>
              </w:rPr>
            </w:pPr>
            <w:r w:rsidRPr="0041217A">
              <w:rPr>
                <w:rFonts w:ascii="Calibri" w:hAnsi="Calibri" w:cs="Calibri"/>
                <w:bCs/>
                <w:sz w:val="20"/>
                <w:lang w:val="en-US"/>
              </w:rPr>
              <w:t>56</w:t>
            </w:r>
          </w:p>
        </w:tc>
      </w:tr>
      <w:tr w:rsidR="001E4927" w:rsidRPr="0041217A" w14:paraId="6F91E065" w14:textId="77777777" w:rsidTr="006D1AB0">
        <w:trPr>
          <w:trHeight w:val="284"/>
        </w:trPr>
        <w:tc>
          <w:tcPr>
            <w:tcW w:w="4253" w:type="dxa"/>
            <w:shd w:val="clear" w:color="auto" w:fill="auto"/>
            <w:vAlign w:val="center"/>
          </w:tcPr>
          <w:p w14:paraId="780ADCE6" w14:textId="77777777" w:rsidR="001E4927" w:rsidRPr="0041217A" w:rsidRDefault="001E4927" w:rsidP="00026A32">
            <w:pPr>
              <w:autoSpaceDE w:val="0"/>
              <w:autoSpaceDN w:val="0"/>
              <w:adjustRightInd w:val="0"/>
              <w:ind w:left="0"/>
              <w:rPr>
                <w:rFonts w:ascii="Calibri" w:hAnsi="Calibri" w:cs="Calibri"/>
                <w:bCs/>
                <w:sz w:val="20"/>
                <w:lang w:val="en-US"/>
              </w:rPr>
            </w:pPr>
            <w:r w:rsidRPr="0041217A">
              <w:rPr>
                <w:rFonts w:ascii="Calibri" w:hAnsi="Calibri" w:cs="Calibri"/>
                <w:bCs/>
                <w:sz w:val="20"/>
                <w:lang w:val="en-US"/>
              </w:rPr>
              <w:t>Kittybrewster School</w:t>
            </w:r>
          </w:p>
        </w:tc>
        <w:tc>
          <w:tcPr>
            <w:tcW w:w="2693" w:type="dxa"/>
            <w:vAlign w:val="center"/>
          </w:tcPr>
          <w:p w14:paraId="53C960C2" w14:textId="77777777" w:rsidR="001E4927" w:rsidRPr="0041217A" w:rsidRDefault="001E4927" w:rsidP="00026A32">
            <w:pPr>
              <w:autoSpaceDE w:val="0"/>
              <w:autoSpaceDN w:val="0"/>
              <w:adjustRightInd w:val="0"/>
              <w:ind w:left="0"/>
              <w:jc w:val="center"/>
              <w:rPr>
                <w:rFonts w:ascii="Calibri" w:hAnsi="Calibri" w:cs="Calibri"/>
                <w:bCs/>
                <w:sz w:val="20"/>
                <w:lang w:val="en-US"/>
              </w:rPr>
            </w:pPr>
            <w:r w:rsidRPr="0041217A">
              <w:rPr>
                <w:rFonts w:ascii="Calibri" w:hAnsi="Calibri" w:cs="Calibri"/>
                <w:bCs/>
                <w:sz w:val="20"/>
                <w:lang w:val="en-US"/>
              </w:rPr>
              <w:t>24</w:t>
            </w:r>
          </w:p>
        </w:tc>
      </w:tr>
      <w:tr w:rsidR="001E4927" w:rsidRPr="0041217A" w14:paraId="12523745" w14:textId="77777777" w:rsidTr="006D1AB0">
        <w:trPr>
          <w:trHeight w:val="284"/>
        </w:trPr>
        <w:tc>
          <w:tcPr>
            <w:tcW w:w="4253" w:type="dxa"/>
            <w:shd w:val="clear" w:color="auto" w:fill="auto"/>
            <w:vAlign w:val="center"/>
          </w:tcPr>
          <w:p w14:paraId="4A5A6E70" w14:textId="77777777" w:rsidR="001E4927" w:rsidRPr="0041217A" w:rsidRDefault="001E4927" w:rsidP="00026A32">
            <w:pPr>
              <w:autoSpaceDE w:val="0"/>
              <w:autoSpaceDN w:val="0"/>
              <w:adjustRightInd w:val="0"/>
              <w:ind w:left="0"/>
              <w:rPr>
                <w:rFonts w:ascii="Calibri" w:hAnsi="Calibri" w:cs="Calibri"/>
                <w:bCs/>
                <w:sz w:val="20"/>
                <w:lang w:val="en-US"/>
              </w:rPr>
            </w:pPr>
            <w:r w:rsidRPr="0041217A">
              <w:rPr>
                <w:rFonts w:ascii="Calibri" w:hAnsi="Calibri" w:cs="Calibri"/>
                <w:bCs/>
                <w:sz w:val="20"/>
                <w:lang w:val="en-US"/>
              </w:rPr>
              <w:t>Riverbank School</w:t>
            </w:r>
          </w:p>
        </w:tc>
        <w:tc>
          <w:tcPr>
            <w:tcW w:w="2693" w:type="dxa"/>
            <w:vAlign w:val="center"/>
          </w:tcPr>
          <w:p w14:paraId="0A4BA053" w14:textId="77777777" w:rsidR="001E4927" w:rsidRPr="0041217A" w:rsidRDefault="001E4927" w:rsidP="00026A32">
            <w:pPr>
              <w:autoSpaceDE w:val="0"/>
              <w:autoSpaceDN w:val="0"/>
              <w:adjustRightInd w:val="0"/>
              <w:ind w:left="0"/>
              <w:jc w:val="center"/>
              <w:rPr>
                <w:rFonts w:ascii="Calibri" w:hAnsi="Calibri" w:cs="Calibri"/>
                <w:bCs/>
                <w:sz w:val="20"/>
                <w:lang w:val="en-US"/>
              </w:rPr>
            </w:pPr>
            <w:r w:rsidRPr="0041217A">
              <w:rPr>
                <w:rFonts w:ascii="Calibri" w:hAnsi="Calibri" w:cs="Calibri"/>
                <w:bCs/>
                <w:sz w:val="20"/>
                <w:lang w:val="en-US"/>
              </w:rPr>
              <w:t>32</w:t>
            </w:r>
          </w:p>
        </w:tc>
      </w:tr>
      <w:tr w:rsidR="001E4927" w:rsidRPr="0041217A" w14:paraId="2021A44A" w14:textId="77777777" w:rsidTr="006D1AB0">
        <w:trPr>
          <w:trHeight w:val="284"/>
        </w:trPr>
        <w:tc>
          <w:tcPr>
            <w:tcW w:w="4253" w:type="dxa"/>
            <w:shd w:val="clear" w:color="auto" w:fill="auto"/>
            <w:vAlign w:val="center"/>
          </w:tcPr>
          <w:p w14:paraId="771EFE7F" w14:textId="77777777" w:rsidR="001E4927" w:rsidRPr="0041217A" w:rsidRDefault="001E4927" w:rsidP="00026A32">
            <w:pPr>
              <w:autoSpaceDE w:val="0"/>
              <w:autoSpaceDN w:val="0"/>
              <w:adjustRightInd w:val="0"/>
              <w:ind w:left="0"/>
              <w:rPr>
                <w:rFonts w:ascii="Calibri" w:hAnsi="Calibri" w:cs="Calibri"/>
                <w:bCs/>
                <w:sz w:val="20"/>
                <w:lang w:val="en-US"/>
              </w:rPr>
            </w:pPr>
            <w:r w:rsidRPr="0041217A">
              <w:rPr>
                <w:rFonts w:ascii="Calibri" w:hAnsi="Calibri" w:cs="Calibri"/>
                <w:bCs/>
                <w:sz w:val="20"/>
                <w:lang w:val="en-US"/>
              </w:rPr>
              <w:t>St Peters RC School</w:t>
            </w:r>
          </w:p>
        </w:tc>
        <w:tc>
          <w:tcPr>
            <w:tcW w:w="2693" w:type="dxa"/>
            <w:vAlign w:val="center"/>
          </w:tcPr>
          <w:p w14:paraId="7B164352" w14:textId="77777777" w:rsidR="001E4927" w:rsidRPr="0041217A" w:rsidRDefault="001E4927" w:rsidP="00026A32">
            <w:pPr>
              <w:autoSpaceDE w:val="0"/>
              <w:autoSpaceDN w:val="0"/>
              <w:adjustRightInd w:val="0"/>
              <w:ind w:left="0"/>
              <w:jc w:val="center"/>
              <w:rPr>
                <w:rFonts w:ascii="Calibri" w:hAnsi="Calibri" w:cs="Calibri"/>
                <w:bCs/>
                <w:sz w:val="20"/>
                <w:lang w:val="en-US"/>
              </w:rPr>
            </w:pPr>
            <w:r w:rsidRPr="0041217A">
              <w:rPr>
                <w:rFonts w:ascii="Calibri" w:hAnsi="Calibri" w:cs="Calibri"/>
                <w:bCs/>
                <w:sz w:val="20"/>
                <w:lang w:val="en-US"/>
              </w:rPr>
              <w:t>52</w:t>
            </w:r>
          </w:p>
        </w:tc>
      </w:tr>
      <w:tr w:rsidR="001E4927" w:rsidRPr="0041217A" w14:paraId="555A035F" w14:textId="77777777" w:rsidTr="006D1AB0">
        <w:trPr>
          <w:trHeight w:val="284"/>
        </w:trPr>
        <w:tc>
          <w:tcPr>
            <w:tcW w:w="4253" w:type="dxa"/>
            <w:shd w:val="clear" w:color="auto" w:fill="auto"/>
            <w:vAlign w:val="center"/>
          </w:tcPr>
          <w:p w14:paraId="45A87C54" w14:textId="77777777" w:rsidR="001E4927" w:rsidRPr="0041217A" w:rsidRDefault="001E4927" w:rsidP="00026A32">
            <w:pPr>
              <w:autoSpaceDE w:val="0"/>
              <w:autoSpaceDN w:val="0"/>
              <w:adjustRightInd w:val="0"/>
              <w:ind w:left="0"/>
              <w:rPr>
                <w:rFonts w:ascii="Calibri" w:hAnsi="Calibri" w:cs="Calibri"/>
                <w:bCs/>
                <w:sz w:val="20"/>
                <w:lang w:val="en-US"/>
              </w:rPr>
            </w:pPr>
            <w:r w:rsidRPr="0041217A">
              <w:rPr>
                <w:rFonts w:ascii="Calibri" w:hAnsi="Calibri" w:cs="Calibri"/>
                <w:bCs/>
                <w:sz w:val="20"/>
                <w:lang w:val="en-US"/>
              </w:rPr>
              <w:t>Tullos School</w:t>
            </w:r>
          </w:p>
        </w:tc>
        <w:tc>
          <w:tcPr>
            <w:tcW w:w="2693" w:type="dxa"/>
            <w:vAlign w:val="center"/>
          </w:tcPr>
          <w:p w14:paraId="6BB68D5C" w14:textId="77777777" w:rsidR="001E4927" w:rsidRPr="0041217A" w:rsidRDefault="001E4927" w:rsidP="00026A32">
            <w:pPr>
              <w:autoSpaceDE w:val="0"/>
              <w:autoSpaceDN w:val="0"/>
              <w:adjustRightInd w:val="0"/>
              <w:ind w:left="0"/>
              <w:jc w:val="center"/>
              <w:rPr>
                <w:rFonts w:ascii="Calibri" w:hAnsi="Calibri" w:cs="Calibri"/>
                <w:bCs/>
                <w:sz w:val="20"/>
                <w:lang w:val="en-US"/>
              </w:rPr>
            </w:pPr>
            <w:r w:rsidRPr="0041217A">
              <w:rPr>
                <w:rFonts w:ascii="Calibri" w:hAnsi="Calibri" w:cs="Calibri"/>
                <w:bCs/>
                <w:sz w:val="20"/>
                <w:lang w:val="en-US"/>
              </w:rPr>
              <w:t>44</w:t>
            </w:r>
          </w:p>
        </w:tc>
      </w:tr>
      <w:tr w:rsidR="001E4927" w:rsidRPr="0041217A" w14:paraId="0C1DD4A6" w14:textId="77777777" w:rsidTr="006D1AB0">
        <w:trPr>
          <w:trHeight w:val="284"/>
        </w:trPr>
        <w:tc>
          <w:tcPr>
            <w:tcW w:w="4253" w:type="dxa"/>
            <w:shd w:val="clear" w:color="auto" w:fill="auto"/>
            <w:vAlign w:val="center"/>
          </w:tcPr>
          <w:p w14:paraId="79404493" w14:textId="77777777" w:rsidR="001E4927" w:rsidRPr="0041217A" w:rsidRDefault="001E4927" w:rsidP="00026A32">
            <w:pPr>
              <w:autoSpaceDE w:val="0"/>
              <w:autoSpaceDN w:val="0"/>
              <w:adjustRightInd w:val="0"/>
              <w:ind w:left="0"/>
              <w:rPr>
                <w:rFonts w:ascii="Calibri" w:hAnsi="Calibri" w:cs="Calibri"/>
                <w:bCs/>
                <w:sz w:val="20"/>
                <w:lang w:val="en-US"/>
              </w:rPr>
            </w:pPr>
            <w:r w:rsidRPr="0041217A">
              <w:rPr>
                <w:rFonts w:ascii="Calibri" w:hAnsi="Calibri" w:cs="Calibri"/>
                <w:bCs/>
                <w:sz w:val="20"/>
                <w:lang w:val="en-US"/>
              </w:rPr>
              <w:t>Walker Road School</w:t>
            </w:r>
          </w:p>
        </w:tc>
        <w:tc>
          <w:tcPr>
            <w:tcW w:w="2693" w:type="dxa"/>
            <w:vAlign w:val="center"/>
          </w:tcPr>
          <w:p w14:paraId="3193BF47" w14:textId="77777777" w:rsidR="001E4927" w:rsidRPr="0041217A" w:rsidRDefault="001E4927" w:rsidP="00026A32">
            <w:pPr>
              <w:autoSpaceDE w:val="0"/>
              <w:autoSpaceDN w:val="0"/>
              <w:adjustRightInd w:val="0"/>
              <w:ind w:left="0"/>
              <w:jc w:val="center"/>
              <w:rPr>
                <w:rFonts w:ascii="Calibri" w:hAnsi="Calibri" w:cs="Calibri"/>
                <w:bCs/>
                <w:sz w:val="20"/>
                <w:lang w:val="en-US"/>
              </w:rPr>
            </w:pPr>
            <w:r w:rsidRPr="0041217A">
              <w:rPr>
                <w:rFonts w:ascii="Calibri" w:hAnsi="Calibri" w:cs="Calibri"/>
                <w:bCs/>
                <w:sz w:val="20"/>
                <w:lang w:val="en-US"/>
              </w:rPr>
              <w:t>34</w:t>
            </w:r>
          </w:p>
        </w:tc>
      </w:tr>
      <w:tr w:rsidR="001E4927" w:rsidRPr="0041217A" w14:paraId="18150E66" w14:textId="77777777" w:rsidTr="006D1AB0">
        <w:trPr>
          <w:trHeight w:val="284"/>
        </w:trPr>
        <w:tc>
          <w:tcPr>
            <w:tcW w:w="4253" w:type="dxa"/>
            <w:shd w:val="clear" w:color="auto" w:fill="auto"/>
            <w:vAlign w:val="center"/>
          </w:tcPr>
          <w:p w14:paraId="6F738D37" w14:textId="77777777" w:rsidR="001E4927" w:rsidRPr="0041217A" w:rsidRDefault="001E4927" w:rsidP="00026A32">
            <w:pPr>
              <w:autoSpaceDE w:val="0"/>
              <w:autoSpaceDN w:val="0"/>
              <w:adjustRightInd w:val="0"/>
              <w:ind w:left="0"/>
              <w:rPr>
                <w:rFonts w:ascii="Calibri" w:hAnsi="Calibri" w:cs="Calibri"/>
                <w:bCs/>
                <w:sz w:val="20"/>
                <w:lang w:val="en-US"/>
              </w:rPr>
            </w:pPr>
            <w:r w:rsidRPr="0041217A">
              <w:rPr>
                <w:rFonts w:ascii="Calibri" w:hAnsi="Calibri" w:cs="Calibri"/>
                <w:bCs/>
                <w:sz w:val="20"/>
                <w:lang w:val="en-US"/>
              </w:rPr>
              <w:t>Woodside School</w:t>
            </w:r>
          </w:p>
        </w:tc>
        <w:tc>
          <w:tcPr>
            <w:tcW w:w="2693" w:type="dxa"/>
            <w:vAlign w:val="center"/>
          </w:tcPr>
          <w:p w14:paraId="3EFD5790" w14:textId="77777777" w:rsidR="001E4927" w:rsidRPr="0041217A" w:rsidRDefault="001E4927" w:rsidP="00026A32">
            <w:pPr>
              <w:autoSpaceDE w:val="0"/>
              <w:autoSpaceDN w:val="0"/>
              <w:adjustRightInd w:val="0"/>
              <w:ind w:left="0"/>
              <w:jc w:val="center"/>
              <w:rPr>
                <w:rFonts w:ascii="Calibri" w:hAnsi="Calibri" w:cs="Calibri"/>
                <w:bCs/>
                <w:sz w:val="20"/>
                <w:lang w:val="en-US"/>
              </w:rPr>
            </w:pPr>
            <w:r w:rsidRPr="0041217A">
              <w:rPr>
                <w:rFonts w:ascii="Calibri" w:hAnsi="Calibri" w:cs="Calibri"/>
                <w:bCs/>
                <w:sz w:val="20"/>
                <w:lang w:val="en-US"/>
              </w:rPr>
              <w:t>23</w:t>
            </w:r>
          </w:p>
        </w:tc>
      </w:tr>
    </w:tbl>
    <w:p w14:paraId="7AD625C9" w14:textId="4AA014E1" w:rsidR="001E4927" w:rsidRDefault="001E4927" w:rsidP="001E4927">
      <w:pPr>
        <w:autoSpaceDE w:val="0"/>
        <w:autoSpaceDN w:val="0"/>
        <w:adjustRightInd w:val="0"/>
        <w:ind w:left="721" w:hanging="902"/>
        <w:rPr>
          <w:rFonts w:ascii="Calibri" w:hAnsi="Calibri" w:cs="Calibri"/>
          <w:bCs/>
          <w:sz w:val="16"/>
          <w:szCs w:val="16"/>
          <w:lang w:val="en-US"/>
        </w:rPr>
      </w:pPr>
      <w:r w:rsidRPr="0041217A">
        <w:rPr>
          <w:rFonts w:ascii="Arial" w:hAnsi="Arial" w:cs="Arial"/>
          <w:bCs/>
          <w:i/>
          <w:sz w:val="20"/>
          <w:lang w:val="en-US"/>
        </w:rPr>
        <w:tab/>
      </w:r>
      <w:r w:rsidRPr="0041217A">
        <w:rPr>
          <w:rFonts w:ascii="Calibri" w:hAnsi="Calibri" w:cs="Calibri"/>
          <w:bCs/>
          <w:sz w:val="16"/>
          <w:szCs w:val="16"/>
          <w:lang w:val="en-US"/>
        </w:rPr>
        <w:t>Source: Aberdeen City Council</w:t>
      </w:r>
    </w:p>
    <w:p w14:paraId="7A4DE8E8" w14:textId="77777777" w:rsidR="00772123" w:rsidRPr="005B330D" w:rsidRDefault="00772123" w:rsidP="001E4927">
      <w:pPr>
        <w:autoSpaceDE w:val="0"/>
        <w:autoSpaceDN w:val="0"/>
        <w:adjustRightInd w:val="0"/>
        <w:ind w:left="721" w:hanging="902"/>
        <w:rPr>
          <w:rFonts w:ascii="Calibri" w:hAnsi="Calibri" w:cs="Calibri"/>
          <w:sz w:val="16"/>
          <w:szCs w:val="16"/>
          <w:lang w:val="en-US"/>
        </w:rPr>
      </w:pPr>
    </w:p>
    <w:p w14:paraId="708D3C3C" w14:textId="5AE0D3FB" w:rsidR="001E4927" w:rsidRDefault="001E4927" w:rsidP="0041217A">
      <w:pPr>
        <w:ind w:left="721" w:hanging="902"/>
        <w:rPr>
          <w:rFonts w:ascii="Calibri" w:hAnsi="Calibri" w:cs="Calibri"/>
          <w:lang w:val="en-US"/>
        </w:rPr>
      </w:pPr>
      <w:r w:rsidRPr="0012187F">
        <w:rPr>
          <w:rFonts w:ascii="Calibri" w:hAnsi="Calibri" w:cs="Calibri"/>
        </w:rPr>
        <w:tab/>
      </w:r>
      <w:r w:rsidRPr="0041217A">
        <w:rPr>
          <w:rFonts w:ascii="Calibri" w:hAnsi="Calibri" w:cs="Calibri"/>
          <w:b/>
        </w:rPr>
        <w:t>Clothing Grant</w:t>
      </w:r>
      <w:r w:rsidR="002A717E">
        <w:rPr>
          <w:rFonts w:ascii="Calibri" w:hAnsi="Calibri" w:cs="Calibri"/>
          <w:b/>
        </w:rPr>
        <w:t>s</w:t>
      </w:r>
      <w:r w:rsidR="0041217A" w:rsidRPr="0041217A">
        <w:rPr>
          <w:rFonts w:ascii="Calibri" w:hAnsi="Calibri" w:cs="Calibri"/>
          <w:b/>
        </w:rPr>
        <w:t xml:space="preserve">:  </w:t>
      </w:r>
      <w:r w:rsidR="0041217A" w:rsidRPr="0041217A">
        <w:rPr>
          <w:rFonts w:ascii="Calibri" w:hAnsi="Calibri" w:cs="Calibri"/>
        </w:rPr>
        <w:t>I</w:t>
      </w:r>
      <w:r w:rsidRPr="0041217A">
        <w:rPr>
          <w:rFonts w:ascii="Calibri" w:hAnsi="Calibri" w:cs="Calibri"/>
        </w:rPr>
        <w:t xml:space="preserve">n 2016/17 a total of 2,135 clothing grants were awarded to pupils in Aberdeen City.    </w:t>
      </w:r>
      <w:r w:rsidR="002A717E" w:rsidRPr="002A717E">
        <w:rPr>
          <w:rFonts w:ascii="Calibri" w:hAnsi="Calibri" w:cs="Calibri"/>
          <w:lang w:val="en-US"/>
        </w:rPr>
        <w:t xml:space="preserve">Clothing grants were awarded to pupils in almost all local authority schools in the City </w:t>
      </w:r>
      <w:r w:rsidR="002A717E">
        <w:rPr>
          <w:rFonts w:ascii="Calibri" w:hAnsi="Calibri" w:cs="Calibri"/>
          <w:lang w:val="en-US"/>
        </w:rPr>
        <w:t>with t</w:t>
      </w:r>
      <w:r w:rsidR="002A717E" w:rsidRPr="002A717E">
        <w:rPr>
          <w:rFonts w:ascii="Calibri" w:hAnsi="Calibri" w:cs="Calibri"/>
          <w:lang w:val="en-US"/>
        </w:rPr>
        <w:t xml:space="preserve">he number of grants awarded </w:t>
      </w:r>
      <w:r w:rsidR="002A717E">
        <w:rPr>
          <w:rFonts w:ascii="Calibri" w:hAnsi="Calibri" w:cs="Calibri"/>
          <w:lang w:val="en-US"/>
        </w:rPr>
        <w:t>varying</w:t>
      </w:r>
      <w:r w:rsidR="002A717E" w:rsidRPr="002A717E">
        <w:rPr>
          <w:rFonts w:ascii="Calibri" w:hAnsi="Calibri" w:cs="Calibri"/>
          <w:lang w:val="en-US"/>
        </w:rPr>
        <w:t xml:space="preserve"> substantially by school</w:t>
      </w:r>
      <w:r w:rsidR="00FD3AA8">
        <w:rPr>
          <w:rFonts w:ascii="Calibri" w:hAnsi="Calibri" w:cs="Calibri"/>
          <w:lang w:val="en-US"/>
        </w:rPr>
        <w:t>.</w:t>
      </w:r>
    </w:p>
    <w:p w14:paraId="7E313133" w14:textId="10208ADE" w:rsidR="00FD3AA8" w:rsidRDefault="00FD3AA8" w:rsidP="0041217A">
      <w:pPr>
        <w:ind w:left="721" w:hanging="902"/>
        <w:rPr>
          <w:rFonts w:ascii="Calibri" w:hAnsi="Calibri" w:cs="Calibri"/>
        </w:rPr>
      </w:pPr>
    </w:p>
    <w:p w14:paraId="4B7C17BA" w14:textId="43A3B59F" w:rsidR="00FD3AA8" w:rsidRDefault="00FD3AA8" w:rsidP="0041217A">
      <w:pPr>
        <w:ind w:left="721" w:hanging="902"/>
        <w:rPr>
          <w:rFonts w:ascii="Calibri" w:hAnsi="Calibri" w:cs="Calibri"/>
        </w:rPr>
      </w:pPr>
    </w:p>
    <w:p w14:paraId="7A7B6CE0" w14:textId="44807EA1" w:rsidR="00FD3AA8" w:rsidRDefault="00FD3AA8" w:rsidP="0041217A">
      <w:pPr>
        <w:ind w:left="721" w:hanging="902"/>
        <w:rPr>
          <w:rFonts w:ascii="Calibri" w:hAnsi="Calibri" w:cs="Calibri"/>
        </w:rPr>
      </w:pPr>
    </w:p>
    <w:p w14:paraId="1086CD98" w14:textId="3B25F536" w:rsidR="00FD3AA8" w:rsidRDefault="00FD3AA8" w:rsidP="0041217A">
      <w:pPr>
        <w:ind w:left="721" w:hanging="902"/>
        <w:rPr>
          <w:rFonts w:ascii="Calibri" w:hAnsi="Calibri" w:cs="Calibri"/>
        </w:rPr>
      </w:pPr>
    </w:p>
    <w:p w14:paraId="3A3CEBDD" w14:textId="50A78660" w:rsidR="00FD3AA8" w:rsidRDefault="00FD3AA8" w:rsidP="0041217A">
      <w:pPr>
        <w:ind w:left="721" w:hanging="902"/>
        <w:rPr>
          <w:rFonts w:ascii="Calibri" w:hAnsi="Calibri" w:cs="Calibri"/>
        </w:rPr>
      </w:pPr>
    </w:p>
    <w:p w14:paraId="45DAE206" w14:textId="77777777" w:rsidR="00FD3AA8" w:rsidRPr="0041217A" w:rsidRDefault="00FD3AA8" w:rsidP="0041217A">
      <w:pPr>
        <w:ind w:left="721" w:hanging="902"/>
        <w:rPr>
          <w:rFonts w:ascii="Calibri" w:hAnsi="Calibri" w:cs="Calibri"/>
        </w:rPr>
      </w:pPr>
    </w:p>
    <w:p w14:paraId="754CC773" w14:textId="570E9F91" w:rsidR="001E4927" w:rsidRPr="0041217A" w:rsidRDefault="001E4927" w:rsidP="001E4927">
      <w:pPr>
        <w:spacing w:before="240"/>
        <w:ind w:hanging="11"/>
        <w:jc w:val="both"/>
        <w:rPr>
          <w:rFonts w:ascii="Calibri" w:hAnsi="Calibri" w:cs="Calibri"/>
          <w:b/>
        </w:rPr>
      </w:pPr>
      <w:r w:rsidRPr="0041217A">
        <w:rPr>
          <w:rFonts w:ascii="Calibri" w:hAnsi="Calibri" w:cs="Calibri"/>
          <w:i/>
        </w:rPr>
        <w:lastRenderedPageBreak/>
        <w:tab/>
      </w:r>
      <w:r w:rsidRPr="0041217A">
        <w:rPr>
          <w:rFonts w:ascii="Calibri" w:hAnsi="Calibri" w:cs="Calibri"/>
          <w:b/>
        </w:rPr>
        <w:t>Clothing grants awarded, Aberdeen City, 2015/16 and 2016/17</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31"/>
        <w:gridCol w:w="1474"/>
        <w:gridCol w:w="1474"/>
        <w:gridCol w:w="1474"/>
        <w:gridCol w:w="1474"/>
      </w:tblGrid>
      <w:tr w:rsidR="001E4927" w:rsidRPr="0041217A" w14:paraId="19815840" w14:textId="77777777" w:rsidTr="006D1AB0">
        <w:trPr>
          <w:trHeight w:val="340"/>
        </w:trPr>
        <w:tc>
          <w:tcPr>
            <w:tcW w:w="2531" w:type="dxa"/>
            <w:tcBorders>
              <w:top w:val="single" w:sz="4" w:space="0" w:color="auto"/>
              <w:left w:val="single" w:sz="4" w:space="0" w:color="auto"/>
              <w:bottom w:val="single" w:sz="4" w:space="0" w:color="auto"/>
              <w:right w:val="single" w:sz="4" w:space="0" w:color="auto"/>
            </w:tcBorders>
            <w:shd w:val="clear" w:color="auto" w:fill="DBE5F1"/>
            <w:vAlign w:val="center"/>
          </w:tcPr>
          <w:p w14:paraId="1D8C7825" w14:textId="77777777" w:rsidR="001E4927" w:rsidRPr="0041217A" w:rsidRDefault="001E4927" w:rsidP="00026A32">
            <w:pPr>
              <w:ind w:left="0"/>
              <w:rPr>
                <w:rFonts w:ascii="Calibri" w:hAnsi="Calibri" w:cs="Calibri"/>
                <w:b/>
                <w:sz w:val="20"/>
                <w:lang w:val="en-US"/>
              </w:rPr>
            </w:pPr>
          </w:p>
        </w:tc>
        <w:tc>
          <w:tcPr>
            <w:tcW w:w="2948" w:type="dxa"/>
            <w:gridSpan w:val="2"/>
            <w:tcBorders>
              <w:top w:val="single" w:sz="4" w:space="0" w:color="auto"/>
              <w:left w:val="single" w:sz="4" w:space="0" w:color="auto"/>
              <w:bottom w:val="single" w:sz="4" w:space="0" w:color="auto"/>
              <w:right w:val="single" w:sz="4" w:space="0" w:color="auto"/>
            </w:tcBorders>
            <w:shd w:val="clear" w:color="auto" w:fill="DBE5F1"/>
            <w:vAlign w:val="center"/>
          </w:tcPr>
          <w:p w14:paraId="30E9F68A" w14:textId="77777777" w:rsidR="001E4927" w:rsidRPr="0041217A" w:rsidRDefault="001E4927" w:rsidP="00026A32">
            <w:pPr>
              <w:ind w:left="0"/>
              <w:jc w:val="center"/>
              <w:rPr>
                <w:rFonts w:ascii="Calibri" w:hAnsi="Calibri" w:cs="Calibri"/>
                <w:b/>
                <w:sz w:val="20"/>
              </w:rPr>
            </w:pPr>
            <w:r w:rsidRPr="0041217A">
              <w:rPr>
                <w:rFonts w:ascii="Calibri" w:hAnsi="Calibri" w:cs="Calibri"/>
                <w:b/>
                <w:sz w:val="20"/>
              </w:rPr>
              <w:t>2015/16</w:t>
            </w:r>
          </w:p>
        </w:tc>
        <w:tc>
          <w:tcPr>
            <w:tcW w:w="2948" w:type="dxa"/>
            <w:gridSpan w:val="2"/>
            <w:tcBorders>
              <w:top w:val="single" w:sz="4" w:space="0" w:color="auto"/>
              <w:left w:val="single" w:sz="4" w:space="0" w:color="auto"/>
              <w:bottom w:val="single" w:sz="4" w:space="0" w:color="auto"/>
              <w:right w:val="single" w:sz="4" w:space="0" w:color="auto"/>
            </w:tcBorders>
            <w:shd w:val="clear" w:color="auto" w:fill="DBE5F1"/>
            <w:vAlign w:val="center"/>
          </w:tcPr>
          <w:p w14:paraId="1AA3D078" w14:textId="77777777" w:rsidR="001E4927" w:rsidRPr="0041217A" w:rsidRDefault="001E4927" w:rsidP="00026A32">
            <w:pPr>
              <w:ind w:left="0"/>
              <w:jc w:val="center"/>
              <w:rPr>
                <w:rFonts w:ascii="Calibri" w:hAnsi="Calibri" w:cs="Calibri"/>
                <w:b/>
                <w:sz w:val="20"/>
              </w:rPr>
            </w:pPr>
            <w:r w:rsidRPr="0041217A">
              <w:rPr>
                <w:rFonts w:ascii="Calibri" w:hAnsi="Calibri" w:cs="Calibri"/>
                <w:b/>
                <w:sz w:val="20"/>
              </w:rPr>
              <w:t>2016/17</w:t>
            </w:r>
          </w:p>
        </w:tc>
      </w:tr>
      <w:tr w:rsidR="001E4927" w:rsidRPr="0041217A" w14:paraId="5449E4C5" w14:textId="77777777" w:rsidTr="006D1AB0">
        <w:trPr>
          <w:trHeight w:val="340"/>
        </w:trPr>
        <w:tc>
          <w:tcPr>
            <w:tcW w:w="2531" w:type="dxa"/>
            <w:tcBorders>
              <w:top w:val="single" w:sz="4" w:space="0" w:color="auto"/>
              <w:left w:val="single" w:sz="4" w:space="0" w:color="auto"/>
              <w:bottom w:val="single" w:sz="4" w:space="0" w:color="auto"/>
              <w:right w:val="single" w:sz="4" w:space="0" w:color="auto"/>
            </w:tcBorders>
            <w:shd w:val="clear" w:color="auto" w:fill="DBE5F1"/>
            <w:vAlign w:val="center"/>
          </w:tcPr>
          <w:p w14:paraId="12233BC3" w14:textId="77777777" w:rsidR="001E4927" w:rsidRPr="0041217A" w:rsidRDefault="001E4927" w:rsidP="00026A32">
            <w:pPr>
              <w:ind w:left="0"/>
              <w:rPr>
                <w:rFonts w:ascii="Calibri" w:hAnsi="Calibri" w:cs="Calibri"/>
                <w:b/>
                <w:sz w:val="20"/>
                <w:lang w:val="en-US"/>
              </w:rPr>
            </w:pPr>
            <w:r w:rsidRPr="0041217A">
              <w:rPr>
                <w:rFonts w:ascii="Calibri" w:hAnsi="Calibri" w:cs="Calibri"/>
                <w:b/>
                <w:sz w:val="20"/>
                <w:lang w:val="en-US"/>
              </w:rPr>
              <w:t>Sector</w:t>
            </w:r>
          </w:p>
        </w:tc>
        <w:tc>
          <w:tcPr>
            <w:tcW w:w="1474" w:type="dxa"/>
            <w:tcBorders>
              <w:top w:val="single" w:sz="4" w:space="0" w:color="auto"/>
              <w:left w:val="single" w:sz="4" w:space="0" w:color="auto"/>
              <w:bottom w:val="single" w:sz="4" w:space="0" w:color="auto"/>
              <w:right w:val="single" w:sz="4" w:space="0" w:color="auto"/>
            </w:tcBorders>
            <w:shd w:val="clear" w:color="auto" w:fill="DBE5F1"/>
            <w:vAlign w:val="center"/>
          </w:tcPr>
          <w:p w14:paraId="6CB85744" w14:textId="77777777" w:rsidR="001E4927" w:rsidRPr="0041217A" w:rsidRDefault="001E4927" w:rsidP="00026A32">
            <w:pPr>
              <w:ind w:left="0"/>
              <w:jc w:val="center"/>
              <w:rPr>
                <w:rFonts w:ascii="Calibri" w:hAnsi="Calibri" w:cs="Calibri"/>
                <w:b/>
                <w:sz w:val="20"/>
              </w:rPr>
            </w:pPr>
            <w:r w:rsidRPr="0041217A">
              <w:rPr>
                <w:rFonts w:ascii="Calibri" w:hAnsi="Calibri" w:cs="Calibri"/>
                <w:b/>
                <w:sz w:val="20"/>
              </w:rPr>
              <w:t>No. of Grants Awarded</w:t>
            </w:r>
          </w:p>
        </w:tc>
        <w:tc>
          <w:tcPr>
            <w:tcW w:w="1474" w:type="dxa"/>
            <w:tcBorders>
              <w:top w:val="single" w:sz="4" w:space="0" w:color="auto"/>
              <w:left w:val="single" w:sz="4" w:space="0" w:color="auto"/>
              <w:bottom w:val="single" w:sz="4" w:space="0" w:color="auto"/>
              <w:right w:val="single" w:sz="4" w:space="0" w:color="auto"/>
            </w:tcBorders>
            <w:shd w:val="clear" w:color="auto" w:fill="DBE5F1"/>
            <w:vAlign w:val="center"/>
          </w:tcPr>
          <w:p w14:paraId="76F8CB14" w14:textId="77777777" w:rsidR="001E4927" w:rsidRPr="0041217A" w:rsidRDefault="001E4927" w:rsidP="00026A32">
            <w:pPr>
              <w:ind w:left="0"/>
              <w:jc w:val="center"/>
              <w:rPr>
                <w:rFonts w:ascii="Calibri" w:hAnsi="Calibri" w:cs="Calibri"/>
                <w:b/>
                <w:sz w:val="20"/>
              </w:rPr>
            </w:pPr>
            <w:r w:rsidRPr="0041217A">
              <w:rPr>
                <w:rFonts w:ascii="Calibri" w:hAnsi="Calibri" w:cs="Calibri"/>
                <w:b/>
                <w:sz w:val="20"/>
              </w:rPr>
              <w:t>% of Total</w:t>
            </w:r>
          </w:p>
        </w:tc>
        <w:tc>
          <w:tcPr>
            <w:tcW w:w="1474" w:type="dxa"/>
            <w:tcBorders>
              <w:top w:val="single" w:sz="4" w:space="0" w:color="auto"/>
              <w:left w:val="single" w:sz="4" w:space="0" w:color="auto"/>
              <w:bottom w:val="single" w:sz="4" w:space="0" w:color="auto"/>
              <w:right w:val="single" w:sz="4" w:space="0" w:color="auto"/>
            </w:tcBorders>
            <w:shd w:val="clear" w:color="auto" w:fill="DBE5F1"/>
            <w:vAlign w:val="center"/>
          </w:tcPr>
          <w:p w14:paraId="4193B660" w14:textId="77777777" w:rsidR="001E4927" w:rsidRPr="0041217A" w:rsidRDefault="001E4927" w:rsidP="00026A32">
            <w:pPr>
              <w:ind w:left="0"/>
              <w:jc w:val="center"/>
              <w:rPr>
                <w:rFonts w:ascii="Calibri" w:hAnsi="Calibri" w:cs="Calibri"/>
                <w:b/>
                <w:sz w:val="20"/>
              </w:rPr>
            </w:pPr>
            <w:r w:rsidRPr="0041217A">
              <w:rPr>
                <w:rFonts w:ascii="Calibri" w:hAnsi="Calibri" w:cs="Calibri"/>
                <w:b/>
                <w:sz w:val="20"/>
              </w:rPr>
              <w:t>No. of Grants Awarded</w:t>
            </w:r>
          </w:p>
        </w:tc>
        <w:tc>
          <w:tcPr>
            <w:tcW w:w="1474" w:type="dxa"/>
            <w:tcBorders>
              <w:top w:val="single" w:sz="4" w:space="0" w:color="auto"/>
              <w:left w:val="single" w:sz="4" w:space="0" w:color="auto"/>
              <w:bottom w:val="single" w:sz="4" w:space="0" w:color="auto"/>
              <w:right w:val="single" w:sz="4" w:space="0" w:color="auto"/>
            </w:tcBorders>
            <w:shd w:val="clear" w:color="auto" w:fill="DBE5F1"/>
            <w:vAlign w:val="center"/>
          </w:tcPr>
          <w:p w14:paraId="5AC8614E" w14:textId="77777777" w:rsidR="001E4927" w:rsidRPr="0041217A" w:rsidRDefault="001E4927" w:rsidP="00026A32">
            <w:pPr>
              <w:ind w:left="0"/>
              <w:jc w:val="center"/>
              <w:rPr>
                <w:rFonts w:ascii="Calibri" w:hAnsi="Calibri" w:cs="Calibri"/>
                <w:b/>
                <w:sz w:val="20"/>
              </w:rPr>
            </w:pPr>
            <w:r w:rsidRPr="0041217A">
              <w:rPr>
                <w:rFonts w:ascii="Calibri" w:hAnsi="Calibri" w:cs="Calibri"/>
                <w:b/>
                <w:sz w:val="20"/>
              </w:rPr>
              <w:t>% of Total</w:t>
            </w:r>
          </w:p>
        </w:tc>
      </w:tr>
      <w:tr w:rsidR="001E4927" w:rsidRPr="0041217A" w14:paraId="18474865" w14:textId="77777777" w:rsidTr="006D1AB0">
        <w:trPr>
          <w:trHeight w:val="312"/>
        </w:trPr>
        <w:tc>
          <w:tcPr>
            <w:tcW w:w="2531" w:type="dxa"/>
            <w:tcBorders>
              <w:top w:val="single" w:sz="4" w:space="0" w:color="auto"/>
            </w:tcBorders>
            <w:vAlign w:val="center"/>
          </w:tcPr>
          <w:p w14:paraId="31DA47F0" w14:textId="77777777" w:rsidR="001E4927" w:rsidRPr="0041217A" w:rsidRDefault="001E4927" w:rsidP="00026A32">
            <w:pPr>
              <w:ind w:left="0" w:right="-250"/>
              <w:rPr>
                <w:rFonts w:ascii="Calibri" w:hAnsi="Calibri" w:cs="Calibri"/>
                <w:sz w:val="20"/>
                <w:lang w:val="en-US"/>
              </w:rPr>
            </w:pPr>
            <w:r w:rsidRPr="0041217A">
              <w:rPr>
                <w:rFonts w:ascii="Calibri" w:hAnsi="Calibri" w:cs="Calibri"/>
                <w:sz w:val="20"/>
                <w:lang w:val="en-US"/>
              </w:rPr>
              <w:t xml:space="preserve">Primary </w:t>
            </w:r>
          </w:p>
        </w:tc>
        <w:tc>
          <w:tcPr>
            <w:tcW w:w="1474" w:type="dxa"/>
            <w:tcBorders>
              <w:top w:val="single" w:sz="4" w:space="0" w:color="auto"/>
              <w:bottom w:val="single" w:sz="6" w:space="0" w:color="auto"/>
              <w:right w:val="single" w:sz="6" w:space="0" w:color="auto"/>
            </w:tcBorders>
            <w:vAlign w:val="center"/>
          </w:tcPr>
          <w:p w14:paraId="1E068B05" w14:textId="77777777" w:rsidR="001E4927" w:rsidRPr="0041217A" w:rsidRDefault="001E4927" w:rsidP="00026A32">
            <w:pPr>
              <w:ind w:left="0"/>
              <w:jc w:val="center"/>
              <w:rPr>
                <w:rFonts w:ascii="Calibri" w:hAnsi="Calibri" w:cs="Calibri"/>
                <w:sz w:val="20"/>
              </w:rPr>
            </w:pPr>
            <w:r w:rsidRPr="0041217A">
              <w:rPr>
                <w:rFonts w:ascii="Calibri" w:hAnsi="Calibri" w:cs="Calibri"/>
                <w:sz w:val="20"/>
              </w:rPr>
              <w:t>1,287</w:t>
            </w:r>
          </w:p>
        </w:tc>
        <w:tc>
          <w:tcPr>
            <w:tcW w:w="1474" w:type="dxa"/>
            <w:tcBorders>
              <w:top w:val="single" w:sz="4" w:space="0" w:color="auto"/>
              <w:left w:val="single" w:sz="6" w:space="0" w:color="auto"/>
              <w:bottom w:val="single" w:sz="6" w:space="0" w:color="auto"/>
              <w:right w:val="single" w:sz="6" w:space="0" w:color="auto"/>
            </w:tcBorders>
            <w:vAlign w:val="center"/>
          </w:tcPr>
          <w:p w14:paraId="7C100792" w14:textId="77777777" w:rsidR="001E4927" w:rsidRPr="0041217A" w:rsidRDefault="001E4927" w:rsidP="00026A32">
            <w:pPr>
              <w:ind w:left="0"/>
              <w:jc w:val="center"/>
              <w:rPr>
                <w:rFonts w:ascii="Calibri" w:hAnsi="Calibri" w:cs="Calibri"/>
                <w:sz w:val="20"/>
              </w:rPr>
            </w:pPr>
            <w:r w:rsidRPr="0041217A">
              <w:rPr>
                <w:rFonts w:ascii="Calibri" w:hAnsi="Calibri" w:cs="Calibri"/>
                <w:sz w:val="20"/>
              </w:rPr>
              <w:t>62.6%</w:t>
            </w:r>
          </w:p>
        </w:tc>
        <w:tc>
          <w:tcPr>
            <w:tcW w:w="1474" w:type="dxa"/>
            <w:tcBorders>
              <w:top w:val="single" w:sz="4" w:space="0" w:color="auto"/>
              <w:left w:val="single" w:sz="6" w:space="0" w:color="auto"/>
              <w:bottom w:val="single" w:sz="6" w:space="0" w:color="auto"/>
              <w:right w:val="single" w:sz="6" w:space="0" w:color="auto"/>
            </w:tcBorders>
            <w:vAlign w:val="center"/>
          </w:tcPr>
          <w:p w14:paraId="0DFF5431" w14:textId="77777777" w:rsidR="001E4927" w:rsidRPr="0041217A" w:rsidRDefault="001E4927" w:rsidP="00026A32">
            <w:pPr>
              <w:ind w:left="0"/>
              <w:jc w:val="center"/>
              <w:rPr>
                <w:rFonts w:ascii="Calibri" w:hAnsi="Calibri" w:cs="Calibri"/>
                <w:sz w:val="20"/>
              </w:rPr>
            </w:pPr>
            <w:r w:rsidRPr="0041217A">
              <w:rPr>
                <w:rFonts w:ascii="Calibri" w:hAnsi="Calibri" w:cs="Calibri"/>
                <w:sz w:val="20"/>
              </w:rPr>
              <w:t>1,365</w:t>
            </w:r>
          </w:p>
        </w:tc>
        <w:tc>
          <w:tcPr>
            <w:tcW w:w="1474" w:type="dxa"/>
            <w:tcBorders>
              <w:top w:val="single" w:sz="4" w:space="0" w:color="auto"/>
              <w:left w:val="single" w:sz="6" w:space="0" w:color="auto"/>
              <w:bottom w:val="single" w:sz="6" w:space="0" w:color="auto"/>
              <w:right w:val="single" w:sz="6" w:space="0" w:color="auto"/>
            </w:tcBorders>
            <w:vAlign w:val="center"/>
          </w:tcPr>
          <w:p w14:paraId="174DA1DD" w14:textId="77777777" w:rsidR="001E4927" w:rsidRPr="0041217A" w:rsidRDefault="001E4927" w:rsidP="00026A32">
            <w:pPr>
              <w:ind w:left="0"/>
              <w:jc w:val="center"/>
              <w:rPr>
                <w:rFonts w:ascii="Calibri" w:hAnsi="Calibri" w:cs="Calibri"/>
                <w:color w:val="000000"/>
                <w:sz w:val="20"/>
              </w:rPr>
            </w:pPr>
            <w:r w:rsidRPr="0041217A">
              <w:rPr>
                <w:rFonts w:ascii="Calibri" w:hAnsi="Calibri" w:cs="Calibri"/>
                <w:color w:val="000000"/>
                <w:sz w:val="20"/>
              </w:rPr>
              <w:t>63.9%</w:t>
            </w:r>
          </w:p>
        </w:tc>
      </w:tr>
      <w:tr w:rsidR="001E4927" w:rsidRPr="0041217A" w14:paraId="225DD7FC" w14:textId="77777777" w:rsidTr="006D1AB0">
        <w:trPr>
          <w:trHeight w:val="312"/>
        </w:trPr>
        <w:tc>
          <w:tcPr>
            <w:tcW w:w="2531" w:type="dxa"/>
            <w:vAlign w:val="center"/>
          </w:tcPr>
          <w:p w14:paraId="01B10B82" w14:textId="77777777" w:rsidR="001E4927" w:rsidRPr="0041217A" w:rsidRDefault="001E4927" w:rsidP="00026A32">
            <w:pPr>
              <w:ind w:left="0"/>
              <w:rPr>
                <w:rFonts w:ascii="Calibri" w:hAnsi="Calibri" w:cs="Calibri"/>
                <w:sz w:val="20"/>
                <w:lang w:val="en-US"/>
              </w:rPr>
            </w:pPr>
            <w:r w:rsidRPr="0041217A">
              <w:rPr>
                <w:rFonts w:ascii="Calibri" w:hAnsi="Calibri" w:cs="Calibri"/>
                <w:sz w:val="20"/>
                <w:lang w:val="en-US"/>
              </w:rPr>
              <w:t>Secondary</w:t>
            </w:r>
          </w:p>
        </w:tc>
        <w:tc>
          <w:tcPr>
            <w:tcW w:w="1474" w:type="dxa"/>
            <w:tcBorders>
              <w:top w:val="single" w:sz="6" w:space="0" w:color="auto"/>
              <w:bottom w:val="single" w:sz="6" w:space="0" w:color="auto"/>
              <w:right w:val="single" w:sz="6" w:space="0" w:color="auto"/>
            </w:tcBorders>
            <w:vAlign w:val="center"/>
          </w:tcPr>
          <w:p w14:paraId="00133247" w14:textId="77777777" w:rsidR="001E4927" w:rsidRPr="0041217A" w:rsidRDefault="001E4927" w:rsidP="00026A32">
            <w:pPr>
              <w:ind w:left="0"/>
              <w:jc w:val="center"/>
              <w:rPr>
                <w:rFonts w:ascii="Calibri" w:hAnsi="Calibri" w:cs="Calibri"/>
                <w:sz w:val="20"/>
              </w:rPr>
            </w:pPr>
            <w:r w:rsidRPr="0041217A">
              <w:rPr>
                <w:rFonts w:ascii="Calibri" w:hAnsi="Calibri" w:cs="Calibri"/>
                <w:sz w:val="20"/>
              </w:rPr>
              <w:t>735</w:t>
            </w:r>
          </w:p>
        </w:tc>
        <w:tc>
          <w:tcPr>
            <w:tcW w:w="1474" w:type="dxa"/>
            <w:tcBorders>
              <w:top w:val="single" w:sz="6" w:space="0" w:color="auto"/>
              <w:left w:val="single" w:sz="6" w:space="0" w:color="auto"/>
              <w:bottom w:val="single" w:sz="6" w:space="0" w:color="auto"/>
              <w:right w:val="single" w:sz="6" w:space="0" w:color="auto"/>
            </w:tcBorders>
            <w:vAlign w:val="center"/>
          </w:tcPr>
          <w:p w14:paraId="7B7C7C2C" w14:textId="77777777" w:rsidR="001E4927" w:rsidRPr="0041217A" w:rsidRDefault="001E4927" w:rsidP="00026A32">
            <w:pPr>
              <w:ind w:left="0"/>
              <w:jc w:val="center"/>
              <w:rPr>
                <w:rFonts w:ascii="Calibri" w:hAnsi="Calibri" w:cs="Calibri"/>
                <w:sz w:val="20"/>
              </w:rPr>
            </w:pPr>
            <w:r w:rsidRPr="0041217A">
              <w:rPr>
                <w:rFonts w:ascii="Calibri" w:hAnsi="Calibri" w:cs="Calibri"/>
                <w:sz w:val="20"/>
              </w:rPr>
              <w:t>35.7%</w:t>
            </w:r>
          </w:p>
        </w:tc>
        <w:tc>
          <w:tcPr>
            <w:tcW w:w="1474" w:type="dxa"/>
            <w:tcBorders>
              <w:top w:val="single" w:sz="6" w:space="0" w:color="auto"/>
              <w:left w:val="single" w:sz="6" w:space="0" w:color="auto"/>
              <w:bottom w:val="single" w:sz="6" w:space="0" w:color="auto"/>
              <w:right w:val="single" w:sz="6" w:space="0" w:color="auto"/>
            </w:tcBorders>
            <w:vAlign w:val="center"/>
          </w:tcPr>
          <w:p w14:paraId="71B4A587" w14:textId="77777777" w:rsidR="001E4927" w:rsidRPr="0041217A" w:rsidRDefault="001E4927" w:rsidP="00026A32">
            <w:pPr>
              <w:ind w:left="0"/>
              <w:jc w:val="center"/>
              <w:rPr>
                <w:rFonts w:ascii="Calibri" w:hAnsi="Calibri" w:cs="Calibri"/>
                <w:sz w:val="20"/>
              </w:rPr>
            </w:pPr>
            <w:r w:rsidRPr="0041217A">
              <w:rPr>
                <w:rFonts w:ascii="Calibri" w:hAnsi="Calibri" w:cs="Calibri"/>
                <w:sz w:val="20"/>
              </w:rPr>
              <w:t>743</w:t>
            </w:r>
          </w:p>
        </w:tc>
        <w:tc>
          <w:tcPr>
            <w:tcW w:w="1474" w:type="dxa"/>
            <w:tcBorders>
              <w:top w:val="single" w:sz="6" w:space="0" w:color="auto"/>
              <w:left w:val="single" w:sz="6" w:space="0" w:color="auto"/>
              <w:bottom w:val="single" w:sz="6" w:space="0" w:color="auto"/>
              <w:right w:val="single" w:sz="6" w:space="0" w:color="auto"/>
            </w:tcBorders>
            <w:vAlign w:val="center"/>
          </w:tcPr>
          <w:p w14:paraId="3A3F1D8F" w14:textId="77777777" w:rsidR="001E4927" w:rsidRPr="0041217A" w:rsidRDefault="001E4927" w:rsidP="00026A32">
            <w:pPr>
              <w:ind w:left="0"/>
              <w:jc w:val="center"/>
              <w:rPr>
                <w:rFonts w:ascii="Calibri" w:hAnsi="Calibri" w:cs="Calibri"/>
                <w:color w:val="000000"/>
                <w:sz w:val="20"/>
              </w:rPr>
            </w:pPr>
            <w:r w:rsidRPr="0041217A">
              <w:rPr>
                <w:rFonts w:ascii="Calibri" w:hAnsi="Calibri" w:cs="Calibri"/>
                <w:color w:val="000000"/>
                <w:sz w:val="20"/>
              </w:rPr>
              <w:t>34.8%</w:t>
            </w:r>
          </w:p>
        </w:tc>
      </w:tr>
      <w:tr w:rsidR="001E4927" w:rsidRPr="0041217A" w14:paraId="595A9ACC" w14:textId="77777777" w:rsidTr="006D1AB0">
        <w:trPr>
          <w:trHeight w:val="312"/>
        </w:trPr>
        <w:tc>
          <w:tcPr>
            <w:tcW w:w="2531" w:type="dxa"/>
            <w:vAlign w:val="center"/>
          </w:tcPr>
          <w:p w14:paraId="05339AA5" w14:textId="77777777" w:rsidR="001E4927" w:rsidRPr="0041217A" w:rsidRDefault="001E4927" w:rsidP="00026A32">
            <w:pPr>
              <w:ind w:left="0"/>
              <w:rPr>
                <w:rFonts w:ascii="Calibri" w:hAnsi="Calibri" w:cs="Calibri"/>
                <w:sz w:val="20"/>
                <w:lang w:val="en-US"/>
              </w:rPr>
            </w:pPr>
            <w:r w:rsidRPr="0041217A">
              <w:rPr>
                <w:rFonts w:ascii="Calibri" w:hAnsi="Calibri" w:cs="Calibri"/>
                <w:sz w:val="20"/>
                <w:lang w:val="en-US"/>
              </w:rPr>
              <w:t>Special</w:t>
            </w:r>
          </w:p>
        </w:tc>
        <w:tc>
          <w:tcPr>
            <w:tcW w:w="1474" w:type="dxa"/>
            <w:tcBorders>
              <w:top w:val="single" w:sz="6" w:space="0" w:color="auto"/>
              <w:bottom w:val="single" w:sz="6" w:space="0" w:color="auto"/>
              <w:right w:val="single" w:sz="6" w:space="0" w:color="auto"/>
            </w:tcBorders>
            <w:vAlign w:val="center"/>
          </w:tcPr>
          <w:p w14:paraId="27C052FB" w14:textId="77777777" w:rsidR="001E4927" w:rsidRPr="0041217A" w:rsidRDefault="001E4927" w:rsidP="00026A32">
            <w:pPr>
              <w:ind w:left="0"/>
              <w:jc w:val="center"/>
              <w:rPr>
                <w:rFonts w:ascii="Calibri" w:hAnsi="Calibri" w:cs="Calibri"/>
                <w:sz w:val="20"/>
              </w:rPr>
            </w:pPr>
            <w:r w:rsidRPr="0041217A">
              <w:rPr>
                <w:rFonts w:ascii="Calibri" w:hAnsi="Calibri" w:cs="Calibri"/>
                <w:sz w:val="20"/>
              </w:rPr>
              <w:t>23</w:t>
            </w:r>
          </w:p>
        </w:tc>
        <w:tc>
          <w:tcPr>
            <w:tcW w:w="1474" w:type="dxa"/>
            <w:tcBorders>
              <w:top w:val="single" w:sz="6" w:space="0" w:color="auto"/>
              <w:left w:val="single" w:sz="6" w:space="0" w:color="auto"/>
              <w:bottom w:val="single" w:sz="6" w:space="0" w:color="auto"/>
              <w:right w:val="single" w:sz="6" w:space="0" w:color="auto"/>
            </w:tcBorders>
            <w:vAlign w:val="center"/>
          </w:tcPr>
          <w:p w14:paraId="183C3304" w14:textId="77777777" w:rsidR="001E4927" w:rsidRPr="0041217A" w:rsidRDefault="001E4927" w:rsidP="00026A32">
            <w:pPr>
              <w:ind w:left="0"/>
              <w:jc w:val="center"/>
              <w:rPr>
                <w:rFonts w:ascii="Calibri" w:hAnsi="Calibri" w:cs="Calibri"/>
                <w:sz w:val="20"/>
              </w:rPr>
            </w:pPr>
            <w:r w:rsidRPr="0041217A">
              <w:rPr>
                <w:rFonts w:ascii="Calibri" w:hAnsi="Calibri" w:cs="Calibri"/>
                <w:sz w:val="20"/>
              </w:rPr>
              <w:t>1.1%</w:t>
            </w:r>
          </w:p>
        </w:tc>
        <w:tc>
          <w:tcPr>
            <w:tcW w:w="1474" w:type="dxa"/>
            <w:tcBorders>
              <w:top w:val="single" w:sz="6" w:space="0" w:color="auto"/>
              <w:left w:val="single" w:sz="6" w:space="0" w:color="auto"/>
              <w:bottom w:val="single" w:sz="6" w:space="0" w:color="auto"/>
              <w:right w:val="single" w:sz="6" w:space="0" w:color="auto"/>
            </w:tcBorders>
            <w:vAlign w:val="center"/>
          </w:tcPr>
          <w:p w14:paraId="587DCD09" w14:textId="77777777" w:rsidR="001E4927" w:rsidRPr="0041217A" w:rsidRDefault="001E4927" w:rsidP="00026A32">
            <w:pPr>
              <w:ind w:left="0"/>
              <w:jc w:val="center"/>
              <w:rPr>
                <w:rFonts w:ascii="Calibri" w:hAnsi="Calibri" w:cs="Calibri"/>
                <w:sz w:val="20"/>
              </w:rPr>
            </w:pPr>
            <w:r w:rsidRPr="0041217A">
              <w:rPr>
                <w:rFonts w:ascii="Calibri" w:hAnsi="Calibri" w:cs="Calibri"/>
                <w:sz w:val="20"/>
              </w:rPr>
              <w:t>18</w:t>
            </w:r>
          </w:p>
        </w:tc>
        <w:tc>
          <w:tcPr>
            <w:tcW w:w="1474" w:type="dxa"/>
            <w:tcBorders>
              <w:top w:val="single" w:sz="6" w:space="0" w:color="auto"/>
              <w:left w:val="single" w:sz="6" w:space="0" w:color="auto"/>
              <w:bottom w:val="single" w:sz="6" w:space="0" w:color="auto"/>
              <w:right w:val="single" w:sz="6" w:space="0" w:color="auto"/>
            </w:tcBorders>
            <w:vAlign w:val="center"/>
          </w:tcPr>
          <w:p w14:paraId="6D2FAF07" w14:textId="77777777" w:rsidR="001E4927" w:rsidRPr="0041217A" w:rsidRDefault="001E4927" w:rsidP="00026A32">
            <w:pPr>
              <w:ind w:left="0"/>
              <w:jc w:val="center"/>
              <w:rPr>
                <w:rFonts w:ascii="Calibri" w:hAnsi="Calibri" w:cs="Calibri"/>
                <w:color w:val="000000"/>
                <w:sz w:val="20"/>
              </w:rPr>
            </w:pPr>
            <w:r w:rsidRPr="0041217A">
              <w:rPr>
                <w:rFonts w:ascii="Calibri" w:hAnsi="Calibri" w:cs="Calibri"/>
                <w:color w:val="000000"/>
                <w:sz w:val="20"/>
              </w:rPr>
              <w:t>0.8%</w:t>
            </w:r>
          </w:p>
        </w:tc>
      </w:tr>
      <w:tr w:rsidR="001E4927" w:rsidRPr="0041217A" w14:paraId="46BF8A9C" w14:textId="77777777" w:rsidTr="006D1AB0">
        <w:trPr>
          <w:trHeight w:val="312"/>
        </w:trPr>
        <w:tc>
          <w:tcPr>
            <w:tcW w:w="2531" w:type="dxa"/>
            <w:tcBorders>
              <w:bottom w:val="single" w:sz="4" w:space="0" w:color="auto"/>
            </w:tcBorders>
            <w:vAlign w:val="center"/>
          </w:tcPr>
          <w:p w14:paraId="03F17CAC" w14:textId="77777777" w:rsidR="001E4927" w:rsidRPr="0041217A" w:rsidRDefault="001E4927" w:rsidP="00026A32">
            <w:pPr>
              <w:ind w:left="0"/>
              <w:rPr>
                <w:rFonts w:ascii="Calibri" w:hAnsi="Calibri" w:cs="Calibri"/>
                <w:sz w:val="20"/>
                <w:lang w:val="en-US"/>
              </w:rPr>
            </w:pPr>
            <w:r w:rsidRPr="0041217A">
              <w:rPr>
                <w:rFonts w:ascii="Calibri" w:hAnsi="Calibri" w:cs="Calibri"/>
                <w:sz w:val="20"/>
                <w:lang w:val="en-US"/>
              </w:rPr>
              <w:t>Independent schools</w:t>
            </w:r>
          </w:p>
        </w:tc>
        <w:tc>
          <w:tcPr>
            <w:tcW w:w="1474" w:type="dxa"/>
            <w:tcBorders>
              <w:top w:val="single" w:sz="6" w:space="0" w:color="auto"/>
              <w:bottom w:val="single" w:sz="4" w:space="0" w:color="auto"/>
              <w:right w:val="single" w:sz="6" w:space="0" w:color="auto"/>
            </w:tcBorders>
            <w:vAlign w:val="center"/>
          </w:tcPr>
          <w:p w14:paraId="62488FEC" w14:textId="77777777" w:rsidR="001E4927" w:rsidRPr="0041217A" w:rsidRDefault="001E4927" w:rsidP="00026A32">
            <w:pPr>
              <w:ind w:left="0"/>
              <w:jc w:val="center"/>
              <w:rPr>
                <w:rFonts w:ascii="Calibri" w:hAnsi="Calibri" w:cs="Calibri"/>
                <w:bCs/>
                <w:sz w:val="20"/>
              </w:rPr>
            </w:pPr>
            <w:r w:rsidRPr="0041217A">
              <w:rPr>
                <w:rFonts w:ascii="Calibri" w:hAnsi="Calibri" w:cs="Calibri"/>
                <w:bCs/>
                <w:sz w:val="20"/>
              </w:rPr>
              <w:t>12</w:t>
            </w:r>
          </w:p>
        </w:tc>
        <w:tc>
          <w:tcPr>
            <w:tcW w:w="1474" w:type="dxa"/>
            <w:tcBorders>
              <w:top w:val="single" w:sz="6" w:space="0" w:color="auto"/>
              <w:left w:val="single" w:sz="6" w:space="0" w:color="auto"/>
              <w:bottom w:val="single" w:sz="4" w:space="0" w:color="auto"/>
              <w:right w:val="single" w:sz="6" w:space="0" w:color="auto"/>
            </w:tcBorders>
            <w:vAlign w:val="center"/>
          </w:tcPr>
          <w:p w14:paraId="14C64ED7" w14:textId="77777777" w:rsidR="001E4927" w:rsidRPr="0041217A" w:rsidRDefault="001E4927" w:rsidP="00026A32">
            <w:pPr>
              <w:ind w:left="0"/>
              <w:jc w:val="center"/>
              <w:rPr>
                <w:rFonts w:ascii="Calibri" w:hAnsi="Calibri" w:cs="Calibri"/>
                <w:bCs/>
                <w:sz w:val="20"/>
              </w:rPr>
            </w:pPr>
            <w:r w:rsidRPr="0041217A">
              <w:rPr>
                <w:rFonts w:ascii="Calibri" w:hAnsi="Calibri" w:cs="Calibri"/>
                <w:bCs/>
                <w:sz w:val="20"/>
              </w:rPr>
              <w:t>0.6%</w:t>
            </w:r>
          </w:p>
        </w:tc>
        <w:tc>
          <w:tcPr>
            <w:tcW w:w="1474" w:type="dxa"/>
            <w:tcBorders>
              <w:top w:val="single" w:sz="6" w:space="0" w:color="auto"/>
              <w:left w:val="single" w:sz="6" w:space="0" w:color="auto"/>
              <w:bottom w:val="single" w:sz="4" w:space="0" w:color="auto"/>
              <w:right w:val="single" w:sz="6" w:space="0" w:color="auto"/>
            </w:tcBorders>
            <w:vAlign w:val="center"/>
          </w:tcPr>
          <w:p w14:paraId="16CB5C7C" w14:textId="77777777" w:rsidR="001E4927" w:rsidRPr="0041217A" w:rsidRDefault="001E4927" w:rsidP="00026A32">
            <w:pPr>
              <w:ind w:left="0"/>
              <w:jc w:val="center"/>
              <w:rPr>
                <w:rFonts w:ascii="Calibri" w:hAnsi="Calibri" w:cs="Calibri"/>
                <w:bCs/>
                <w:sz w:val="20"/>
              </w:rPr>
            </w:pPr>
            <w:r w:rsidRPr="0041217A">
              <w:rPr>
                <w:rFonts w:ascii="Calibri" w:hAnsi="Calibri" w:cs="Calibri"/>
                <w:bCs/>
                <w:sz w:val="20"/>
              </w:rPr>
              <w:t>9</w:t>
            </w:r>
          </w:p>
        </w:tc>
        <w:tc>
          <w:tcPr>
            <w:tcW w:w="1474" w:type="dxa"/>
            <w:tcBorders>
              <w:top w:val="single" w:sz="6" w:space="0" w:color="auto"/>
              <w:left w:val="single" w:sz="6" w:space="0" w:color="auto"/>
              <w:bottom w:val="single" w:sz="4" w:space="0" w:color="auto"/>
              <w:right w:val="single" w:sz="6" w:space="0" w:color="auto"/>
            </w:tcBorders>
            <w:vAlign w:val="center"/>
          </w:tcPr>
          <w:p w14:paraId="12A7B460" w14:textId="77777777" w:rsidR="001E4927" w:rsidRPr="0041217A" w:rsidRDefault="001E4927" w:rsidP="00026A32">
            <w:pPr>
              <w:ind w:left="0"/>
              <w:jc w:val="center"/>
              <w:rPr>
                <w:rFonts w:ascii="Calibri" w:hAnsi="Calibri" w:cs="Calibri"/>
                <w:color w:val="000000"/>
                <w:sz w:val="20"/>
              </w:rPr>
            </w:pPr>
            <w:r w:rsidRPr="0041217A">
              <w:rPr>
                <w:rFonts w:ascii="Calibri" w:hAnsi="Calibri" w:cs="Calibri"/>
                <w:color w:val="000000"/>
                <w:sz w:val="20"/>
              </w:rPr>
              <w:t>0.4%</w:t>
            </w:r>
          </w:p>
        </w:tc>
      </w:tr>
      <w:tr w:rsidR="001E4927" w:rsidRPr="0041217A" w14:paraId="4547FCA0" w14:textId="77777777" w:rsidTr="006D1AB0">
        <w:trPr>
          <w:trHeight w:val="312"/>
        </w:trPr>
        <w:tc>
          <w:tcPr>
            <w:tcW w:w="2531" w:type="dxa"/>
            <w:tcBorders>
              <w:bottom w:val="single" w:sz="4" w:space="0" w:color="auto"/>
            </w:tcBorders>
            <w:vAlign w:val="center"/>
          </w:tcPr>
          <w:p w14:paraId="3D35644E" w14:textId="77777777" w:rsidR="001E4927" w:rsidRPr="0041217A" w:rsidRDefault="001E4927" w:rsidP="00026A32">
            <w:pPr>
              <w:ind w:left="0"/>
              <w:rPr>
                <w:rFonts w:ascii="Calibri" w:hAnsi="Calibri" w:cs="Calibri"/>
                <w:b/>
                <w:sz w:val="20"/>
                <w:lang w:val="en-US"/>
              </w:rPr>
            </w:pPr>
            <w:r w:rsidRPr="0041217A">
              <w:rPr>
                <w:rFonts w:ascii="Calibri" w:hAnsi="Calibri" w:cs="Calibri"/>
                <w:b/>
                <w:sz w:val="20"/>
                <w:lang w:val="en-US"/>
              </w:rPr>
              <w:t>Total</w:t>
            </w:r>
          </w:p>
        </w:tc>
        <w:tc>
          <w:tcPr>
            <w:tcW w:w="1474" w:type="dxa"/>
            <w:tcBorders>
              <w:top w:val="single" w:sz="6" w:space="0" w:color="auto"/>
              <w:bottom w:val="single" w:sz="4" w:space="0" w:color="auto"/>
              <w:right w:val="single" w:sz="6" w:space="0" w:color="auto"/>
            </w:tcBorders>
            <w:vAlign w:val="center"/>
          </w:tcPr>
          <w:p w14:paraId="4455D1D0" w14:textId="77777777" w:rsidR="001E4927" w:rsidRPr="0041217A" w:rsidRDefault="001E4927" w:rsidP="00026A32">
            <w:pPr>
              <w:ind w:left="0"/>
              <w:jc w:val="center"/>
              <w:rPr>
                <w:rFonts w:ascii="Calibri" w:hAnsi="Calibri" w:cs="Calibri"/>
                <w:b/>
                <w:bCs/>
                <w:sz w:val="20"/>
              </w:rPr>
            </w:pPr>
            <w:r w:rsidRPr="0041217A">
              <w:rPr>
                <w:rFonts w:ascii="Calibri" w:hAnsi="Calibri" w:cs="Calibri"/>
                <w:b/>
                <w:bCs/>
                <w:sz w:val="20"/>
              </w:rPr>
              <w:t>2,057</w:t>
            </w:r>
          </w:p>
        </w:tc>
        <w:tc>
          <w:tcPr>
            <w:tcW w:w="1474" w:type="dxa"/>
            <w:tcBorders>
              <w:top w:val="single" w:sz="6" w:space="0" w:color="auto"/>
              <w:left w:val="single" w:sz="6" w:space="0" w:color="auto"/>
              <w:bottom w:val="single" w:sz="4" w:space="0" w:color="auto"/>
              <w:right w:val="single" w:sz="6" w:space="0" w:color="auto"/>
            </w:tcBorders>
            <w:vAlign w:val="center"/>
          </w:tcPr>
          <w:p w14:paraId="2B5EEB5C" w14:textId="77777777" w:rsidR="001E4927" w:rsidRPr="0041217A" w:rsidRDefault="001E4927" w:rsidP="00026A32">
            <w:pPr>
              <w:ind w:left="0"/>
              <w:jc w:val="center"/>
              <w:rPr>
                <w:rFonts w:ascii="Calibri" w:hAnsi="Calibri" w:cs="Calibri"/>
                <w:b/>
                <w:bCs/>
                <w:sz w:val="20"/>
              </w:rPr>
            </w:pPr>
            <w:r w:rsidRPr="0041217A">
              <w:rPr>
                <w:rFonts w:ascii="Calibri" w:hAnsi="Calibri" w:cs="Calibri"/>
                <w:b/>
                <w:bCs/>
                <w:sz w:val="20"/>
              </w:rPr>
              <w:t>100.0%</w:t>
            </w:r>
          </w:p>
        </w:tc>
        <w:tc>
          <w:tcPr>
            <w:tcW w:w="1474" w:type="dxa"/>
            <w:tcBorders>
              <w:top w:val="single" w:sz="6" w:space="0" w:color="auto"/>
              <w:left w:val="single" w:sz="6" w:space="0" w:color="auto"/>
              <w:bottom w:val="single" w:sz="4" w:space="0" w:color="auto"/>
              <w:right w:val="single" w:sz="6" w:space="0" w:color="auto"/>
            </w:tcBorders>
            <w:vAlign w:val="center"/>
          </w:tcPr>
          <w:p w14:paraId="7377F73E" w14:textId="77777777" w:rsidR="001E4927" w:rsidRPr="0041217A" w:rsidRDefault="001E4927" w:rsidP="00026A32">
            <w:pPr>
              <w:ind w:left="0"/>
              <w:jc w:val="center"/>
              <w:rPr>
                <w:rFonts w:ascii="Calibri" w:hAnsi="Calibri" w:cs="Calibri"/>
                <w:b/>
                <w:bCs/>
                <w:sz w:val="20"/>
              </w:rPr>
            </w:pPr>
            <w:r w:rsidRPr="0041217A">
              <w:rPr>
                <w:rFonts w:ascii="Calibri" w:hAnsi="Calibri" w:cs="Calibri"/>
                <w:b/>
                <w:bCs/>
                <w:sz w:val="20"/>
              </w:rPr>
              <w:t>2,135</w:t>
            </w:r>
          </w:p>
        </w:tc>
        <w:tc>
          <w:tcPr>
            <w:tcW w:w="1474" w:type="dxa"/>
            <w:tcBorders>
              <w:top w:val="single" w:sz="6" w:space="0" w:color="auto"/>
              <w:left w:val="single" w:sz="6" w:space="0" w:color="auto"/>
              <w:bottom w:val="single" w:sz="4" w:space="0" w:color="auto"/>
              <w:right w:val="single" w:sz="6" w:space="0" w:color="auto"/>
            </w:tcBorders>
            <w:vAlign w:val="center"/>
          </w:tcPr>
          <w:p w14:paraId="5C550905" w14:textId="77777777" w:rsidR="001E4927" w:rsidRPr="0041217A" w:rsidRDefault="001E4927" w:rsidP="00026A32">
            <w:pPr>
              <w:ind w:left="0"/>
              <w:jc w:val="center"/>
              <w:rPr>
                <w:rFonts w:ascii="Calibri" w:hAnsi="Calibri" w:cs="Calibri"/>
                <w:b/>
                <w:bCs/>
                <w:sz w:val="20"/>
              </w:rPr>
            </w:pPr>
            <w:r w:rsidRPr="0041217A">
              <w:rPr>
                <w:rFonts w:ascii="Calibri" w:hAnsi="Calibri" w:cs="Calibri"/>
                <w:b/>
                <w:bCs/>
                <w:sz w:val="20"/>
              </w:rPr>
              <w:t>100.0%</w:t>
            </w:r>
          </w:p>
        </w:tc>
      </w:tr>
    </w:tbl>
    <w:p w14:paraId="75B370F8" w14:textId="1416658C" w:rsidR="001E4927" w:rsidRDefault="001E4927" w:rsidP="00772123">
      <w:pPr>
        <w:ind w:left="0" w:firstLine="720"/>
        <w:jc w:val="both"/>
        <w:rPr>
          <w:rFonts w:ascii="Calibri" w:hAnsi="Calibri" w:cs="Calibri"/>
          <w:sz w:val="16"/>
          <w:szCs w:val="16"/>
        </w:rPr>
      </w:pPr>
      <w:r w:rsidRPr="0041217A">
        <w:rPr>
          <w:rFonts w:ascii="Calibri" w:hAnsi="Calibri" w:cs="Calibri"/>
          <w:sz w:val="16"/>
          <w:szCs w:val="16"/>
        </w:rPr>
        <w:t>Source: Aberdeen City Council, Education and Children’s Services</w:t>
      </w:r>
    </w:p>
    <w:p w14:paraId="3A427B36" w14:textId="61DE98D1" w:rsidR="007E5CA6" w:rsidRDefault="007E5CA6" w:rsidP="00772123">
      <w:pPr>
        <w:ind w:left="0" w:firstLine="720"/>
        <w:jc w:val="both"/>
        <w:rPr>
          <w:rFonts w:ascii="Calibri" w:hAnsi="Calibri" w:cs="Calibri"/>
        </w:rPr>
      </w:pPr>
    </w:p>
    <w:p w14:paraId="381203AA" w14:textId="77777777" w:rsidR="00C57F9A" w:rsidRPr="0041217A" w:rsidRDefault="00C57F9A" w:rsidP="001E4927">
      <w:pPr>
        <w:ind w:firstLine="720"/>
        <w:jc w:val="both"/>
        <w:rPr>
          <w:rFonts w:ascii="Calibri" w:hAnsi="Calibri" w:cs="Calibri"/>
          <w:sz w:val="16"/>
          <w:szCs w:val="16"/>
          <w:lang w:val="en-US"/>
        </w:rPr>
      </w:pPr>
    </w:p>
    <w:p w14:paraId="4920F5EE" w14:textId="67F53CF4" w:rsidR="00C57F9A" w:rsidRDefault="00C57F9A" w:rsidP="00740836">
      <w:pPr>
        <w:pStyle w:val="Heading2"/>
        <w:numPr>
          <w:ilvl w:val="1"/>
          <w:numId w:val="4"/>
        </w:numPr>
        <w:spacing w:after="240"/>
      </w:pPr>
      <w:bookmarkStart w:id="45" w:name="_Toc519088578"/>
      <w:r>
        <w:t>Child heath</w:t>
      </w:r>
      <w:bookmarkEnd w:id="45"/>
      <w:r>
        <w:t xml:space="preserve"> </w:t>
      </w:r>
    </w:p>
    <w:p w14:paraId="4119F864" w14:textId="0055F2D8" w:rsidR="00EF33A5" w:rsidRDefault="00EF33A5" w:rsidP="00F22425">
      <w:pPr>
        <w:pStyle w:val="Heading2"/>
        <w:numPr>
          <w:ilvl w:val="2"/>
          <w:numId w:val="4"/>
        </w:numPr>
        <w:spacing w:after="240"/>
      </w:pPr>
      <w:bookmarkStart w:id="46" w:name="_Toc519088579"/>
      <w:r>
        <w:t>Breast feeding</w:t>
      </w:r>
      <w:bookmarkEnd w:id="46"/>
    </w:p>
    <w:p w14:paraId="5D355B36" w14:textId="41C57FB6" w:rsidR="00EF33A5" w:rsidRDefault="00EF33A5" w:rsidP="00EF33A5">
      <w:r>
        <w:t>In 2014/15 to 2016/17 (3-year aggregate), 36.8% of babies in the City were exclusively breast-fed at the time of their 6-8 week review.  This is significantly higher than the Scottish average of 28.1%.  Breast-feeding rates varied across the City – from a low of 16% in Sheddocksley to a high of 66.0% in West End North.</w:t>
      </w:r>
    </w:p>
    <w:p w14:paraId="50C14B6C" w14:textId="76DF9AD0" w:rsidR="00EF33A5" w:rsidRDefault="00EF33A5" w:rsidP="00EF33A5"/>
    <w:p w14:paraId="7B4307BC" w14:textId="5682CEB9" w:rsidR="00EF33A5" w:rsidRDefault="00EF33A5" w:rsidP="00EF33A5">
      <w:r>
        <w:rPr>
          <w:noProof/>
        </w:rPr>
        <w:drawing>
          <wp:inline distT="0" distB="0" distL="0" distR="0" wp14:anchorId="2816765A" wp14:editId="44D0EF92">
            <wp:extent cx="5151755" cy="3527946"/>
            <wp:effectExtent l="0" t="0" r="10795" b="15875"/>
            <wp:docPr id="238" name="Chart 238">
              <a:extLst xmlns:a="http://schemas.openxmlformats.org/drawingml/2006/main">
                <a:ext uri="{FF2B5EF4-FFF2-40B4-BE49-F238E27FC236}">
                  <a16:creationId xmlns:a16="http://schemas.microsoft.com/office/drawing/2014/main" id="{64DBAE46-E79C-4A93-B96A-84C2ADFAE8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73B2BD3" w14:textId="77777777" w:rsidR="00EF33A5" w:rsidRPr="00EF33A5" w:rsidRDefault="00EF33A5" w:rsidP="00EF33A5">
      <w:pPr>
        <w:rPr>
          <w:sz w:val="16"/>
          <w:szCs w:val="16"/>
        </w:rPr>
      </w:pPr>
      <w:r w:rsidRPr="00EF33A5">
        <w:rPr>
          <w:sz w:val="16"/>
          <w:szCs w:val="16"/>
        </w:rPr>
        <w:t>Source: ScotPHO Health and Wellbeing Profiles</w:t>
      </w:r>
    </w:p>
    <w:p w14:paraId="7341612D" w14:textId="77777777" w:rsidR="00EF33A5" w:rsidRPr="00EF33A5" w:rsidRDefault="00EF33A5" w:rsidP="00EF33A5"/>
    <w:p w14:paraId="62378CDE" w14:textId="691F9733" w:rsidR="00F22425" w:rsidRPr="00F22425" w:rsidRDefault="00A82EFA" w:rsidP="00F22425">
      <w:pPr>
        <w:pStyle w:val="Heading2"/>
        <w:numPr>
          <w:ilvl w:val="2"/>
          <w:numId w:val="4"/>
        </w:numPr>
        <w:spacing w:after="240"/>
      </w:pPr>
      <w:bookmarkStart w:id="47" w:name="_Toc519088580"/>
      <w:r w:rsidRPr="00F22425">
        <w:t>Immunisation</w:t>
      </w:r>
      <w:bookmarkEnd w:id="47"/>
      <w:r w:rsidRPr="00F22425">
        <w:t xml:space="preserve">  </w:t>
      </w:r>
    </w:p>
    <w:p w14:paraId="33BF6E40" w14:textId="24103039" w:rsidR="00A82EFA" w:rsidRDefault="00BC783B" w:rsidP="00A82EFA">
      <w:r w:rsidRPr="00BC783B">
        <w:t>In Scotland there is a national target for 95% of children to complete courses of routine childhood immunisations (Diphtheria, Tetanus, Pertussis, Polio, Hib (DTP/Pol/Hib), Men C and Pneumococcal Conjugate Vaccine (PCV)) by 24 months of age.</w:t>
      </w:r>
      <w:r>
        <w:t xml:space="preserve">  Rates of babies who have </w:t>
      </w:r>
      <w:r>
        <w:lastRenderedPageBreak/>
        <w:t xml:space="preserve">completed the primary and booster courses for these immunisations by 24 months are lower in Aberdeen City than in Scotland.  </w:t>
      </w:r>
    </w:p>
    <w:p w14:paraId="1C16AF02" w14:textId="77777777" w:rsidR="00772123" w:rsidRDefault="00772123" w:rsidP="00A82EFA"/>
    <w:p w14:paraId="532FE09B" w14:textId="0532A58D" w:rsidR="00BC783B" w:rsidRDefault="00BC783B" w:rsidP="00BC783B">
      <w:r>
        <w:rPr>
          <w:noProof/>
        </w:rPr>
        <w:drawing>
          <wp:inline distT="0" distB="0" distL="0" distR="0" wp14:anchorId="168D6F40" wp14:editId="19E4D15C">
            <wp:extent cx="5334000" cy="2743200"/>
            <wp:effectExtent l="0" t="0" r="0" b="0"/>
            <wp:docPr id="26" name="Chart 26">
              <a:extLst xmlns:a="http://schemas.openxmlformats.org/drawingml/2006/main">
                <a:ext uri="{FF2B5EF4-FFF2-40B4-BE49-F238E27FC236}">
                  <a16:creationId xmlns:a16="http://schemas.microsoft.com/office/drawing/2014/main" id="{5A110AD4-3F41-4C0D-9D24-F7B82C8BED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305C960" w14:textId="0D21E8B0" w:rsidR="00BC783B" w:rsidRPr="00BC783B" w:rsidRDefault="00BC783B" w:rsidP="00BC783B">
      <w:pPr>
        <w:rPr>
          <w:sz w:val="16"/>
          <w:szCs w:val="16"/>
        </w:rPr>
      </w:pPr>
      <w:r w:rsidRPr="00BC783B">
        <w:rPr>
          <w:sz w:val="16"/>
          <w:szCs w:val="16"/>
        </w:rPr>
        <w:t xml:space="preserve">Source: ISD Scotland, Childhood Immunisation Statistics, available at: </w:t>
      </w:r>
      <w:hyperlink r:id="rId79" w:anchor="2136" w:history="1">
        <w:r w:rsidRPr="00BC783B">
          <w:rPr>
            <w:rStyle w:val="Hyperlink"/>
            <w:sz w:val="16"/>
            <w:szCs w:val="16"/>
          </w:rPr>
          <w:t>http://www.isdscotland.org/Health-Topics/Child-Health/publications/data-tables2017.asp?id=2136#2136</w:t>
        </w:r>
      </w:hyperlink>
      <w:r w:rsidRPr="00BC783B">
        <w:rPr>
          <w:sz w:val="16"/>
          <w:szCs w:val="16"/>
        </w:rPr>
        <w:t xml:space="preserve"> </w:t>
      </w:r>
    </w:p>
    <w:p w14:paraId="1B6A43FD" w14:textId="5C12F867" w:rsidR="00BC783B" w:rsidRDefault="00BC783B" w:rsidP="00A82EFA"/>
    <w:p w14:paraId="7AA318FB" w14:textId="1B47BD03" w:rsidR="00C17EE3" w:rsidRDefault="00C17EE3" w:rsidP="00C17EE3">
      <w:r w:rsidRPr="00C17EE3">
        <w:t xml:space="preserve">For Hib/MenC and PCVB uptake rates are the lowest of all local authorities, and for DTP/Pol/Hib and MMR1 uptake rates are the second lowest of all local authorities. </w:t>
      </w:r>
    </w:p>
    <w:p w14:paraId="2A2ADDBB" w14:textId="77777777" w:rsidR="00772123" w:rsidRPr="00C17EE3" w:rsidRDefault="00772123" w:rsidP="00C17EE3"/>
    <w:p w14:paraId="5AEFFA70" w14:textId="65DE878B" w:rsidR="00BC783B" w:rsidRDefault="00BC783B" w:rsidP="00C17EE3">
      <w:r>
        <w:rPr>
          <w:noProof/>
        </w:rPr>
        <w:drawing>
          <wp:inline distT="0" distB="0" distL="0" distR="0" wp14:anchorId="585192F8" wp14:editId="04220C76">
            <wp:extent cx="5731510" cy="2544417"/>
            <wp:effectExtent l="0" t="0" r="2540" b="8890"/>
            <wp:docPr id="27" name="Chart 27">
              <a:extLst xmlns:a="http://schemas.openxmlformats.org/drawingml/2006/main">
                <a:ext uri="{FF2B5EF4-FFF2-40B4-BE49-F238E27FC236}">
                  <a16:creationId xmlns:a16="http://schemas.microsoft.com/office/drawing/2014/main" id="{2279013C-2405-4B3C-A03A-7114C9AAE1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2502BF08" w14:textId="68E85FFB" w:rsidR="00C17EE3" w:rsidRDefault="00C17EE3" w:rsidP="00C17EE3">
      <w:r w:rsidRPr="00BC783B">
        <w:rPr>
          <w:sz w:val="16"/>
          <w:szCs w:val="16"/>
        </w:rPr>
        <w:t xml:space="preserve">Source: ISD Scotland, Childhood Immunisation Statistics, available at: </w:t>
      </w:r>
      <w:hyperlink r:id="rId81" w:anchor="2136" w:history="1">
        <w:r w:rsidRPr="00BC783B">
          <w:rPr>
            <w:rStyle w:val="Hyperlink"/>
            <w:sz w:val="16"/>
            <w:szCs w:val="16"/>
          </w:rPr>
          <w:t>http://www.isdscotland.org/Health-Topics/Child-Health/publications/data-tables2017.asp?id=2136#2136</w:t>
        </w:r>
      </w:hyperlink>
    </w:p>
    <w:p w14:paraId="421FB4B8" w14:textId="037CE420" w:rsidR="003301EB" w:rsidRDefault="003301EB" w:rsidP="00BA5DA4">
      <w:pPr>
        <w:ind w:left="576"/>
        <w:rPr>
          <w:b/>
        </w:rPr>
      </w:pPr>
    </w:p>
    <w:p w14:paraId="2B9E4CD5" w14:textId="36EABB57" w:rsidR="00F22425" w:rsidRPr="00F22425" w:rsidRDefault="00BA5DA4" w:rsidP="00F22425">
      <w:pPr>
        <w:pStyle w:val="Heading2"/>
        <w:numPr>
          <w:ilvl w:val="2"/>
          <w:numId w:val="4"/>
        </w:numPr>
        <w:spacing w:after="240"/>
      </w:pPr>
      <w:bookmarkStart w:id="48" w:name="_Toc519088581"/>
      <w:r w:rsidRPr="00F22425">
        <w:t>Healthy weight</w:t>
      </w:r>
      <w:bookmarkEnd w:id="48"/>
    </w:p>
    <w:p w14:paraId="54C08306" w14:textId="00414147" w:rsidR="00BA5DA4" w:rsidRDefault="00BA5DA4" w:rsidP="00BA5DA4">
      <w:pPr>
        <w:ind w:left="576"/>
      </w:pPr>
      <w:r w:rsidRPr="00693E15">
        <w:t xml:space="preserve">Children’s weight and growth is an important marker of their general nutrition and physical health.  Child growth references are widely used as a tool for detecting children who are not growing properly or who are under- or over-weight.   </w:t>
      </w:r>
    </w:p>
    <w:p w14:paraId="6271E7FB" w14:textId="77777777" w:rsidR="008B6FFD" w:rsidRDefault="008B6FFD" w:rsidP="00BA5DA4">
      <w:pPr>
        <w:ind w:left="576"/>
      </w:pPr>
    </w:p>
    <w:p w14:paraId="5ED1F596" w14:textId="654E64BF" w:rsidR="005B6B74" w:rsidRDefault="005B6B74" w:rsidP="00BA5DA4">
      <w:pPr>
        <w:ind w:left="576"/>
      </w:pPr>
      <w:r w:rsidRPr="005B6B74">
        <w:t>In 201</w:t>
      </w:r>
      <w:r>
        <w:t>6</w:t>
      </w:r>
      <w:r w:rsidRPr="005B6B74">
        <w:t>/1</w:t>
      </w:r>
      <w:r>
        <w:t>7</w:t>
      </w:r>
      <w:r w:rsidRPr="005B6B74">
        <w:t>, height and weight measurements were recorded for</w:t>
      </w:r>
      <w:r w:rsidR="00A700D7">
        <w:t xml:space="preserve"> </w:t>
      </w:r>
      <w:r w:rsidR="00A700D7" w:rsidRPr="00693E15">
        <w:t>1,9</w:t>
      </w:r>
      <w:r w:rsidR="00A700D7">
        <w:t>09</w:t>
      </w:r>
      <w:r w:rsidR="00A700D7" w:rsidRPr="00693E15">
        <w:t xml:space="preserve"> Primary 1 children in Aberdeen City.</w:t>
      </w:r>
      <w:r w:rsidRPr="005B6B74">
        <w:t xml:space="preserve">  </w:t>
      </w:r>
      <w:r>
        <w:t xml:space="preserve">Of these, 77.4% were classified as ‘healthy weight’ – slightly higher than the </w:t>
      </w:r>
      <w:r>
        <w:lastRenderedPageBreak/>
        <w:t xml:space="preserve">figure for Scotland of 76.1%.  21.9% of P1 children </w:t>
      </w:r>
      <w:r w:rsidR="00EB18A1">
        <w:t xml:space="preserve">in Aberdeen City </w:t>
      </w:r>
      <w:r>
        <w:t xml:space="preserve">were classified as being at risk of overweight and obesity (compared to 22.9% in Scotland), and 0.7% as at being at risk of underweight (compared to 1.0% for Scotland).  </w:t>
      </w:r>
      <w:r w:rsidR="00EB18A1">
        <w:t>While there have been fluctuations, the underlying trend in Aberdeen City is of increasing proportions of P1 children at risk of overweight or obesity.</w:t>
      </w:r>
    </w:p>
    <w:p w14:paraId="0B7BDB77" w14:textId="77777777" w:rsidR="00026A32" w:rsidRDefault="00026A32" w:rsidP="00BA5DA4">
      <w:pPr>
        <w:ind w:left="576"/>
      </w:pPr>
    </w:p>
    <w:p w14:paraId="766C00AD" w14:textId="3C66EDE0" w:rsidR="005B6B74" w:rsidRDefault="005B6B74" w:rsidP="00EB18A1">
      <w:pPr>
        <w:ind w:left="578"/>
      </w:pPr>
      <w:r>
        <w:rPr>
          <w:noProof/>
        </w:rPr>
        <w:drawing>
          <wp:inline distT="0" distB="0" distL="0" distR="0" wp14:anchorId="02998585" wp14:editId="2C89E891">
            <wp:extent cx="5492750" cy="2870421"/>
            <wp:effectExtent l="0" t="0" r="12700" b="6350"/>
            <wp:docPr id="30" name="Chart 30">
              <a:extLst xmlns:a="http://schemas.openxmlformats.org/drawingml/2006/main">
                <a:ext uri="{FF2B5EF4-FFF2-40B4-BE49-F238E27FC236}">
                  <a16:creationId xmlns:a16="http://schemas.microsoft.com/office/drawing/2014/main" id="{F5B90546-6960-4BA6-807C-54D74B2604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53C084BD" w14:textId="35B71B4B" w:rsidR="00EB18A1" w:rsidRDefault="00EB18A1" w:rsidP="00EB18A1">
      <w:pPr>
        <w:ind w:left="578"/>
        <w:rPr>
          <w:sz w:val="16"/>
          <w:szCs w:val="16"/>
        </w:rPr>
      </w:pPr>
      <w:r w:rsidRPr="00EB18A1">
        <w:rPr>
          <w:sz w:val="16"/>
          <w:szCs w:val="16"/>
        </w:rPr>
        <w:t xml:space="preserve">ISD Scotland, Primary 1 Body Mass Index Statistics, available at: </w:t>
      </w:r>
      <w:hyperlink r:id="rId83" w:history="1">
        <w:r w:rsidRPr="00EB18A1">
          <w:rPr>
            <w:rStyle w:val="Hyperlink"/>
            <w:sz w:val="16"/>
            <w:szCs w:val="16"/>
          </w:rPr>
          <w:t>http://www.isdscotland.org/Health-Topics/Child-Health/Child-Weight-and-Growth/</w:t>
        </w:r>
      </w:hyperlink>
      <w:r w:rsidRPr="00EB18A1">
        <w:rPr>
          <w:sz w:val="16"/>
          <w:szCs w:val="16"/>
        </w:rPr>
        <w:t xml:space="preserve"> </w:t>
      </w:r>
    </w:p>
    <w:p w14:paraId="14244E6A" w14:textId="77777777" w:rsidR="00917839" w:rsidRDefault="00917839" w:rsidP="00EB18A1">
      <w:pPr>
        <w:ind w:left="578"/>
        <w:rPr>
          <w:sz w:val="16"/>
          <w:szCs w:val="16"/>
        </w:rPr>
      </w:pPr>
    </w:p>
    <w:p w14:paraId="6E6C6690" w14:textId="493A859E" w:rsidR="00F22425" w:rsidRPr="00F22425" w:rsidRDefault="00134C19" w:rsidP="00F22425">
      <w:pPr>
        <w:pStyle w:val="Heading2"/>
        <w:numPr>
          <w:ilvl w:val="2"/>
          <w:numId w:val="4"/>
        </w:numPr>
        <w:spacing w:after="240"/>
      </w:pPr>
      <w:bookmarkStart w:id="49" w:name="_Toc519088582"/>
      <w:r w:rsidRPr="00F22425">
        <w:t>Dental health</w:t>
      </w:r>
      <w:bookmarkEnd w:id="49"/>
      <w:r w:rsidRPr="00F22425">
        <w:t xml:space="preserve"> </w:t>
      </w:r>
    </w:p>
    <w:p w14:paraId="266F92DC" w14:textId="42D2D7ED" w:rsidR="00F5023A" w:rsidRDefault="00134C19" w:rsidP="00D07B66">
      <w:pPr>
        <w:ind w:left="578"/>
      </w:pPr>
      <w:r>
        <w:t xml:space="preserve">In September 2017, 89.5% of children in Aberdeen City were registered with an NHS dentist.  This is lower than the average rate for Scotland which was 93.8%.  </w:t>
      </w:r>
      <w:r w:rsidRPr="00FD3AA8">
        <w:t>(Note: this is only for NHS dentists – data does not include registrations with private dentists.)</w:t>
      </w:r>
      <w:r w:rsidR="00A91B10">
        <w:t xml:space="preserve">  </w:t>
      </w:r>
      <w:r w:rsidR="00B96C7B">
        <w:t xml:space="preserve">Information on dental health is available through </w:t>
      </w:r>
      <w:r w:rsidR="00A91B10">
        <w:t>the National Dental Inspection programme</w:t>
      </w:r>
      <w:r w:rsidR="00B96C7B">
        <w:t xml:space="preserve"> where</w:t>
      </w:r>
      <w:r w:rsidR="00A91B10">
        <w:t xml:space="preserve"> pupils in P1 and P7 are given a basic dental inspection</w:t>
      </w:r>
      <w:r w:rsidR="00B96C7B">
        <w:t xml:space="preserve">.  </w:t>
      </w:r>
      <w:r w:rsidR="00F22425">
        <w:t xml:space="preserve">Those with ‘healthy’ teeth are given a letter ‘C’ </w:t>
      </w:r>
      <w:r w:rsidR="00F22425" w:rsidRPr="00F22425">
        <w:t>(no obvious decay experience but should continue to see the family dentist on a regular basis)</w:t>
      </w:r>
      <w:r w:rsidR="00F22425">
        <w:t>.</w:t>
      </w:r>
      <w:r w:rsidR="00F22425" w:rsidRPr="00F22425">
        <w:t xml:space="preserve"> </w:t>
      </w:r>
      <w:r w:rsidR="00A91B10">
        <w:t xml:space="preserve"> </w:t>
      </w:r>
      <w:r w:rsidR="00703314">
        <w:t>In 2016/</w:t>
      </w:r>
      <w:r w:rsidR="00AA4F43">
        <w:t xml:space="preserve">17, </w:t>
      </w:r>
      <w:r w:rsidR="00F22425">
        <w:t>69.4</w:t>
      </w:r>
      <w:r w:rsidR="00AA4F43">
        <w:t xml:space="preserve">% of P1 pupils </w:t>
      </w:r>
      <w:r w:rsidR="00F22425">
        <w:t xml:space="preserve">in Aberdeen received a letter ‘C’ – significantly lower than the average rate for Scotland of 70.9%. </w:t>
      </w:r>
      <w:r w:rsidR="00F5023A">
        <w:t>The proportion of P1 pupils receiving a letter ‘C’ ranged from a low of 34.4% in Torry East to a high of 100% in Cove South.</w:t>
      </w:r>
    </w:p>
    <w:p w14:paraId="2DB28407" w14:textId="7F13764B" w:rsidR="00F5023A" w:rsidRDefault="00F5023A" w:rsidP="00D07B66">
      <w:pPr>
        <w:ind w:left="578"/>
      </w:pPr>
    </w:p>
    <w:p w14:paraId="28AE1D40" w14:textId="704FB453" w:rsidR="00F5023A" w:rsidRDefault="00F5023A" w:rsidP="00D07B66">
      <w:pPr>
        <w:ind w:left="578"/>
      </w:pPr>
      <w:r>
        <w:rPr>
          <w:noProof/>
        </w:rPr>
        <w:lastRenderedPageBreak/>
        <w:drawing>
          <wp:inline distT="0" distB="0" distL="0" distR="0" wp14:anchorId="3CC5D627" wp14:editId="0CB575B4">
            <wp:extent cx="5562600" cy="2962275"/>
            <wp:effectExtent l="0" t="0" r="0" b="9525"/>
            <wp:docPr id="242" name="Chart 242">
              <a:extLst xmlns:a="http://schemas.openxmlformats.org/drawingml/2006/main">
                <a:ext uri="{FF2B5EF4-FFF2-40B4-BE49-F238E27FC236}">
                  <a16:creationId xmlns:a16="http://schemas.microsoft.com/office/drawing/2014/main" id="{64FFEF37-AA7C-4F12-BEA6-B1D7885865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10702D47" w14:textId="71FB39BB" w:rsidR="00F5023A" w:rsidRDefault="00F5023A" w:rsidP="00D07B66">
      <w:pPr>
        <w:ind w:left="578"/>
      </w:pPr>
      <w:r>
        <w:t>Source: ScotPHO Health and Wellbeing Profiles</w:t>
      </w:r>
    </w:p>
    <w:p w14:paraId="16F21188" w14:textId="77777777" w:rsidR="009657B3" w:rsidRDefault="009657B3" w:rsidP="00D07B66">
      <w:pPr>
        <w:ind w:left="578"/>
      </w:pPr>
    </w:p>
    <w:p w14:paraId="694EEE1D" w14:textId="1AA3BF64" w:rsidR="00AA4F43" w:rsidRDefault="00F5023A" w:rsidP="00D07B66">
      <w:pPr>
        <w:ind w:left="578"/>
      </w:pPr>
      <w:r>
        <w:t xml:space="preserve">While </w:t>
      </w:r>
      <w:r w:rsidR="00F22425">
        <w:t>the proportion of P7 children who received a letter C was significantly higher in Aberdeen than Scotland (73.4% compared to 69.4%)</w:t>
      </w:r>
      <w:r>
        <w:t>, there was again substantial variation across the City with proportions ranging from a low of 45.4% in City Centre West to a high of 100.0% in West End North</w:t>
      </w:r>
      <w:r w:rsidR="00F22425">
        <w:t xml:space="preserve">.  </w:t>
      </w:r>
    </w:p>
    <w:p w14:paraId="1E496E15" w14:textId="77777777" w:rsidR="00026A32" w:rsidRDefault="00026A32" w:rsidP="00D07B66">
      <w:pPr>
        <w:ind w:left="578"/>
      </w:pPr>
    </w:p>
    <w:p w14:paraId="0B0AA874" w14:textId="5327ACC8" w:rsidR="00F22425" w:rsidRPr="00F22425" w:rsidRDefault="00CC42DC" w:rsidP="00F22425">
      <w:pPr>
        <w:pStyle w:val="Heading2"/>
        <w:numPr>
          <w:ilvl w:val="2"/>
          <w:numId w:val="4"/>
        </w:numPr>
        <w:spacing w:after="240"/>
      </w:pPr>
      <w:bookmarkStart w:id="50" w:name="_Toc519088583"/>
      <w:r w:rsidRPr="00F22425">
        <w:t>Smoking</w:t>
      </w:r>
      <w:bookmarkEnd w:id="50"/>
      <w:r w:rsidRPr="00F22425">
        <w:t xml:space="preserve"> </w:t>
      </w:r>
    </w:p>
    <w:p w14:paraId="2861FD8C" w14:textId="4C9ED06E" w:rsidR="00CC42DC" w:rsidRPr="00CC42DC" w:rsidRDefault="00CC42DC" w:rsidP="00F133D5">
      <w:pPr>
        <w:spacing w:after="240"/>
        <w:ind w:left="578"/>
      </w:pPr>
      <w:r>
        <w:t>Data on smoking is limited.  Previously SALSUS (</w:t>
      </w:r>
      <w:r w:rsidRPr="00CC42DC">
        <w:rPr>
          <w:bCs/>
        </w:rPr>
        <w:t>Scottish Schools Adolescent Lifestyle And Substance</w:t>
      </w:r>
      <w:r>
        <w:rPr>
          <w:bCs/>
        </w:rPr>
        <w:t xml:space="preserve"> </w:t>
      </w:r>
      <w:r w:rsidRPr="00CC42DC">
        <w:rPr>
          <w:bCs/>
        </w:rPr>
        <w:t>Use Survey</w:t>
      </w:r>
      <w:r>
        <w:rPr>
          <w:bCs/>
        </w:rPr>
        <w:t>)</w:t>
      </w:r>
      <w:r w:rsidRPr="00CC42DC">
        <w:rPr>
          <w:bCs/>
        </w:rPr>
        <w:t xml:space="preserve"> </w:t>
      </w:r>
      <w:r>
        <w:t xml:space="preserve">published prevalence rates by local authority.  The most recent data is from 2013.  </w:t>
      </w:r>
      <w:r w:rsidRPr="00CC42DC">
        <w:t xml:space="preserve">In 2013 in Aberdeen, 5% of 15 year-olds and 1% of 13 year-olds reported being regular smokers. </w:t>
      </w:r>
      <w:r>
        <w:t xml:space="preserve">At that time </w:t>
      </w:r>
      <w:r w:rsidRPr="00CC42DC">
        <w:t xml:space="preserve">Aberdeen </w:t>
      </w:r>
      <w:r>
        <w:t>City had</w:t>
      </w:r>
      <w:r w:rsidRPr="00CC42DC">
        <w:t xml:space="preserve"> the lowest reported rate of smoking in school children across all local authority areas in Scotland. </w:t>
      </w:r>
      <w:r>
        <w:t xml:space="preserve"> A more recent (2015) report at Scotland level shows that, while smoking prevalence has dropped slightly in 15 year-old girls (but not boys), the use of e-cigarettes has increased substantially</w:t>
      </w:r>
      <w:r w:rsidR="0025478D">
        <w:t xml:space="preserve"> with 91% of 15 year-old smokers</w:t>
      </w:r>
      <w:r w:rsidR="002F3352">
        <w:t xml:space="preserve"> (boys and girls)</w:t>
      </w:r>
      <w:r w:rsidR="0025478D">
        <w:t xml:space="preserve"> having used e-cigarettes and 24% of non-smokers having used them. </w:t>
      </w:r>
      <w:hyperlink r:id="rId85" w:history="1">
        <w:r w:rsidR="0025478D" w:rsidRPr="008A2D54">
          <w:rPr>
            <w:rStyle w:val="Hyperlink"/>
          </w:rPr>
          <w:t>http://www.gov.scot/Resource/0050/00508257.pdf</w:t>
        </w:r>
      </w:hyperlink>
      <w:r w:rsidR="0025478D">
        <w:t xml:space="preserve"> </w:t>
      </w:r>
    </w:p>
    <w:p w14:paraId="73F4D5BE" w14:textId="09C7E3A8" w:rsidR="00F22425" w:rsidRPr="00F22425" w:rsidRDefault="00D868EA" w:rsidP="00F22425">
      <w:pPr>
        <w:pStyle w:val="Heading2"/>
        <w:numPr>
          <w:ilvl w:val="2"/>
          <w:numId w:val="4"/>
        </w:numPr>
        <w:spacing w:after="240"/>
      </w:pPr>
      <w:bookmarkStart w:id="51" w:name="_Toc519088584"/>
      <w:r w:rsidRPr="00F22425">
        <w:t>Alcohol</w:t>
      </w:r>
      <w:r w:rsidR="00E75FAE" w:rsidRPr="00F22425">
        <w:t xml:space="preserve"> and drugs</w:t>
      </w:r>
      <w:r w:rsidR="003301EB" w:rsidRPr="00F22425">
        <w:t xml:space="preserve"> – hospital admissions</w:t>
      </w:r>
      <w:r w:rsidR="000E4F12">
        <w:t xml:space="preserve"> 11-25 years</w:t>
      </w:r>
      <w:bookmarkEnd w:id="51"/>
    </w:p>
    <w:p w14:paraId="6BD4AB9C" w14:textId="7E2BBABB" w:rsidR="003F4930" w:rsidRDefault="00E75FAE" w:rsidP="006816F3">
      <w:pPr>
        <w:spacing w:before="240" w:after="240"/>
        <w:ind w:left="578"/>
      </w:pPr>
      <w:r>
        <w:t>In 2014 (3 year rolling average 2013/14 to 2015/16 financial years) there</w:t>
      </w:r>
      <w:r w:rsidR="003301EB">
        <w:t xml:space="preserve"> were</w:t>
      </w:r>
      <w:r>
        <w:t xml:space="preserve"> 149 alcohol admissions for people aged 11-25 years.  This equates to a rate of 288.7 per 100,000 population (</w:t>
      </w:r>
      <w:r w:rsidR="002F3352">
        <w:t>age-sex standardised rate</w:t>
      </w:r>
      <w:r>
        <w:t>) compared to the equivalent rate for Scotland of 271.4. There were 27 drug related hospital stays in Aberdeen City for the same age group and period, equivalent to a rate of 53.4 per 100,000 population (</w:t>
      </w:r>
      <w:r w:rsidR="002F3352" w:rsidRPr="002F3352">
        <w:t>age-sex standardised rate</w:t>
      </w:r>
      <w:r w:rsidR="00287243">
        <w:t>, 3-year aggregate</w:t>
      </w:r>
      <w:r>
        <w:t xml:space="preserve">) – significantly lower than the rate for Scotland of 101.4.  </w:t>
      </w:r>
      <w:r w:rsidR="00657844">
        <w:t>Rates of both alcohol- and drug-related hospital stays for people aged 11-25 years have decreased in the last 10 years.</w:t>
      </w:r>
    </w:p>
    <w:p w14:paraId="33A44070" w14:textId="0098D4C8" w:rsidR="00C21083" w:rsidRDefault="00657844" w:rsidP="000E4F12">
      <w:pPr>
        <w:spacing w:before="240"/>
        <w:ind w:left="578"/>
      </w:pPr>
      <w:r>
        <w:rPr>
          <w:noProof/>
        </w:rPr>
        <w:lastRenderedPageBreak/>
        <w:drawing>
          <wp:inline distT="0" distB="0" distL="0" distR="0" wp14:anchorId="2C8E4E18" wp14:editId="2E1032BD">
            <wp:extent cx="5731510" cy="2977515"/>
            <wp:effectExtent l="0" t="0" r="2540" b="13335"/>
            <wp:docPr id="244" name="Chart 244">
              <a:extLst xmlns:a="http://schemas.openxmlformats.org/drawingml/2006/main">
                <a:ext uri="{FF2B5EF4-FFF2-40B4-BE49-F238E27FC236}">
                  <a16:creationId xmlns:a16="http://schemas.microsoft.com/office/drawing/2014/main" id="{7BF18FD8-0A14-43F3-BF47-1AF0607FA4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0227B6E1" w14:textId="2B4E3CAC" w:rsidR="00657844" w:rsidRDefault="00657844" w:rsidP="000E4F12">
      <w:pPr>
        <w:spacing w:after="240"/>
        <w:ind w:left="578"/>
      </w:pPr>
      <w:r>
        <w:t>Source: ScotPHO Children and Young People Profile</w:t>
      </w:r>
    </w:p>
    <w:p w14:paraId="6C1A87D7" w14:textId="72BC2148" w:rsidR="00F22425" w:rsidRPr="00F22425" w:rsidRDefault="00C0705E" w:rsidP="006816F3">
      <w:pPr>
        <w:pStyle w:val="Heading2"/>
        <w:numPr>
          <w:ilvl w:val="2"/>
          <w:numId w:val="4"/>
        </w:numPr>
        <w:spacing w:after="120"/>
      </w:pPr>
      <w:bookmarkStart w:id="52" w:name="_Toc519088585"/>
      <w:r w:rsidRPr="00F22425">
        <w:t>Teenage pregnancies</w:t>
      </w:r>
      <w:bookmarkEnd w:id="52"/>
      <w:r w:rsidRPr="00F22425">
        <w:t xml:space="preserve">  </w:t>
      </w:r>
    </w:p>
    <w:p w14:paraId="57D2FC61" w14:textId="140183F2" w:rsidR="00C0705E" w:rsidRDefault="00542000" w:rsidP="00C0705E">
      <w:pPr>
        <w:pStyle w:val="ListParagraph"/>
        <w:ind w:left="578"/>
      </w:pPr>
      <w:r>
        <w:t>I</w:t>
      </w:r>
      <w:r w:rsidR="00C0705E">
        <w:t>n the period 2013-2015, the average rate for teenage pregnancies in Aberdeen City was 36.3 (crude rate per 1,000 population</w:t>
      </w:r>
      <w:r w:rsidR="00B36153">
        <w:t>; 3-year aggregates</w:t>
      </w:r>
      <w:r w:rsidR="00C0705E">
        <w:t>) compared to 34.8 for Scotland.  In Aberdeen City</w:t>
      </w:r>
      <w:r w:rsidR="00772123">
        <w:t>,</w:t>
      </w:r>
      <w:r w:rsidR="00C0705E">
        <w:t xml:space="preserve"> as in Scotland, the rate of teenage pregnancies has reduced</w:t>
      </w:r>
      <w:r w:rsidR="009E2A26">
        <w:t xml:space="preserve"> significantly in the last 10 years. </w:t>
      </w:r>
    </w:p>
    <w:p w14:paraId="07D70D29" w14:textId="329A10D7" w:rsidR="00C0705E" w:rsidRDefault="00C0705E" w:rsidP="00C0705E">
      <w:pPr>
        <w:pStyle w:val="ListParagraph"/>
        <w:ind w:left="578"/>
      </w:pPr>
    </w:p>
    <w:p w14:paraId="1BA16137" w14:textId="6E44EB0B" w:rsidR="00C0705E" w:rsidRDefault="00C0705E" w:rsidP="00C0705E">
      <w:pPr>
        <w:pStyle w:val="ListParagraph"/>
        <w:ind w:left="578"/>
      </w:pPr>
      <w:r>
        <w:rPr>
          <w:noProof/>
        </w:rPr>
        <w:drawing>
          <wp:inline distT="0" distB="0" distL="0" distR="0" wp14:anchorId="64FA0712" wp14:editId="1305D199">
            <wp:extent cx="5335325" cy="2743200"/>
            <wp:effectExtent l="0" t="0" r="17780" b="0"/>
            <wp:docPr id="50" name="Chart 50">
              <a:extLst xmlns:a="http://schemas.openxmlformats.org/drawingml/2006/main">
                <a:ext uri="{FF2B5EF4-FFF2-40B4-BE49-F238E27FC236}">
                  <a16:creationId xmlns:a16="http://schemas.microsoft.com/office/drawing/2014/main" id="{0393998F-25D6-435B-AE59-C1F19651E9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BCAA8F3" w14:textId="5727F01C" w:rsidR="00C0705E" w:rsidRDefault="009E2A26" w:rsidP="00C0705E">
      <w:pPr>
        <w:pStyle w:val="ListParagraph"/>
        <w:ind w:left="578"/>
      </w:pPr>
      <w:r>
        <w:t>Source: ScotPHO Health and Wellbeing Profiles</w:t>
      </w:r>
    </w:p>
    <w:p w14:paraId="32335843" w14:textId="6B7A6383" w:rsidR="00917839" w:rsidRDefault="00917839" w:rsidP="00C0705E">
      <w:pPr>
        <w:pStyle w:val="ListParagraph"/>
        <w:ind w:left="578"/>
      </w:pPr>
    </w:p>
    <w:p w14:paraId="2E3F9CE0" w14:textId="1E6D16C4" w:rsidR="009E2A26" w:rsidRDefault="0027461C" w:rsidP="00C0705E">
      <w:pPr>
        <w:pStyle w:val="ListParagraph"/>
        <w:ind w:left="578"/>
      </w:pPr>
      <w:r>
        <w:t>In</w:t>
      </w:r>
      <w:r w:rsidR="00917839">
        <w:t xml:space="preserve"> most </w:t>
      </w:r>
      <w:r w:rsidR="000E4F12">
        <w:t>Intermediate Zones</w:t>
      </w:r>
      <w:r w:rsidR="00917839">
        <w:t xml:space="preserve"> </w:t>
      </w:r>
      <w:r w:rsidR="000E4F12">
        <w:t>in</w:t>
      </w:r>
      <w:r w:rsidR="00917839">
        <w:t xml:space="preserve"> the city there were no teenage pregnancies</w:t>
      </w:r>
      <w:r>
        <w:t xml:space="preserve"> in 2013-2015.  However in Torry West (89.9 per 1,000 population), Torry East (83.5), Mastrick (77.5), Northfield (70.3) and Heathryfold and Middlefield (67.0) the rates were higher than the average for the City.</w:t>
      </w:r>
    </w:p>
    <w:p w14:paraId="6869C547" w14:textId="4348061E" w:rsidR="0027461C" w:rsidRDefault="0027461C" w:rsidP="00C0705E">
      <w:pPr>
        <w:pStyle w:val="ListParagraph"/>
        <w:ind w:left="578"/>
      </w:pPr>
    </w:p>
    <w:p w14:paraId="3D1F90A1" w14:textId="77777777" w:rsidR="0027461C" w:rsidRPr="00C0705E" w:rsidRDefault="0027461C" w:rsidP="00C0705E">
      <w:pPr>
        <w:pStyle w:val="ListParagraph"/>
        <w:ind w:left="578"/>
      </w:pPr>
    </w:p>
    <w:p w14:paraId="5E084179" w14:textId="7C020A49" w:rsidR="007C66C7" w:rsidRDefault="007C66C7" w:rsidP="003301EB">
      <w:pPr>
        <w:pStyle w:val="Heading2"/>
        <w:numPr>
          <w:ilvl w:val="1"/>
          <w:numId w:val="4"/>
        </w:numPr>
        <w:spacing w:after="240"/>
      </w:pPr>
      <w:bookmarkStart w:id="53" w:name="_Toc519088586"/>
      <w:r>
        <w:lastRenderedPageBreak/>
        <w:t>Child poverty</w:t>
      </w:r>
      <w:bookmarkEnd w:id="53"/>
    </w:p>
    <w:p w14:paraId="71B4497C" w14:textId="59436AB9" w:rsidR="001E4927" w:rsidRPr="00B36153" w:rsidRDefault="001E4927" w:rsidP="00153781">
      <w:pPr>
        <w:spacing w:before="240"/>
        <w:rPr>
          <w:rFonts w:ascii="Calibri" w:hAnsi="Calibri" w:cs="Calibri"/>
        </w:rPr>
      </w:pPr>
      <w:r w:rsidRPr="00B36153">
        <w:rPr>
          <w:rFonts w:ascii="Calibri" w:hAnsi="Calibri" w:cs="Calibri"/>
        </w:rPr>
        <w:t>According to Child Poverty Action Group in Scotland, more than 1 in 4 children in Scotland are officially recognised as living in poverty. Children are considered as living in poverty if they live in households with less than 60% of median household income.  This is the key measure used by UK, Scottish</w:t>
      </w:r>
      <w:r w:rsidRPr="00B36153">
        <w:rPr>
          <w:rFonts w:ascii="Arial" w:hAnsi="Arial" w:cs="Arial"/>
          <w:szCs w:val="24"/>
        </w:rPr>
        <w:t xml:space="preserve"> </w:t>
      </w:r>
      <w:r w:rsidRPr="00B36153">
        <w:rPr>
          <w:rFonts w:ascii="Calibri" w:hAnsi="Calibri" w:cs="Calibri"/>
        </w:rPr>
        <w:t>Government and by the EU.</w:t>
      </w:r>
      <w:r w:rsidRPr="00B36153">
        <w:rPr>
          <w:rFonts w:ascii="Arial" w:hAnsi="Arial" w:cs="Arial"/>
          <w:szCs w:val="24"/>
        </w:rPr>
        <w:t xml:space="preserve">  </w:t>
      </w:r>
      <w:r w:rsidRPr="00B36153">
        <w:rPr>
          <w:rFonts w:ascii="Calibri" w:hAnsi="Calibri" w:cs="Calibri"/>
        </w:rPr>
        <w:t>Using this measure the latest (2015/16) official data shows that a lone parent family with two children (aged 5 and 14) is living in poverty if they are living on less than £297 per week (after housing costs have been deducted) and a two</w:t>
      </w:r>
      <w:r w:rsidR="000E4F12">
        <w:rPr>
          <w:rFonts w:ascii="Calibri" w:hAnsi="Calibri" w:cs="Calibri"/>
        </w:rPr>
        <w:t>-</w:t>
      </w:r>
      <w:r w:rsidRPr="00B36153">
        <w:rPr>
          <w:rFonts w:ascii="Calibri" w:hAnsi="Calibri" w:cs="Calibri"/>
        </w:rPr>
        <w:t>parent family with two children (aged 5 and 14) is living in poverty if they are living on less than £401 a week (after housing costs have been deducted).</w:t>
      </w:r>
    </w:p>
    <w:p w14:paraId="79D2D7F2" w14:textId="03AEF10B" w:rsidR="001E4927" w:rsidRDefault="001E4927" w:rsidP="00153781">
      <w:pPr>
        <w:spacing w:line="276" w:lineRule="auto"/>
        <w:rPr>
          <w:rFonts w:ascii="Calibri" w:eastAsia="Calibri" w:hAnsi="Calibri" w:cs="Calibri"/>
        </w:rPr>
      </w:pPr>
      <w:r w:rsidRPr="00B36153">
        <w:rPr>
          <w:rFonts w:ascii="Calibri" w:eastAsia="Calibri" w:hAnsi="Calibri" w:cs="Calibri"/>
        </w:rPr>
        <w:t>The Centre for Research in Social Policy calculates estimates of child poverty each year for the End Child Poverty Coalition (</w:t>
      </w:r>
      <w:hyperlink r:id="rId88" w:history="1">
        <w:r w:rsidRPr="00B36153">
          <w:rPr>
            <w:rFonts w:ascii="Calibri" w:eastAsia="Calibri" w:hAnsi="Calibri" w:cs="Calibri"/>
          </w:rPr>
          <w:t>www.endchildpoverty.org.uk</w:t>
        </w:r>
      </w:hyperlink>
      <w:r w:rsidRPr="00B36153">
        <w:rPr>
          <w:rFonts w:ascii="Calibri" w:eastAsia="Calibri" w:hAnsi="Calibri" w:cs="Calibri"/>
        </w:rPr>
        <w:t>).  Estimates of child</w:t>
      </w:r>
      <w:r w:rsidRPr="00B36153">
        <w:rPr>
          <w:rFonts w:ascii="Arial" w:eastAsia="Calibri" w:hAnsi="Arial" w:cs="Arial"/>
        </w:rPr>
        <w:t xml:space="preserve"> </w:t>
      </w:r>
      <w:r w:rsidRPr="00B36153">
        <w:rPr>
          <w:rFonts w:ascii="Calibri" w:eastAsia="Calibri" w:hAnsi="Calibri" w:cs="Calibri"/>
        </w:rPr>
        <w:t>poverty levels are available at Local Authority and ward level.</w:t>
      </w:r>
      <w:r w:rsidRPr="002C7C3B">
        <w:rPr>
          <w:rFonts w:ascii="Calibri" w:eastAsia="Calibri" w:hAnsi="Calibri" w:cs="Calibri"/>
        </w:rPr>
        <w:t xml:space="preserve">   </w:t>
      </w:r>
    </w:p>
    <w:p w14:paraId="70DD84FA" w14:textId="77777777" w:rsidR="00772123" w:rsidRPr="002C7C3B" w:rsidRDefault="00772123" w:rsidP="00153781">
      <w:pPr>
        <w:spacing w:line="276" w:lineRule="auto"/>
        <w:rPr>
          <w:rFonts w:ascii="Calibri" w:eastAsia="Calibri" w:hAnsi="Calibri" w:cs="Calibri"/>
        </w:rPr>
      </w:pPr>
    </w:p>
    <w:p w14:paraId="046BA983" w14:textId="3BC158C9" w:rsidR="00153781" w:rsidRDefault="00153781" w:rsidP="00153781">
      <w:pPr>
        <w:spacing w:line="276" w:lineRule="auto"/>
        <w:ind w:firstLine="3"/>
        <w:rPr>
          <w:rFonts w:ascii="Calibri" w:eastAsia="Calibri" w:hAnsi="Calibri" w:cs="Calibri"/>
        </w:rPr>
      </w:pPr>
      <w:r w:rsidRPr="002C7C3B">
        <w:rPr>
          <w:rFonts w:ascii="Calibri" w:eastAsia="Calibri" w:hAnsi="Calibri" w:cs="Calibri"/>
        </w:rPr>
        <w:t xml:space="preserve">In July-September 2017 an estimated 5,689 children (16.7%) </w:t>
      </w:r>
      <w:r w:rsidR="007C7877">
        <w:rPr>
          <w:rFonts w:ascii="Calibri" w:eastAsia="Calibri" w:hAnsi="Calibri" w:cs="Calibri"/>
        </w:rPr>
        <w:t xml:space="preserve">in Aberdeen City </w:t>
      </w:r>
      <w:r w:rsidRPr="002C7C3B">
        <w:rPr>
          <w:rFonts w:ascii="Calibri" w:eastAsia="Calibri" w:hAnsi="Calibri" w:cs="Calibri"/>
        </w:rPr>
        <w:t xml:space="preserve">were living in poverty (after housing costs). This is a decrease from the previous figures (October-December 2015) when 18.2% of children in Aberdeen City were estimated to be living in poverty.  </w:t>
      </w:r>
    </w:p>
    <w:p w14:paraId="0377E2C7" w14:textId="77777777" w:rsidR="00772123" w:rsidRPr="002C7C3B" w:rsidRDefault="00772123" w:rsidP="00153781">
      <w:pPr>
        <w:spacing w:line="276" w:lineRule="auto"/>
        <w:ind w:firstLine="3"/>
        <w:rPr>
          <w:rFonts w:ascii="Calibri" w:eastAsia="Calibri" w:hAnsi="Calibri" w:cs="Calibri"/>
        </w:rPr>
      </w:pPr>
    </w:p>
    <w:p w14:paraId="00809FD3" w14:textId="1C2960D5" w:rsidR="001E4927" w:rsidRDefault="001E4927" w:rsidP="00153781">
      <w:pPr>
        <w:spacing w:line="276" w:lineRule="auto"/>
        <w:ind w:firstLine="3"/>
        <w:rPr>
          <w:rFonts w:ascii="Calibri" w:eastAsia="Calibri" w:hAnsi="Calibri" w:cs="Calibri"/>
        </w:rPr>
      </w:pPr>
      <w:r w:rsidRPr="002C7C3B">
        <w:rPr>
          <w:rFonts w:ascii="Calibri" w:eastAsia="Calibri" w:hAnsi="Calibri" w:cs="Calibri"/>
        </w:rPr>
        <w:t xml:space="preserve">There was considerable variation in levels of child poverty between different City wards – the proportion of children living in poverty after housing costs ranged from a low of 5.9% in Hazlehead/ Ashley/ Queen’s Cross to a high of </w:t>
      </w:r>
      <w:r w:rsidR="004F7A21">
        <w:rPr>
          <w:rFonts w:ascii="Calibri" w:eastAsia="Calibri" w:hAnsi="Calibri" w:cs="Calibri"/>
        </w:rPr>
        <w:t>28.0% in Tillydron</w:t>
      </w:r>
      <w:r w:rsidR="00C57F9A">
        <w:rPr>
          <w:rFonts w:ascii="Calibri" w:eastAsia="Calibri" w:hAnsi="Calibri" w:cs="Calibri"/>
        </w:rPr>
        <w:t>e</w:t>
      </w:r>
      <w:r w:rsidR="004F7A21">
        <w:rPr>
          <w:rFonts w:ascii="Calibri" w:eastAsia="Calibri" w:hAnsi="Calibri" w:cs="Calibri"/>
        </w:rPr>
        <w:t>/Seaton/Old Aberdeen</w:t>
      </w:r>
      <w:r w:rsidRPr="002C7C3B">
        <w:rPr>
          <w:rFonts w:ascii="Calibri" w:eastAsia="Calibri" w:hAnsi="Calibri" w:cs="Calibri"/>
        </w:rPr>
        <w:t xml:space="preserve">.  </w:t>
      </w:r>
      <w:r w:rsidRPr="00C57F9A">
        <w:rPr>
          <w:rFonts w:ascii="Calibri" w:eastAsia="Calibri" w:hAnsi="Calibri" w:cs="Calibri"/>
        </w:rPr>
        <w:t xml:space="preserve">Comparison </w:t>
      </w:r>
      <w:r w:rsidR="004F7A21" w:rsidRPr="00C57F9A">
        <w:rPr>
          <w:rFonts w:ascii="Calibri" w:eastAsia="Calibri" w:hAnsi="Calibri" w:cs="Calibri"/>
        </w:rPr>
        <w:t>with</w:t>
      </w:r>
      <w:r w:rsidRPr="00C57F9A">
        <w:rPr>
          <w:rFonts w:ascii="Calibri" w:eastAsia="Calibri" w:hAnsi="Calibri" w:cs="Calibri"/>
        </w:rPr>
        <w:t xml:space="preserve"> data </w:t>
      </w:r>
      <w:r w:rsidR="004F7A21" w:rsidRPr="00C57F9A">
        <w:rPr>
          <w:rFonts w:ascii="Calibri" w:eastAsia="Calibri" w:hAnsi="Calibri" w:cs="Calibri"/>
        </w:rPr>
        <w:t>from</w:t>
      </w:r>
      <w:r w:rsidRPr="00C57F9A">
        <w:rPr>
          <w:rFonts w:ascii="Calibri" w:eastAsia="Calibri" w:hAnsi="Calibri" w:cs="Calibri"/>
        </w:rPr>
        <w:t xml:space="preserve"> October-December 2015 shows rates of child poverty have remained broadly similar in most wards, however, some have shown relatively large </w:t>
      </w:r>
      <w:r w:rsidR="004F7A21" w:rsidRPr="00C57F9A">
        <w:rPr>
          <w:rFonts w:ascii="Calibri" w:eastAsia="Calibri" w:hAnsi="Calibri" w:cs="Calibri"/>
        </w:rPr>
        <w:t>decreases</w:t>
      </w:r>
      <w:r w:rsidRPr="00C57F9A">
        <w:rPr>
          <w:rFonts w:ascii="Calibri" w:eastAsia="Calibri" w:hAnsi="Calibri" w:cs="Calibri"/>
        </w:rPr>
        <w:t xml:space="preserve"> (e.g. Kincorth/Loirston, Lower Deeside) and others have </w:t>
      </w:r>
      <w:r w:rsidR="00C57F9A" w:rsidRPr="00C57F9A">
        <w:rPr>
          <w:rFonts w:ascii="Calibri" w:eastAsia="Calibri" w:hAnsi="Calibri" w:cs="Calibri"/>
        </w:rPr>
        <w:t>increased</w:t>
      </w:r>
      <w:r w:rsidRPr="00C57F9A">
        <w:rPr>
          <w:rFonts w:ascii="Calibri" w:eastAsia="Calibri" w:hAnsi="Calibri" w:cs="Calibri"/>
        </w:rPr>
        <w:t xml:space="preserve"> (e.g. Midstocket/Rosemount).</w:t>
      </w:r>
    </w:p>
    <w:p w14:paraId="7A7492B5" w14:textId="77777777" w:rsidR="00772123" w:rsidRPr="00C57F9A" w:rsidRDefault="00772123" w:rsidP="00153781">
      <w:pPr>
        <w:spacing w:line="276" w:lineRule="auto"/>
        <w:ind w:firstLine="3"/>
        <w:rPr>
          <w:rFonts w:ascii="Calibri" w:eastAsia="Calibri" w:hAnsi="Calibri" w:cs="Calibri"/>
        </w:rPr>
      </w:pPr>
    </w:p>
    <w:p w14:paraId="099D85D4" w14:textId="2E846D73" w:rsidR="001E4927" w:rsidRPr="004F7A21" w:rsidRDefault="001E4927" w:rsidP="004F7A21">
      <w:pPr>
        <w:rPr>
          <w:rFonts w:ascii="Calibri" w:eastAsia="Calibri" w:hAnsi="Calibri" w:cs="Calibri"/>
          <w:b/>
        </w:rPr>
      </w:pPr>
      <w:r w:rsidRPr="004F7A21">
        <w:rPr>
          <w:rFonts w:ascii="Calibri" w:eastAsia="Calibri" w:hAnsi="Calibri" w:cs="Calibri"/>
          <w:b/>
        </w:rPr>
        <w:t>Percentage of children in poverty</w:t>
      </w:r>
      <w:r w:rsidR="004F7A21">
        <w:rPr>
          <w:rFonts w:ascii="Calibri" w:eastAsia="Calibri" w:hAnsi="Calibri" w:cs="Calibri"/>
          <w:b/>
        </w:rPr>
        <w:t xml:space="preserve"> (after housing costs)</w:t>
      </w:r>
      <w:r w:rsidRPr="004F7A21">
        <w:rPr>
          <w:rFonts w:ascii="Calibri" w:eastAsia="Calibri" w:hAnsi="Calibri" w:cs="Calibri"/>
          <w:b/>
        </w:rPr>
        <w:t xml:space="preserve">, Aberdeen City and Wards, </w:t>
      </w:r>
      <w:r w:rsidR="004F7A21" w:rsidRPr="004F7A21">
        <w:rPr>
          <w:rFonts w:ascii="Calibri" w:eastAsia="Calibri" w:hAnsi="Calibri" w:cs="Calibri"/>
          <w:b/>
        </w:rPr>
        <w:t>July to September 2017</w:t>
      </w:r>
      <w:r w:rsidRPr="004F7A21">
        <w:rPr>
          <w:rFonts w:ascii="Calibri" w:eastAsia="Calibri" w:hAnsi="Calibri" w:cs="Calibri"/>
          <w:b/>
        </w:rPr>
        <w:t xml:space="preserve"> and October to December 2015</w:t>
      </w:r>
    </w:p>
    <w:tbl>
      <w:tblPr>
        <w:tblW w:w="4238" w:type="pct"/>
        <w:tblInd w:w="720" w:type="dxa"/>
        <w:tblBorders>
          <w:top w:val="single" w:sz="6" w:space="0" w:color="auto"/>
          <w:left w:val="single" w:sz="6" w:space="0" w:color="auto"/>
          <w:bottom w:val="single" w:sz="6" w:space="0" w:color="auto"/>
          <w:right w:val="single" w:sz="6" w:space="0" w:color="auto"/>
          <w:insideV w:val="single" w:sz="6" w:space="0" w:color="auto"/>
        </w:tblBorders>
        <w:tblLook w:val="04A0" w:firstRow="1" w:lastRow="0" w:firstColumn="1" w:lastColumn="0" w:noHBand="0" w:noVBand="1"/>
      </w:tblPr>
      <w:tblGrid>
        <w:gridCol w:w="2987"/>
        <w:gridCol w:w="1550"/>
        <w:gridCol w:w="1550"/>
        <w:gridCol w:w="1550"/>
      </w:tblGrid>
      <w:tr w:rsidR="004F7A21" w:rsidRPr="0026724C" w14:paraId="2B0ADE89" w14:textId="47AC8CA1" w:rsidTr="00F133D5">
        <w:trPr>
          <w:trHeight w:val="20"/>
        </w:trPr>
        <w:tc>
          <w:tcPr>
            <w:tcW w:w="1955" w:type="pct"/>
            <w:tcBorders>
              <w:top w:val="single" w:sz="6" w:space="0" w:color="auto"/>
              <w:bottom w:val="single" w:sz="6" w:space="0" w:color="auto"/>
            </w:tcBorders>
            <w:shd w:val="clear" w:color="auto" w:fill="DBE5F1"/>
            <w:noWrap/>
            <w:vAlign w:val="center"/>
            <w:hideMark/>
          </w:tcPr>
          <w:p w14:paraId="286B67A2" w14:textId="060B7F5B" w:rsidR="004F7A21" w:rsidRPr="0026724C" w:rsidRDefault="004F7A21" w:rsidP="00026A32">
            <w:pPr>
              <w:ind w:left="0"/>
              <w:jc w:val="center"/>
              <w:rPr>
                <w:rFonts w:cs="Calibri"/>
                <w:b/>
                <w:bCs/>
                <w:sz w:val="20"/>
                <w:szCs w:val="20"/>
              </w:rPr>
            </w:pPr>
          </w:p>
        </w:tc>
        <w:tc>
          <w:tcPr>
            <w:tcW w:w="1015" w:type="pct"/>
            <w:tcBorders>
              <w:top w:val="single" w:sz="6" w:space="0" w:color="auto"/>
              <w:bottom w:val="single" w:sz="6" w:space="0" w:color="auto"/>
            </w:tcBorders>
            <w:shd w:val="clear" w:color="auto" w:fill="DBE5F1"/>
            <w:vAlign w:val="center"/>
          </w:tcPr>
          <w:p w14:paraId="4F6675B8" w14:textId="17D421C6" w:rsidR="004F7A21" w:rsidRPr="0026724C" w:rsidRDefault="004F7A21" w:rsidP="00026A32">
            <w:pPr>
              <w:ind w:left="0"/>
              <w:jc w:val="center"/>
              <w:rPr>
                <w:rFonts w:cs="Calibri"/>
                <w:b/>
                <w:bCs/>
                <w:sz w:val="20"/>
                <w:szCs w:val="20"/>
              </w:rPr>
            </w:pPr>
            <w:r w:rsidRPr="0026724C">
              <w:rPr>
                <w:rFonts w:cs="Calibri"/>
                <w:b/>
                <w:bCs/>
                <w:sz w:val="20"/>
                <w:szCs w:val="20"/>
              </w:rPr>
              <w:t>Oct-Dec 2015</w:t>
            </w:r>
          </w:p>
        </w:tc>
        <w:tc>
          <w:tcPr>
            <w:tcW w:w="2030" w:type="pct"/>
            <w:gridSpan w:val="2"/>
            <w:tcBorders>
              <w:top w:val="single" w:sz="6" w:space="0" w:color="auto"/>
              <w:bottom w:val="single" w:sz="6" w:space="0" w:color="auto"/>
            </w:tcBorders>
            <w:shd w:val="clear" w:color="auto" w:fill="DBE5F1"/>
            <w:vAlign w:val="center"/>
          </w:tcPr>
          <w:p w14:paraId="31EE6E75" w14:textId="56183FEB" w:rsidR="004F7A21" w:rsidRPr="0026724C" w:rsidRDefault="004F7A21" w:rsidP="00026A32">
            <w:pPr>
              <w:ind w:left="0"/>
              <w:jc w:val="center"/>
              <w:rPr>
                <w:rFonts w:cs="Calibri"/>
                <w:b/>
                <w:bCs/>
                <w:sz w:val="20"/>
                <w:szCs w:val="20"/>
              </w:rPr>
            </w:pPr>
            <w:r w:rsidRPr="0026724C">
              <w:rPr>
                <w:rFonts w:cs="Calibri"/>
                <w:b/>
                <w:bCs/>
                <w:sz w:val="20"/>
                <w:szCs w:val="20"/>
              </w:rPr>
              <w:t>July to September 2017</w:t>
            </w:r>
          </w:p>
        </w:tc>
      </w:tr>
      <w:tr w:rsidR="004F7A21" w:rsidRPr="0026724C" w14:paraId="734BA67A" w14:textId="1085FCB2" w:rsidTr="00F133D5">
        <w:trPr>
          <w:trHeight w:val="20"/>
        </w:trPr>
        <w:tc>
          <w:tcPr>
            <w:tcW w:w="1955" w:type="pct"/>
            <w:tcBorders>
              <w:top w:val="single" w:sz="6" w:space="0" w:color="auto"/>
              <w:bottom w:val="single" w:sz="6" w:space="0" w:color="auto"/>
            </w:tcBorders>
            <w:shd w:val="clear" w:color="auto" w:fill="DBE5F1"/>
            <w:noWrap/>
            <w:vAlign w:val="center"/>
            <w:hideMark/>
          </w:tcPr>
          <w:p w14:paraId="5D07A9A1" w14:textId="77777777" w:rsidR="004F7A21" w:rsidRPr="0026724C" w:rsidRDefault="004F7A21" w:rsidP="00026A32">
            <w:pPr>
              <w:ind w:left="0"/>
              <w:rPr>
                <w:rFonts w:cs="Calibri"/>
                <w:b/>
                <w:bCs/>
                <w:sz w:val="20"/>
                <w:szCs w:val="20"/>
              </w:rPr>
            </w:pPr>
            <w:r w:rsidRPr="0026724C">
              <w:rPr>
                <w:rFonts w:cs="Calibri"/>
                <w:b/>
                <w:bCs/>
                <w:sz w:val="20"/>
                <w:szCs w:val="20"/>
              </w:rPr>
              <w:t>Local Authority and wards</w:t>
            </w:r>
          </w:p>
        </w:tc>
        <w:tc>
          <w:tcPr>
            <w:tcW w:w="1015" w:type="pct"/>
            <w:tcBorders>
              <w:top w:val="single" w:sz="6" w:space="0" w:color="auto"/>
              <w:bottom w:val="single" w:sz="6" w:space="0" w:color="auto"/>
            </w:tcBorders>
            <w:shd w:val="clear" w:color="auto" w:fill="DBE5F1"/>
            <w:vAlign w:val="bottom"/>
          </w:tcPr>
          <w:p w14:paraId="3B20C5A9" w14:textId="42296D6A" w:rsidR="004F7A21" w:rsidRPr="0026724C" w:rsidRDefault="004F7A21" w:rsidP="00026A32">
            <w:pPr>
              <w:ind w:left="0"/>
              <w:jc w:val="center"/>
              <w:rPr>
                <w:rFonts w:cs="Calibri"/>
                <w:b/>
                <w:bCs/>
                <w:sz w:val="20"/>
                <w:szCs w:val="20"/>
              </w:rPr>
            </w:pPr>
            <w:r w:rsidRPr="0026724C">
              <w:rPr>
                <w:rFonts w:cs="Calibri"/>
                <w:b/>
                <w:bCs/>
                <w:sz w:val="20"/>
                <w:szCs w:val="20"/>
              </w:rPr>
              <w:t>Percentage</w:t>
            </w:r>
          </w:p>
        </w:tc>
        <w:tc>
          <w:tcPr>
            <w:tcW w:w="1015" w:type="pct"/>
            <w:tcBorders>
              <w:top w:val="single" w:sz="6" w:space="0" w:color="auto"/>
              <w:bottom w:val="single" w:sz="6" w:space="0" w:color="auto"/>
            </w:tcBorders>
            <w:shd w:val="clear" w:color="auto" w:fill="DBE5F1"/>
            <w:vAlign w:val="center"/>
          </w:tcPr>
          <w:p w14:paraId="69A0EB23" w14:textId="5E40B13D" w:rsidR="004F7A21" w:rsidRPr="0026724C" w:rsidRDefault="004F7A21" w:rsidP="00026A32">
            <w:pPr>
              <w:ind w:left="0"/>
              <w:jc w:val="center"/>
              <w:rPr>
                <w:rFonts w:cs="Calibri"/>
                <w:b/>
                <w:bCs/>
                <w:sz w:val="20"/>
                <w:szCs w:val="20"/>
              </w:rPr>
            </w:pPr>
            <w:r w:rsidRPr="0026724C">
              <w:rPr>
                <w:rFonts w:cs="Calibri"/>
                <w:b/>
                <w:bCs/>
                <w:sz w:val="20"/>
                <w:szCs w:val="20"/>
              </w:rPr>
              <w:t>Percentage</w:t>
            </w:r>
          </w:p>
        </w:tc>
        <w:tc>
          <w:tcPr>
            <w:tcW w:w="1015" w:type="pct"/>
            <w:tcBorders>
              <w:top w:val="single" w:sz="6" w:space="0" w:color="auto"/>
              <w:bottom w:val="single" w:sz="6" w:space="0" w:color="auto"/>
            </w:tcBorders>
            <w:shd w:val="clear" w:color="auto" w:fill="DBE5F1"/>
            <w:vAlign w:val="center"/>
          </w:tcPr>
          <w:p w14:paraId="42B5B530" w14:textId="69453E12" w:rsidR="004F7A21" w:rsidRPr="0026724C" w:rsidRDefault="004F7A21" w:rsidP="00026A32">
            <w:pPr>
              <w:ind w:left="0"/>
              <w:jc w:val="center"/>
              <w:rPr>
                <w:rFonts w:cs="Calibri"/>
                <w:b/>
                <w:bCs/>
                <w:sz w:val="20"/>
                <w:szCs w:val="20"/>
              </w:rPr>
            </w:pPr>
            <w:r w:rsidRPr="0026724C">
              <w:rPr>
                <w:rFonts w:cs="Calibri"/>
                <w:b/>
                <w:bCs/>
                <w:sz w:val="20"/>
                <w:szCs w:val="20"/>
              </w:rPr>
              <w:t>Number</w:t>
            </w:r>
          </w:p>
        </w:tc>
      </w:tr>
      <w:tr w:rsidR="004F7A21" w:rsidRPr="0026724C" w14:paraId="3EDE2E5A" w14:textId="370787F6" w:rsidTr="00F133D5">
        <w:trPr>
          <w:trHeight w:val="20"/>
        </w:trPr>
        <w:tc>
          <w:tcPr>
            <w:tcW w:w="1955" w:type="pct"/>
            <w:tcBorders>
              <w:top w:val="single" w:sz="6" w:space="0" w:color="auto"/>
              <w:bottom w:val="single" w:sz="4" w:space="0" w:color="auto"/>
            </w:tcBorders>
            <w:shd w:val="clear" w:color="auto" w:fill="auto"/>
            <w:noWrap/>
            <w:vAlign w:val="center"/>
            <w:hideMark/>
          </w:tcPr>
          <w:p w14:paraId="555216B8" w14:textId="77777777" w:rsidR="004F7A21" w:rsidRPr="0026724C" w:rsidRDefault="004F7A21" w:rsidP="00026A32">
            <w:pPr>
              <w:ind w:left="0"/>
              <w:rPr>
                <w:rFonts w:cs="Calibri"/>
                <w:b/>
                <w:bCs/>
                <w:color w:val="000000"/>
                <w:sz w:val="6"/>
                <w:szCs w:val="6"/>
              </w:rPr>
            </w:pPr>
          </w:p>
        </w:tc>
        <w:tc>
          <w:tcPr>
            <w:tcW w:w="1015" w:type="pct"/>
            <w:tcBorders>
              <w:top w:val="single" w:sz="6" w:space="0" w:color="auto"/>
              <w:bottom w:val="single" w:sz="4" w:space="0" w:color="auto"/>
            </w:tcBorders>
          </w:tcPr>
          <w:p w14:paraId="3BE442A9" w14:textId="77777777" w:rsidR="004F7A21" w:rsidRPr="0026724C" w:rsidRDefault="004F7A21" w:rsidP="00026A32">
            <w:pPr>
              <w:ind w:left="0"/>
              <w:jc w:val="center"/>
              <w:rPr>
                <w:rFonts w:cs="Calibri"/>
                <w:b/>
                <w:bCs/>
                <w:color w:val="000000"/>
                <w:sz w:val="6"/>
                <w:szCs w:val="6"/>
              </w:rPr>
            </w:pPr>
          </w:p>
        </w:tc>
        <w:tc>
          <w:tcPr>
            <w:tcW w:w="1015" w:type="pct"/>
            <w:tcBorders>
              <w:top w:val="single" w:sz="6" w:space="0" w:color="auto"/>
              <w:bottom w:val="single" w:sz="4" w:space="0" w:color="auto"/>
            </w:tcBorders>
            <w:vAlign w:val="center"/>
          </w:tcPr>
          <w:p w14:paraId="33B1A206" w14:textId="77777777" w:rsidR="004F7A21" w:rsidRPr="0026724C" w:rsidRDefault="004F7A21" w:rsidP="00026A32">
            <w:pPr>
              <w:ind w:left="0"/>
              <w:jc w:val="center"/>
              <w:rPr>
                <w:rFonts w:cs="Calibri"/>
                <w:b/>
                <w:bCs/>
                <w:color w:val="000000"/>
                <w:sz w:val="6"/>
                <w:szCs w:val="6"/>
              </w:rPr>
            </w:pPr>
          </w:p>
        </w:tc>
        <w:tc>
          <w:tcPr>
            <w:tcW w:w="1015" w:type="pct"/>
            <w:tcBorders>
              <w:top w:val="single" w:sz="6" w:space="0" w:color="auto"/>
              <w:bottom w:val="single" w:sz="4" w:space="0" w:color="auto"/>
            </w:tcBorders>
            <w:vAlign w:val="center"/>
          </w:tcPr>
          <w:p w14:paraId="7C8CFA20" w14:textId="77777777" w:rsidR="004F7A21" w:rsidRPr="0026724C" w:rsidRDefault="004F7A21" w:rsidP="00026A32">
            <w:pPr>
              <w:ind w:left="0"/>
              <w:jc w:val="center"/>
              <w:rPr>
                <w:rFonts w:cs="Calibri"/>
                <w:b/>
                <w:bCs/>
                <w:color w:val="000000"/>
                <w:sz w:val="6"/>
                <w:szCs w:val="6"/>
              </w:rPr>
            </w:pPr>
          </w:p>
        </w:tc>
      </w:tr>
      <w:tr w:rsidR="004F7A21" w:rsidRPr="0026724C" w14:paraId="01A5C8C1" w14:textId="57A356CA" w:rsidTr="00F133D5">
        <w:trPr>
          <w:trHeight w:val="20"/>
        </w:trPr>
        <w:tc>
          <w:tcPr>
            <w:tcW w:w="1955" w:type="pct"/>
            <w:tcBorders>
              <w:top w:val="single" w:sz="4" w:space="0" w:color="auto"/>
              <w:bottom w:val="single" w:sz="4" w:space="0" w:color="auto"/>
            </w:tcBorders>
            <w:shd w:val="clear" w:color="auto" w:fill="auto"/>
            <w:noWrap/>
            <w:vAlign w:val="center"/>
            <w:hideMark/>
          </w:tcPr>
          <w:p w14:paraId="131DF299" w14:textId="77777777" w:rsidR="004F7A21" w:rsidRPr="0026724C" w:rsidRDefault="004F7A21" w:rsidP="00026A32">
            <w:pPr>
              <w:ind w:left="0"/>
              <w:rPr>
                <w:rFonts w:cs="Calibri"/>
                <w:b/>
                <w:bCs/>
                <w:color w:val="000000"/>
                <w:sz w:val="20"/>
                <w:szCs w:val="20"/>
              </w:rPr>
            </w:pPr>
            <w:r w:rsidRPr="0026724C">
              <w:rPr>
                <w:rFonts w:cs="Calibri"/>
                <w:b/>
                <w:bCs/>
                <w:color w:val="000000"/>
                <w:sz w:val="20"/>
                <w:szCs w:val="20"/>
              </w:rPr>
              <w:t>Aberdeen City</w:t>
            </w:r>
          </w:p>
        </w:tc>
        <w:tc>
          <w:tcPr>
            <w:tcW w:w="1015" w:type="pct"/>
            <w:tcBorders>
              <w:top w:val="single" w:sz="4" w:space="0" w:color="auto"/>
              <w:bottom w:val="single" w:sz="4" w:space="0" w:color="auto"/>
              <w:right w:val="single" w:sz="4" w:space="0" w:color="auto"/>
            </w:tcBorders>
            <w:vAlign w:val="center"/>
          </w:tcPr>
          <w:p w14:paraId="2E4AAB99" w14:textId="77777777" w:rsidR="004F7A21" w:rsidRPr="0026724C" w:rsidRDefault="004F7A21" w:rsidP="00026A32">
            <w:pPr>
              <w:spacing w:line="276" w:lineRule="auto"/>
              <w:ind w:left="0"/>
              <w:jc w:val="center"/>
              <w:rPr>
                <w:rFonts w:eastAsia="Calibri" w:cs="Calibri"/>
                <w:b/>
                <w:bCs/>
                <w:color w:val="000000"/>
                <w:sz w:val="20"/>
                <w:szCs w:val="20"/>
              </w:rPr>
            </w:pPr>
            <w:r w:rsidRPr="0026724C">
              <w:rPr>
                <w:rFonts w:eastAsia="Calibri" w:cs="Calibri"/>
                <w:b/>
                <w:bCs/>
                <w:color w:val="000000"/>
                <w:sz w:val="20"/>
                <w:szCs w:val="20"/>
              </w:rPr>
              <w:t>18.18%</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11B5ADF7" w14:textId="2A83CC0A" w:rsidR="004F7A21" w:rsidRPr="0026724C" w:rsidRDefault="004F7A21" w:rsidP="00026A32">
            <w:pPr>
              <w:spacing w:line="276" w:lineRule="auto"/>
              <w:ind w:left="0"/>
              <w:jc w:val="center"/>
              <w:rPr>
                <w:rFonts w:eastAsia="Calibri" w:cs="Calibri"/>
                <w:b/>
                <w:bCs/>
                <w:color w:val="000000"/>
                <w:sz w:val="20"/>
                <w:szCs w:val="20"/>
              </w:rPr>
            </w:pPr>
            <w:r w:rsidRPr="0026724C">
              <w:rPr>
                <w:rFonts w:cs="Arial"/>
                <w:b/>
                <w:bCs/>
                <w:color w:val="000000"/>
                <w:sz w:val="20"/>
                <w:szCs w:val="20"/>
              </w:rPr>
              <w:t>16.72%</w:t>
            </w:r>
          </w:p>
        </w:tc>
        <w:tc>
          <w:tcPr>
            <w:tcW w:w="1015" w:type="pct"/>
            <w:tcBorders>
              <w:top w:val="single" w:sz="4" w:space="0" w:color="auto"/>
              <w:left w:val="single" w:sz="4" w:space="0" w:color="auto"/>
              <w:bottom w:val="single" w:sz="4" w:space="0" w:color="auto"/>
              <w:right w:val="single" w:sz="4" w:space="0" w:color="auto"/>
            </w:tcBorders>
            <w:vAlign w:val="center"/>
          </w:tcPr>
          <w:p w14:paraId="7B18B38C" w14:textId="0092ACB7" w:rsidR="004F7A21" w:rsidRPr="0026724C" w:rsidRDefault="004F7A21" w:rsidP="00026A32">
            <w:pPr>
              <w:spacing w:line="276" w:lineRule="auto"/>
              <w:ind w:left="0"/>
              <w:jc w:val="center"/>
              <w:rPr>
                <w:rFonts w:cs="Arial"/>
                <w:b/>
                <w:bCs/>
                <w:color w:val="000000"/>
                <w:sz w:val="20"/>
                <w:szCs w:val="20"/>
              </w:rPr>
            </w:pPr>
            <w:r w:rsidRPr="0026724C">
              <w:rPr>
                <w:rFonts w:cs="Arial"/>
                <w:b/>
                <w:bCs/>
                <w:color w:val="000000"/>
                <w:sz w:val="20"/>
                <w:szCs w:val="20"/>
              </w:rPr>
              <w:t>5,689</w:t>
            </w:r>
          </w:p>
        </w:tc>
      </w:tr>
      <w:tr w:rsidR="004F7A21" w:rsidRPr="0026724C" w14:paraId="0A88A22D" w14:textId="72CDC614" w:rsidTr="00F133D5">
        <w:trPr>
          <w:trHeight w:val="20"/>
        </w:trPr>
        <w:tc>
          <w:tcPr>
            <w:tcW w:w="1955" w:type="pct"/>
            <w:tcBorders>
              <w:top w:val="single" w:sz="4" w:space="0" w:color="auto"/>
              <w:bottom w:val="single" w:sz="4" w:space="0" w:color="auto"/>
            </w:tcBorders>
            <w:shd w:val="clear" w:color="auto" w:fill="auto"/>
            <w:noWrap/>
            <w:vAlign w:val="center"/>
            <w:hideMark/>
          </w:tcPr>
          <w:p w14:paraId="0DDC66F9" w14:textId="77777777" w:rsidR="004F7A21" w:rsidRPr="0026724C" w:rsidRDefault="004F7A21" w:rsidP="00026A32">
            <w:pPr>
              <w:ind w:left="0"/>
              <w:rPr>
                <w:rFonts w:cs="Calibri"/>
                <w:color w:val="000000"/>
                <w:sz w:val="20"/>
                <w:szCs w:val="20"/>
              </w:rPr>
            </w:pPr>
            <w:r w:rsidRPr="0026724C">
              <w:rPr>
                <w:rFonts w:cs="Calibri"/>
                <w:color w:val="000000"/>
                <w:sz w:val="20"/>
                <w:szCs w:val="20"/>
              </w:rPr>
              <w:t>Hazlehead/Ashley/Queens Cross</w:t>
            </w:r>
          </w:p>
        </w:tc>
        <w:tc>
          <w:tcPr>
            <w:tcW w:w="1015" w:type="pct"/>
            <w:tcBorders>
              <w:top w:val="single" w:sz="4" w:space="0" w:color="auto"/>
              <w:bottom w:val="single" w:sz="4" w:space="0" w:color="auto"/>
              <w:right w:val="single" w:sz="4" w:space="0" w:color="auto"/>
            </w:tcBorders>
            <w:vAlign w:val="center"/>
          </w:tcPr>
          <w:p w14:paraId="7ADCFAA6" w14:textId="77777777" w:rsidR="004F7A21" w:rsidRPr="0026724C" w:rsidRDefault="004F7A21" w:rsidP="00026A32">
            <w:pPr>
              <w:spacing w:line="276" w:lineRule="auto"/>
              <w:ind w:left="0"/>
              <w:jc w:val="center"/>
              <w:rPr>
                <w:rFonts w:eastAsia="Calibri" w:cs="Calibri"/>
                <w:color w:val="000000"/>
                <w:sz w:val="20"/>
                <w:szCs w:val="20"/>
              </w:rPr>
            </w:pPr>
            <w:r w:rsidRPr="0026724C">
              <w:rPr>
                <w:rFonts w:eastAsia="Calibri" w:cs="Calibri"/>
                <w:color w:val="000000"/>
                <w:sz w:val="20"/>
                <w:szCs w:val="20"/>
              </w:rPr>
              <w:t>5.91%</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7CA2C545" w14:textId="4FB5091E" w:rsidR="004F7A21" w:rsidRPr="0026724C" w:rsidRDefault="004F7A21" w:rsidP="00026A32">
            <w:pPr>
              <w:spacing w:line="276" w:lineRule="auto"/>
              <w:ind w:left="0"/>
              <w:jc w:val="center"/>
              <w:rPr>
                <w:rFonts w:eastAsia="Calibri" w:cs="Calibri"/>
                <w:color w:val="000000"/>
                <w:sz w:val="20"/>
                <w:szCs w:val="20"/>
              </w:rPr>
            </w:pPr>
            <w:r w:rsidRPr="0026724C">
              <w:rPr>
                <w:rFonts w:cs="Arial"/>
                <w:color w:val="000000"/>
                <w:sz w:val="20"/>
                <w:szCs w:val="20"/>
              </w:rPr>
              <w:t>5.87%</w:t>
            </w:r>
          </w:p>
        </w:tc>
        <w:tc>
          <w:tcPr>
            <w:tcW w:w="1015" w:type="pct"/>
            <w:tcBorders>
              <w:top w:val="single" w:sz="4" w:space="0" w:color="auto"/>
              <w:left w:val="single" w:sz="4" w:space="0" w:color="auto"/>
              <w:bottom w:val="single" w:sz="4" w:space="0" w:color="auto"/>
              <w:right w:val="single" w:sz="4" w:space="0" w:color="auto"/>
            </w:tcBorders>
            <w:vAlign w:val="center"/>
          </w:tcPr>
          <w:p w14:paraId="720C87EF" w14:textId="15F8A82C" w:rsidR="004F7A21" w:rsidRPr="0026724C" w:rsidRDefault="004F7A21" w:rsidP="00026A32">
            <w:pPr>
              <w:spacing w:line="276" w:lineRule="auto"/>
              <w:ind w:left="0"/>
              <w:jc w:val="center"/>
              <w:rPr>
                <w:rFonts w:cs="Arial"/>
                <w:color w:val="000000"/>
                <w:sz w:val="20"/>
                <w:szCs w:val="20"/>
              </w:rPr>
            </w:pPr>
            <w:r w:rsidRPr="0026724C">
              <w:rPr>
                <w:rFonts w:cs="Arial"/>
                <w:color w:val="000000"/>
                <w:sz w:val="20"/>
                <w:szCs w:val="20"/>
              </w:rPr>
              <w:t>142</w:t>
            </w:r>
          </w:p>
        </w:tc>
      </w:tr>
      <w:tr w:rsidR="004F7A21" w:rsidRPr="0026724C" w14:paraId="08F86EFE" w14:textId="187B66DC" w:rsidTr="00F133D5">
        <w:trPr>
          <w:trHeight w:val="20"/>
        </w:trPr>
        <w:tc>
          <w:tcPr>
            <w:tcW w:w="1955" w:type="pct"/>
            <w:tcBorders>
              <w:top w:val="single" w:sz="4" w:space="0" w:color="auto"/>
              <w:bottom w:val="single" w:sz="4" w:space="0" w:color="auto"/>
            </w:tcBorders>
            <w:shd w:val="clear" w:color="auto" w:fill="auto"/>
            <w:noWrap/>
            <w:vAlign w:val="center"/>
            <w:hideMark/>
          </w:tcPr>
          <w:p w14:paraId="57FD62A6" w14:textId="77777777" w:rsidR="004F7A21" w:rsidRPr="0026724C" w:rsidRDefault="004F7A21" w:rsidP="00026A32">
            <w:pPr>
              <w:ind w:left="0"/>
              <w:rPr>
                <w:rFonts w:cs="Calibri"/>
                <w:color w:val="000000"/>
                <w:sz w:val="20"/>
                <w:szCs w:val="20"/>
              </w:rPr>
            </w:pPr>
            <w:r w:rsidRPr="0026724C">
              <w:rPr>
                <w:rFonts w:cs="Calibri"/>
                <w:color w:val="000000"/>
                <w:sz w:val="20"/>
                <w:szCs w:val="20"/>
              </w:rPr>
              <w:t>Bridge of Don</w:t>
            </w:r>
          </w:p>
        </w:tc>
        <w:tc>
          <w:tcPr>
            <w:tcW w:w="1015" w:type="pct"/>
            <w:tcBorders>
              <w:top w:val="single" w:sz="4" w:space="0" w:color="auto"/>
              <w:bottom w:val="single" w:sz="4" w:space="0" w:color="auto"/>
              <w:right w:val="single" w:sz="4" w:space="0" w:color="auto"/>
            </w:tcBorders>
            <w:vAlign w:val="center"/>
          </w:tcPr>
          <w:p w14:paraId="127AB82E" w14:textId="77777777" w:rsidR="004F7A21" w:rsidRPr="0026724C" w:rsidRDefault="004F7A21" w:rsidP="00026A32">
            <w:pPr>
              <w:spacing w:line="276" w:lineRule="auto"/>
              <w:ind w:left="0"/>
              <w:jc w:val="center"/>
              <w:rPr>
                <w:rFonts w:eastAsia="Calibri" w:cs="Calibri"/>
                <w:color w:val="000000"/>
                <w:sz w:val="20"/>
                <w:szCs w:val="20"/>
              </w:rPr>
            </w:pPr>
            <w:r w:rsidRPr="0026724C">
              <w:rPr>
                <w:rFonts w:eastAsia="Calibri" w:cs="Calibri"/>
                <w:color w:val="000000"/>
                <w:sz w:val="20"/>
                <w:szCs w:val="20"/>
              </w:rPr>
              <w:t>6.27%</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6C1E234A" w14:textId="5BCC4129" w:rsidR="004F7A21" w:rsidRPr="0026724C" w:rsidRDefault="004F7A21" w:rsidP="00026A32">
            <w:pPr>
              <w:spacing w:line="276" w:lineRule="auto"/>
              <w:ind w:left="0"/>
              <w:jc w:val="center"/>
              <w:rPr>
                <w:rFonts w:eastAsia="Calibri" w:cs="Calibri"/>
                <w:color w:val="000000"/>
                <w:sz w:val="20"/>
                <w:szCs w:val="20"/>
              </w:rPr>
            </w:pPr>
            <w:r w:rsidRPr="0026724C">
              <w:rPr>
                <w:rFonts w:cs="Arial"/>
                <w:color w:val="000000"/>
                <w:sz w:val="20"/>
                <w:szCs w:val="20"/>
              </w:rPr>
              <w:t>6.17%</w:t>
            </w:r>
          </w:p>
        </w:tc>
        <w:tc>
          <w:tcPr>
            <w:tcW w:w="1015" w:type="pct"/>
            <w:tcBorders>
              <w:top w:val="single" w:sz="4" w:space="0" w:color="auto"/>
              <w:left w:val="single" w:sz="4" w:space="0" w:color="auto"/>
              <w:bottom w:val="single" w:sz="4" w:space="0" w:color="auto"/>
              <w:right w:val="single" w:sz="4" w:space="0" w:color="auto"/>
            </w:tcBorders>
            <w:vAlign w:val="center"/>
          </w:tcPr>
          <w:p w14:paraId="3B45F8D9" w14:textId="7F586298" w:rsidR="004F7A21" w:rsidRPr="0026724C" w:rsidRDefault="004F7A21" w:rsidP="00026A32">
            <w:pPr>
              <w:spacing w:line="276" w:lineRule="auto"/>
              <w:ind w:left="0"/>
              <w:jc w:val="center"/>
              <w:rPr>
                <w:rFonts w:cs="Arial"/>
                <w:color w:val="000000"/>
                <w:sz w:val="20"/>
                <w:szCs w:val="20"/>
              </w:rPr>
            </w:pPr>
            <w:r w:rsidRPr="0026724C">
              <w:rPr>
                <w:rFonts w:cs="Arial"/>
                <w:color w:val="000000"/>
                <w:sz w:val="20"/>
                <w:szCs w:val="20"/>
              </w:rPr>
              <w:t>176</w:t>
            </w:r>
          </w:p>
        </w:tc>
      </w:tr>
      <w:tr w:rsidR="004F7A21" w:rsidRPr="0026724C" w14:paraId="57F56293" w14:textId="32B8C806" w:rsidTr="00F133D5">
        <w:trPr>
          <w:trHeight w:val="20"/>
        </w:trPr>
        <w:tc>
          <w:tcPr>
            <w:tcW w:w="1955" w:type="pct"/>
            <w:tcBorders>
              <w:top w:val="single" w:sz="4" w:space="0" w:color="auto"/>
              <w:bottom w:val="single" w:sz="4" w:space="0" w:color="auto"/>
            </w:tcBorders>
            <w:shd w:val="clear" w:color="auto" w:fill="auto"/>
            <w:noWrap/>
            <w:vAlign w:val="center"/>
            <w:hideMark/>
          </w:tcPr>
          <w:p w14:paraId="0B217450" w14:textId="77777777" w:rsidR="004F7A21" w:rsidRPr="0026724C" w:rsidRDefault="004F7A21" w:rsidP="00026A32">
            <w:pPr>
              <w:ind w:left="0"/>
              <w:rPr>
                <w:rFonts w:cs="Calibri"/>
                <w:color w:val="000000"/>
                <w:sz w:val="20"/>
                <w:szCs w:val="20"/>
              </w:rPr>
            </w:pPr>
            <w:r w:rsidRPr="0026724C">
              <w:rPr>
                <w:rFonts w:cs="Calibri"/>
                <w:color w:val="000000"/>
                <w:sz w:val="20"/>
                <w:szCs w:val="20"/>
              </w:rPr>
              <w:t>Lower Deeside</w:t>
            </w:r>
          </w:p>
        </w:tc>
        <w:tc>
          <w:tcPr>
            <w:tcW w:w="1015" w:type="pct"/>
            <w:tcBorders>
              <w:top w:val="single" w:sz="4" w:space="0" w:color="auto"/>
              <w:bottom w:val="single" w:sz="4" w:space="0" w:color="auto"/>
              <w:right w:val="single" w:sz="4" w:space="0" w:color="auto"/>
            </w:tcBorders>
            <w:vAlign w:val="center"/>
          </w:tcPr>
          <w:p w14:paraId="3EE0FA76" w14:textId="77777777" w:rsidR="004F7A21" w:rsidRPr="0026724C" w:rsidRDefault="004F7A21" w:rsidP="00026A32">
            <w:pPr>
              <w:spacing w:line="276" w:lineRule="auto"/>
              <w:ind w:left="0"/>
              <w:jc w:val="center"/>
              <w:rPr>
                <w:rFonts w:eastAsia="Calibri" w:cs="Calibri"/>
                <w:color w:val="000000"/>
                <w:sz w:val="20"/>
                <w:szCs w:val="20"/>
              </w:rPr>
            </w:pPr>
            <w:r w:rsidRPr="0026724C">
              <w:rPr>
                <w:rFonts w:eastAsia="Calibri" w:cs="Calibri"/>
                <w:color w:val="000000"/>
                <w:sz w:val="20"/>
                <w:szCs w:val="20"/>
              </w:rPr>
              <w:t>10.01%</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41FB0A5E" w14:textId="179A0D13" w:rsidR="004F7A21" w:rsidRPr="0026724C" w:rsidRDefault="004F7A21" w:rsidP="00026A32">
            <w:pPr>
              <w:spacing w:line="276" w:lineRule="auto"/>
              <w:ind w:left="0"/>
              <w:jc w:val="center"/>
              <w:rPr>
                <w:rFonts w:eastAsia="Calibri" w:cs="Calibri"/>
                <w:color w:val="000000"/>
                <w:sz w:val="20"/>
                <w:szCs w:val="20"/>
              </w:rPr>
            </w:pPr>
            <w:r w:rsidRPr="0026724C">
              <w:rPr>
                <w:rFonts w:cs="Arial"/>
                <w:color w:val="000000"/>
                <w:sz w:val="20"/>
                <w:szCs w:val="20"/>
              </w:rPr>
              <w:t>6.25%</w:t>
            </w:r>
          </w:p>
        </w:tc>
        <w:tc>
          <w:tcPr>
            <w:tcW w:w="1015" w:type="pct"/>
            <w:tcBorders>
              <w:top w:val="single" w:sz="4" w:space="0" w:color="auto"/>
              <w:left w:val="single" w:sz="4" w:space="0" w:color="auto"/>
              <w:bottom w:val="single" w:sz="4" w:space="0" w:color="auto"/>
              <w:right w:val="single" w:sz="4" w:space="0" w:color="auto"/>
            </w:tcBorders>
            <w:vAlign w:val="center"/>
          </w:tcPr>
          <w:p w14:paraId="6FB4A0A1" w14:textId="7CCB58EA" w:rsidR="004F7A21" w:rsidRPr="0026724C" w:rsidRDefault="004F7A21" w:rsidP="00026A32">
            <w:pPr>
              <w:spacing w:line="276" w:lineRule="auto"/>
              <w:ind w:left="0"/>
              <w:jc w:val="center"/>
              <w:rPr>
                <w:rFonts w:cs="Arial"/>
                <w:color w:val="000000"/>
                <w:sz w:val="20"/>
                <w:szCs w:val="20"/>
              </w:rPr>
            </w:pPr>
            <w:r w:rsidRPr="0026724C">
              <w:rPr>
                <w:rFonts w:cs="Arial"/>
                <w:color w:val="000000"/>
                <w:sz w:val="20"/>
                <w:szCs w:val="20"/>
              </w:rPr>
              <w:t>164</w:t>
            </w:r>
          </w:p>
        </w:tc>
      </w:tr>
      <w:tr w:rsidR="004F7A21" w:rsidRPr="0026724C" w14:paraId="798A651E" w14:textId="7057B8D7" w:rsidTr="00F133D5">
        <w:trPr>
          <w:trHeight w:val="20"/>
        </w:trPr>
        <w:tc>
          <w:tcPr>
            <w:tcW w:w="1955" w:type="pct"/>
            <w:tcBorders>
              <w:top w:val="single" w:sz="4" w:space="0" w:color="auto"/>
              <w:bottom w:val="single" w:sz="4" w:space="0" w:color="auto"/>
            </w:tcBorders>
            <w:shd w:val="clear" w:color="auto" w:fill="auto"/>
            <w:noWrap/>
            <w:vAlign w:val="center"/>
            <w:hideMark/>
          </w:tcPr>
          <w:p w14:paraId="7A5CD481" w14:textId="77777777" w:rsidR="004F7A21" w:rsidRPr="0026724C" w:rsidRDefault="004F7A21" w:rsidP="00026A32">
            <w:pPr>
              <w:ind w:left="0"/>
              <w:rPr>
                <w:rFonts w:cs="Calibri"/>
                <w:color w:val="000000"/>
                <w:sz w:val="20"/>
                <w:szCs w:val="20"/>
              </w:rPr>
            </w:pPr>
            <w:r w:rsidRPr="0026724C">
              <w:rPr>
                <w:rFonts w:cs="Calibri"/>
                <w:color w:val="000000"/>
                <w:sz w:val="20"/>
                <w:szCs w:val="20"/>
              </w:rPr>
              <w:t>Midstocket/Rosemount</w:t>
            </w:r>
          </w:p>
        </w:tc>
        <w:tc>
          <w:tcPr>
            <w:tcW w:w="1015" w:type="pct"/>
            <w:tcBorders>
              <w:top w:val="single" w:sz="4" w:space="0" w:color="auto"/>
              <w:bottom w:val="single" w:sz="4" w:space="0" w:color="auto"/>
              <w:right w:val="single" w:sz="4" w:space="0" w:color="auto"/>
            </w:tcBorders>
            <w:vAlign w:val="center"/>
          </w:tcPr>
          <w:p w14:paraId="68E6CE6F" w14:textId="77777777" w:rsidR="004F7A21" w:rsidRPr="0026724C" w:rsidRDefault="004F7A21" w:rsidP="00026A32">
            <w:pPr>
              <w:spacing w:line="276" w:lineRule="auto"/>
              <w:ind w:left="0"/>
              <w:jc w:val="center"/>
              <w:rPr>
                <w:rFonts w:eastAsia="Calibri" w:cs="Calibri"/>
                <w:color w:val="000000"/>
                <w:sz w:val="20"/>
                <w:szCs w:val="20"/>
              </w:rPr>
            </w:pPr>
            <w:r w:rsidRPr="0026724C">
              <w:rPr>
                <w:rFonts w:eastAsia="Calibri" w:cs="Calibri"/>
                <w:color w:val="000000"/>
                <w:sz w:val="20"/>
                <w:szCs w:val="20"/>
              </w:rPr>
              <w:t>12.34%</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1067EC43" w14:textId="063C8770" w:rsidR="004F7A21" w:rsidRPr="0026724C" w:rsidRDefault="004F7A21" w:rsidP="00026A32">
            <w:pPr>
              <w:spacing w:line="276" w:lineRule="auto"/>
              <w:ind w:left="0"/>
              <w:jc w:val="center"/>
              <w:rPr>
                <w:rFonts w:eastAsia="Calibri" w:cs="Calibri"/>
                <w:color w:val="000000"/>
                <w:sz w:val="20"/>
                <w:szCs w:val="20"/>
              </w:rPr>
            </w:pPr>
            <w:r w:rsidRPr="0026724C">
              <w:rPr>
                <w:rFonts w:cs="Arial"/>
                <w:color w:val="000000"/>
                <w:sz w:val="20"/>
                <w:szCs w:val="20"/>
              </w:rPr>
              <w:t>15.27%</w:t>
            </w:r>
          </w:p>
        </w:tc>
        <w:tc>
          <w:tcPr>
            <w:tcW w:w="1015" w:type="pct"/>
            <w:tcBorders>
              <w:top w:val="single" w:sz="4" w:space="0" w:color="auto"/>
              <w:left w:val="single" w:sz="4" w:space="0" w:color="auto"/>
              <w:bottom w:val="single" w:sz="4" w:space="0" w:color="auto"/>
              <w:right w:val="single" w:sz="4" w:space="0" w:color="auto"/>
            </w:tcBorders>
            <w:vAlign w:val="center"/>
          </w:tcPr>
          <w:p w14:paraId="678C8C89" w14:textId="201EFCA0" w:rsidR="004F7A21" w:rsidRPr="0026724C" w:rsidRDefault="004F7A21" w:rsidP="00026A32">
            <w:pPr>
              <w:spacing w:line="276" w:lineRule="auto"/>
              <w:ind w:left="0"/>
              <w:jc w:val="center"/>
              <w:rPr>
                <w:rFonts w:cs="Arial"/>
                <w:color w:val="000000"/>
                <w:sz w:val="20"/>
                <w:szCs w:val="20"/>
              </w:rPr>
            </w:pPr>
            <w:r w:rsidRPr="0026724C">
              <w:rPr>
                <w:rFonts w:cs="Arial"/>
                <w:color w:val="000000"/>
                <w:sz w:val="20"/>
                <w:szCs w:val="20"/>
              </w:rPr>
              <w:t>235</w:t>
            </w:r>
          </w:p>
        </w:tc>
      </w:tr>
      <w:tr w:rsidR="004F7A21" w:rsidRPr="0026724C" w14:paraId="4E20A9B5" w14:textId="6D689CA8" w:rsidTr="00F133D5">
        <w:trPr>
          <w:trHeight w:val="20"/>
        </w:trPr>
        <w:tc>
          <w:tcPr>
            <w:tcW w:w="1955" w:type="pct"/>
            <w:tcBorders>
              <w:top w:val="single" w:sz="4" w:space="0" w:color="auto"/>
              <w:bottom w:val="single" w:sz="4" w:space="0" w:color="auto"/>
            </w:tcBorders>
            <w:shd w:val="clear" w:color="auto" w:fill="auto"/>
            <w:noWrap/>
            <w:vAlign w:val="center"/>
            <w:hideMark/>
          </w:tcPr>
          <w:p w14:paraId="7D04B842" w14:textId="77777777" w:rsidR="004F7A21" w:rsidRPr="0026724C" w:rsidRDefault="004F7A21" w:rsidP="00026A32">
            <w:pPr>
              <w:ind w:left="0"/>
              <w:rPr>
                <w:rFonts w:cs="Calibri"/>
                <w:color w:val="000000"/>
                <w:sz w:val="20"/>
                <w:szCs w:val="20"/>
              </w:rPr>
            </w:pPr>
            <w:r w:rsidRPr="0026724C">
              <w:rPr>
                <w:rFonts w:cs="Calibri"/>
                <w:color w:val="000000"/>
                <w:sz w:val="20"/>
                <w:szCs w:val="20"/>
              </w:rPr>
              <w:t>Airyhall/Broomhill/Garthdee</w:t>
            </w:r>
          </w:p>
        </w:tc>
        <w:tc>
          <w:tcPr>
            <w:tcW w:w="1015" w:type="pct"/>
            <w:tcBorders>
              <w:top w:val="single" w:sz="4" w:space="0" w:color="auto"/>
              <w:bottom w:val="single" w:sz="4" w:space="0" w:color="auto"/>
              <w:right w:val="single" w:sz="4" w:space="0" w:color="auto"/>
            </w:tcBorders>
            <w:vAlign w:val="center"/>
          </w:tcPr>
          <w:p w14:paraId="1B98C094" w14:textId="77777777" w:rsidR="004F7A21" w:rsidRPr="0026724C" w:rsidRDefault="004F7A21" w:rsidP="00026A32">
            <w:pPr>
              <w:spacing w:line="276" w:lineRule="auto"/>
              <w:ind w:left="0"/>
              <w:jc w:val="center"/>
              <w:rPr>
                <w:rFonts w:eastAsia="Calibri" w:cs="Calibri"/>
                <w:color w:val="000000"/>
                <w:sz w:val="20"/>
                <w:szCs w:val="20"/>
              </w:rPr>
            </w:pPr>
            <w:r w:rsidRPr="0026724C">
              <w:rPr>
                <w:rFonts w:eastAsia="Calibri" w:cs="Calibri"/>
                <w:color w:val="000000"/>
                <w:sz w:val="20"/>
                <w:szCs w:val="20"/>
              </w:rPr>
              <w:t>12.47%</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03FA59F4" w14:textId="68B36A96" w:rsidR="004F7A21" w:rsidRPr="0026724C" w:rsidRDefault="004F7A21" w:rsidP="00026A32">
            <w:pPr>
              <w:spacing w:line="276" w:lineRule="auto"/>
              <w:ind w:left="0"/>
              <w:jc w:val="center"/>
              <w:rPr>
                <w:rFonts w:eastAsia="Calibri" w:cs="Calibri"/>
                <w:color w:val="000000"/>
                <w:sz w:val="20"/>
                <w:szCs w:val="20"/>
              </w:rPr>
            </w:pPr>
            <w:r w:rsidRPr="0026724C">
              <w:rPr>
                <w:rFonts w:cs="Arial"/>
                <w:color w:val="000000"/>
                <w:sz w:val="20"/>
                <w:szCs w:val="20"/>
              </w:rPr>
              <w:t>12.42%</w:t>
            </w:r>
          </w:p>
        </w:tc>
        <w:tc>
          <w:tcPr>
            <w:tcW w:w="1015" w:type="pct"/>
            <w:tcBorders>
              <w:top w:val="single" w:sz="4" w:space="0" w:color="auto"/>
              <w:left w:val="single" w:sz="4" w:space="0" w:color="auto"/>
              <w:bottom w:val="single" w:sz="4" w:space="0" w:color="auto"/>
              <w:right w:val="single" w:sz="4" w:space="0" w:color="auto"/>
            </w:tcBorders>
            <w:vAlign w:val="center"/>
          </w:tcPr>
          <w:p w14:paraId="6FC7D6AF" w14:textId="5FCE4417" w:rsidR="004F7A21" w:rsidRPr="0026724C" w:rsidRDefault="004F7A21" w:rsidP="00026A32">
            <w:pPr>
              <w:spacing w:line="276" w:lineRule="auto"/>
              <w:ind w:left="0"/>
              <w:jc w:val="center"/>
              <w:rPr>
                <w:rFonts w:cs="Arial"/>
                <w:color w:val="000000"/>
                <w:sz w:val="20"/>
                <w:szCs w:val="20"/>
              </w:rPr>
            </w:pPr>
            <w:r w:rsidRPr="0026724C">
              <w:rPr>
                <w:rFonts w:cs="Arial"/>
                <w:color w:val="000000"/>
                <w:sz w:val="20"/>
                <w:szCs w:val="20"/>
              </w:rPr>
              <w:t>265</w:t>
            </w:r>
          </w:p>
        </w:tc>
      </w:tr>
      <w:tr w:rsidR="004F7A21" w:rsidRPr="0026724C" w14:paraId="06972E15" w14:textId="24A0D635" w:rsidTr="00F133D5">
        <w:trPr>
          <w:trHeight w:val="20"/>
        </w:trPr>
        <w:tc>
          <w:tcPr>
            <w:tcW w:w="1955" w:type="pct"/>
            <w:tcBorders>
              <w:top w:val="single" w:sz="4" w:space="0" w:color="auto"/>
              <w:bottom w:val="single" w:sz="4" w:space="0" w:color="auto"/>
            </w:tcBorders>
            <w:shd w:val="clear" w:color="auto" w:fill="auto"/>
            <w:noWrap/>
            <w:vAlign w:val="center"/>
            <w:hideMark/>
          </w:tcPr>
          <w:p w14:paraId="74D4AA32" w14:textId="77777777" w:rsidR="004F7A21" w:rsidRPr="0026724C" w:rsidRDefault="004F7A21" w:rsidP="00026A32">
            <w:pPr>
              <w:ind w:left="0"/>
              <w:rPr>
                <w:rFonts w:cs="Calibri"/>
                <w:color w:val="000000"/>
                <w:sz w:val="20"/>
                <w:szCs w:val="20"/>
              </w:rPr>
            </w:pPr>
            <w:r w:rsidRPr="0026724C">
              <w:rPr>
                <w:rFonts w:cs="Calibri"/>
                <w:color w:val="000000"/>
                <w:sz w:val="20"/>
                <w:szCs w:val="20"/>
              </w:rPr>
              <w:t>Dyce/Bucksburn/Danestone</w:t>
            </w:r>
          </w:p>
        </w:tc>
        <w:tc>
          <w:tcPr>
            <w:tcW w:w="1015" w:type="pct"/>
            <w:tcBorders>
              <w:top w:val="single" w:sz="4" w:space="0" w:color="auto"/>
              <w:bottom w:val="single" w:sz="4" w:space="0" w:color="auto"/>
              <w:right w:val="single" w:sz="4" w:space="0" w:color="auto"/>
            </w:tcBorders>
            <w:vAlign w:val="center"/>
          </w:tcPr>
          <w:p w14:paraId="3FAA62A5" w14:textId="77777777" w:rsidR="004F7A21" w:rsidRPr="0026724C" w:rsidRDefault="004F7A21" w:rsidP="00026A32">
            <w:pPr>
              <w:spacing w:line="276" w:lineRule="auto"/>
              <w:ind w:left="0"/>
              <w:jc w:val="center"/>
              <w:rPr>
                <w:rFonts w:eastAsia="Calibri" w:cs="Calibri"/>
                <w:color w:val="000000"/>
                <w:sz w:val="20"/>
                <w:szCs w:val="20"/>
              </w:rPr>
            </w:pPr>
            <w:r w:rsidRPr="0026724C">
              <w:rPr>
                <w:rFonts w:eastAsia="Calibri" w:cs="Calibri"/>
                <w:color w:val="000000"/>
                <w:sz w:val="20"/>
                <w:szCs w:val="20"/>
              </w:rPr>
              <w:t>13.31%</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23A2049C" w14:textId="2C197B50" w:rsidR="004F7A21" w:rsidRPr="0026724C" w:rsidRDefault="004F7A21" w:rsidP="00026A32">
            <w:pPr>
              <w:spacing w:line="276" w:lineRule="auto"/>
              <w:ind w:left="0"/>
              <w:jc w:val="center"/>
              <w:rPr>
                <w:rFonts w:eastAsia="Calibri" w:cs="Calibri"/>
                <w:color w:val="000000"/>
                <w:sz w:val="20"/>
                <w:szCs w:val="20"/>
              </w:rPr>
            </w:pPr>
            <w:r w:rsidRPr="0026724C">
              <w:rPr>
                <w:rFonts w:cs="Arial"/>
                <w:color w:val="000000"/>
                <w:sz w:val="20"/>
                <w:szCs w:val="20"/>
              </w:rPr>
              <w:t>12.24%</w:t>
            </w:r>
          </w:p>
        </w:tc>
        <w:tc>
          <w:tcPr>
            <w:tcW w:w="1015" w:type="pct"/>
            <w:tcBorders>
              <w:top w:val="single" w:sz="4" w:space="0" w:color="auto"/>
              <w:left w:val="single" w:sz="4" w:space="0" w:color="auto"/>
              <w:bottom w:val="single" w:sz="4" w:space="0" w:color="auto"/>
              <w:right w:val="single" w:sz="4" w:space="0" w:color="auto"/>
            </w:tcBorders>
            <w:vAlign w:val="center"/>
          </w:tcPr>
          <w:p w14:paraId="42779706" w14:textId="07170884" w:rsidR="004F7A21" w:rsidRPr="0026724C" w:rsidRDefault="004F7A21" w:rsidP="00026A32">
            <w:pPr>
              <w:spacing w:line="276" w:lineRule="auto"/>
              <w:ind w:left="0"/>
              <w:jc w:val="center"/>
              <w:rPr>
                <w:rFonts w:cs="Arial"/>
                <w:color w:val="000000"/>
                <w:sz w:val="20"/>
                <w:szCs w:val="20"/>
              </w:rPr>
            </w:pPr>
            <w:r w:rsidRPr="0026724C">
              <w:rPr>
                <w:rFonts w:cs="Arial"/>
                <w:color w:val="000000"/>
                <w:sz w:val="20"/>
                <w:szCs w:val="20"/>
              </w:rPr>
              <w:t>340</w:t>
            </w:r>
          </w:p>
        </w:tc>
      </w:tr>
      <w:tr w:rsidR="004F7A21" w:rsidRPr="0026724C" w14:paraId="2A573206" w14:textId="2EB075CD" w:rsidTr="00F133D5">
        <w:trPr>
          <w:trHeight w:val="20"/>
        </w:trPr>
        <w:tc>
          <w:tcPr>
            <w:tcW w:w="1955" w:type="pct"/>
            <w:tcBorders>
              <w:top w:val="single" w:sz="4" w:space="0" w:color="auto"/>
              <w:bottom w:val="single" w:sz="4" w:space="0" w:color="auto"/>
            </w:tcBorders>
            <w:shd w:val="clear" w:color="auto" w:fill="auto"/>
            <w:noWrap/>
            <w:vAlign w:val="center"/>
            <w:hideMark/>
          </w:tcPr>
          <w:p w14:paraId="68A5CE77" w14:textId="77777777" w:rsidR="004F7A21" w:rsidRPr="0026724C" w:rsidRDefault="004F7A21" w:rsidP="00026A32">
            <w:pPr>
              <w:ind w:left="0"/>
              <w:rPr>
                <w:rFonts w:cs="Calibri"/>
                <w:color w:val="000000"/>
                <w:sz w:val="20"/>
                <w:szCs w:val="20"/>
              </w:rPr>
            </w:pPr>
            <w:r w:rsidRPr="0026724C">
              <w:rPr>
                <w:rFonts w:cs="Calibri"/>
                <w:color w:val="000000"/>
                <w:sz w:val="20"/>
                <w:szCs w:val="20"/>
              </w:rPr>
              <w:t>Kingswells/Sheddocksley</w:t>
            </w:r>
          </w:p>
        </w:tc>
        <w:tc>
          <w:tcPr>
            <w:tcW w:w="1015" w:type="pct"/>
            <w:tcBorders>
              <w:top w:val="single" w:sz="4" w:space="0" w:color="auto"/>
              <w:bottom w:val="single" w:sz="4" w:space="0" w:color="auto"/>
              <w:right w:val="single" w:sz="4" w:space="0" w:color="auto"/>
            </w:tcBorders>
            <w:vAlign w:val="center"/>
          </w:tcPr>
          <w:p w14:paraId="3E505199" w14:textId="77777777" w:rsidR="004F7A21" w:rsidRPr="0026724C" w:rsidRDefault="004F7A21" w:rsidP="00026A32">
            <w:pPr>
              <w:spacing w:line="276" w:lineRule="auto"/>
              <w:ind w:left="0"/>
              <w:jc w:val="center"/>
              <w:rPr>
                <w:rFonts w:eastAsia="Calibri" w:cs="Calibri"/>
                <w:color w:val="000000"/>
                <w:sz w:val="20"/>
                <w:szCs w:val="20"/>
              </w:rPr>
            </w:pPr>
            <w:r w:rsidRPr="0026724C">
              <w:rPr>
                <w:rFonts w:eastAsia="Calibri" w:cs="Calibri"/>
                <w:color w:val="000000"/>
                <w:sz w:val="20"/>
                <w:szCs w:val="20"/>
              </w:rPr>
              <w:t>17.60%</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69BB7885" w14:textId="6029EDD5" w:rsidR="004F7A21" w:rsidRPr="0026724C" w:rsidRDefault="004F7A21" w:rsidP="00026A32">
            <w:pPr>
              <w:spacing w:line="276" w:lineRule="auto"/>
              <w:ind w:left="0"/>
              <w:jc w:val="center"/>
              <w:rPr>
                <w:rFonts w:eastAsia="Calibri" w:cs="Calibri"/>
                <w:color w:val="000000"/>
                <w:sz w:val="20"/>
                <w:szCs w:val="20"/>
              </w:rPr>
            </w:pPr>
            <w:r w:rsidRPr="0026724C">
              <w:rPr>
                <w:rFonts w:cs="Arial"/>
                <w:color w:val="000000"/>
                <w:sz w:val="20"/>
                <w:szCs w:val="20"/>
              </w:rPr>
              <w:t>14.79%</w:t>
            </w:r>
          </w:p>
        </w:tc>
        <w:tc>
          <w:tcPr>
            <w:tcW w:w="1015" w:type="pct"/>
            <w:tcBorders>
              <w:top w:val="single" w:sz="4" w:space="0" w:color="auto"/>
              <w:left w:val="single" w:sz="4" w:space="0" w:color="auto"/>
              <w:bottom w:val="single" w:sz="4" w:space="0" w:color="auto"/>
              <w:right w:val="single" w:sz="4" w:space="0" w:color="auto"/>
            </w:tcBorders>
            <w:vAlign w:val="center"/>
          </w:tcPr>
          <w:p w14:paraId="1A1B60F4" w14:textId="19AE617C" w:rsidR="004F7A21" w:rsidRPr="0026724C" w:rsidRDefault="004F7A21" w:rsidP="00026A32">
            <w:pPr>
              <w:spacing w:line="276" w:lineRule="auto"/>
              <w:ind w:left="0"/>
              <w:jc w:val="center"/>
              <w:rPr>
                <w:rFonts w:cs="Arial"/>
                <w:color w:val="000000"/>
                <w:sz w:val="20"/>
                <w:szCs w:val="20"/>
              </w:rPr>
            </w:pPr>
            <w:r w:rsidRPr="0026724C">
              <w:rPr>
                <w:rFonts w:cs="Arial"/>
                <w:color w:val="000000"/>
                <w:sz w:val="20"/>
                <w:szCs w:val="20"/>
              </w:rPr>
              <w:t>473</w:t>
            </w:r>
          </w:p>
        </w:tc>
      </w:tr>
      <w:tr w:rsidR="004F7A21" w:rsidRPr="0026724C" w14:paraId="62F00818" w14:textId="2AE79CD9" w:rsidTr="00F133D5">
        <w:trPr>
          <w:trHeight w:val="20"/>
        </w:trPr>
        <w:tc>
          <w:tcPr>
            <w:tcW w:w="1955" w:type="pct"/>
            <w:tcBorders>
              <w:top w:val="single" w:sz="4" w:space="0" w:color="auto"/>
              <w:bottom w:val="single" w:sz="6" w:space="0" w:color="auto"/>
            </w:tcBorders>
            <w:shd w:val="clear" w:color="auto" w:fill="auto"/>
            <w:noWrap/>
            <w:vAlign w:val="center"/>
            <w:hideMark/>
          </w:tcPr>
          <w:p w14:paraId="65C7352B" w14:textId="77777777" w:rsidR="004F7A21" w:rsidRPr="0026724C" w:rsidRDefault="004F7A21" w:rsidP="00026A32">
            <w:pPr>
              <w:ind w:left="0"/>
              <w:rPr>
                <w:rFonts w:cs="Calibri"/>
                <w:color w:val="000000"/>
                <w:sz w:val="20"/>
                <w:szCs w:val="20"/>
              </w:rPr>
            </w:pPr>
            <w:r w:rsidRPr="0026724C">
              <w:rPr>
                <w:rFonts w:cs="Calibri"/>
                <w:color w:val="000000"/>
                <w:sz w:val="20"/>
                <w:szCs w:val="20"/>
              </w:rPr>
              <w:t>Kincorth/Loirston</w:t>
            </w:r>
          </w:p>
        </w:tc>
        <w:tc>
          <w:tcPr>
            <w:tcW w:w="1015" w:type="pct"/>
            <w:tcBorders>
              <w:top w:val="single" w:sz="4" w:space="0" w:color="auto"/>
              <w:bottom w:val="single" w:sz="6" w:space="0" w:color="auto"/>
              <w:right w:val="single" w:sz="4" w:space="0" w:color="auto"/>
            </w:tcBorders>
            <w:vAlign w:val="center"/>
          </w:tcPr>
          <w:p w14:paraId="15BF320E" w14:textId="77777777" w:rsidR="004F7A21" w:rsidRPr="0026724C" w:rsidRDefault="004F7A21" w:rsidP="00026A32">
            <w:pPr>
              <w:spacing w:line="276" w:lineRule="auto"/>
              <w:ind w:left="0"/>
              <w:jc w:val="center"/>
              <w:rPr>
                <w:rFonts w:eastAsia="Calibri" w:cs="Calibri"/>
                <w:color w:val="000000"/>
                <w:sz w:val="20"/>
                <w:szCs w:val="20"/>
              </w:rPr>
            </w:pPr>
            <w:r w:rsidRPr="0026724C">
              <w:rPr>
                <w:rFonts w:eastAsia="Calibri" w:cs="Calibri"/>
                <w:color w:val="000000"/>
                <w:sz w:val="20"/>
                <w:szCs w:val="20"/>
              </w:rPr>
              <w:t>20.09%</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4B46043B" w14:textId="5EF9964E" w:rsidR="004F7A21" w:rsidRPr="0026724C" w:rsidRDefault="004F7A21" w:rsidP="00026A32">
            <w:pPr>
              <w:spacing w:line="276" w:lineRule="auto"/>
              <w:ind w:left="0"/>
              <w:jc w:val="center"/>
              <w:rPr>
                <w:rFonts w:eastAsia="Calibri" w:cs="Calibri"/>
                <w:color w:val="000000"/>
                <w:sz w:val="20"/>
                <w:szCs w:val="20"/>
              </w:rPr>
            </w:pPr>
            <w:r w:rsidRPr="0026724C">
              <w:rPr>
                <w:rFonts w:cs="Arial"/>
                <w:color w:val="000000"/>
                <w:sz w:val="20"/>
                <w:szCs w:val="20"/>
              </w:rPr>
              <w:t>14.61%</w:t>
            </w:r>
          </w:p>
        </w:tc>
        <w:tc>
          <w:tcPr>
            <w:tcW w:w="1015" w:type="pct"/>
            <w:tcBorders>
              <w:top w:val="single" w:sz="4" w:space="0" w:color="auto"/>
              <w:left w:val="single" w:sz="4" w:space="0" w:color="auto"/>
              <w:bottom w:val="single" w:sz="4" w:space="0" w:color="auto"/>
              <w:right w:val="single" w:sz="4" w:space="0" w:color="auto"/>
            </w:tcBorders>
            <w:vAlign w:val="center"/>
          </w:tcPr>
          <w:p w14:paraId="2125934F" w14:textId="51DE87FF" w:rsidR="004F7A21" w:rsidRPr="0026724C" w:rsidRDefault="004F7A21" w:rsidP="00026A32">
            <w:pPr>
              <w:spacing w:line="276" w:lineRule="auto"/>
              <w:ind w:left="0"/>
              <w:jc w:val="center"/>
              <w:rPr>
                <w:rFonts w:cs="Arial"/>
                <w:color w:val="000000"/>
                <w:sz w:val="20"/>
                <w:szCs w:val="20"/>
              </w:rPr>
            </w:pPr>
            <w:r w:rsidRPr="0026724C">
              <w:rPr>
                <w:rFonts w:cs="Arial"/>
                <w:color w:val="000000"/>
                <w:sz w:val="20"/>
                <w:szCs w:val="20"/>
              </w:rPr>
              <w:t>410</w:t>
            </w:r>
          </w:p>
        </w:tc>
      </w:tr>
      <w:tr w:rsidR="004F7A21" w:rsidRPr="0026724C" w14:paraId="7909E739" w14:textId="4802E103" w:rsidTr="00F133D5">
        <w:trPr>
          <w:trHeight w:val="20"/>
        </w:trPr>
        <w:tc>
          <w:tcPr>
            <w:tcW w:w="1955" w:type="pct"/>
            <w:tcBorders>
              <w:top w:val="single" w:sz="4" w:space="0" w:color="auto"/>
              <w:bottom w:val="single" w:sz="4" w:space="0" w:color="auto"/>
            </w:tcBorders>
            <w:shd w:val="clear" w:color="auto" w:fill="auto"/>
            <w:noWrap/>
            <w:vAlign w:val="center"/>
            <w:hideMark/>
          </w:tcPr>
          <w:p w14:paraId="3F123E5A" w14:textId="77777777" w:rsidR="004F7A21" w:rsidRPr="0026724C" w:rsidRDefault="004F7A21" w:rsidP="00026A32">
            <w:pPr>
              <w:ind w:left="0"/>
              <w:rPr>
                <w:rFonts w:cs="Calibri"/>
                <w:color w:val="000000"/>
                <w:sz w:val="20"/>
                <w:szCs w:val="20"/>
              </w:rPr>
            </w:pPr>
            <w:r w:rsidRPr="0026724C">
              <w:rPr>
                <w:rFonts w:cs="Calibri"/>
                <w:color w:val="000000"/>
                <w:sz w:val="20"/>
                <w:szCs w:val="20"/>
              </w:rPr>
              <w:t>Hilton/Stockethill</w:t>
            </w:r>
          </w:p>
        </w:tc>
        <w:tc>
          <w:tcPr>
            <w:tcW w:w="1015" w:type="pct"/>
            <w:tcBorders>
              <w:top w:val="single" w:sz="4" w:space="0" w:color="auto"/>
              <w:bottom w:val="single" w:sz="4" w:space="0" w:color="auto"/>
              <w:right w:val="single" w:sz="4" w:space="0" w:color="auto"/>
            </w:tcBorders>
            <w:vAlign w:val="center"/>
          </w:tcPr>
          <w:p w14:paraId="275EC074" w14:textId="77777777" w:rsidR="004F7A21" w:rsidRPr="0026724C" w:rsidRDefault="004F7A21" w:rsidP="00026A32">
            <w:pPr>
              <w:spacing w:line="276" w:lineRule="auto"/>
              <w:ind w:left="0"/>
              <w:jc w:val="center"/>
              <w:rPr>
                <w:rFonts w:eastAsia="Calibri" w:cs="Calibri"/>
                <w:color w:val="000000"/>
                <w:sz w:val="20"/>
                <w:szCs w:val="20"/>
              </w:rPr>
            </w:pPr>
            <w:r w:rsidRPr="0026724C">
              <w:rPr>
                <w:rFonts w:eastAsia="Calibri" w:cs="Calibri"/>
                <w:color w:val="000000"/>
                <w:sz w:val="20"/>
                <w:szCs w:val="20"/>
              </w:rPr>
              <w:t>24.53%</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73D7E152" w14:textId="7D112661" w:rsidR="004F7A21" w:rsidRPr="0026724C" w:rsidRDefault="004F7A21" w:rsidP="00026A32">
            <w:pPr>
              <w:spacing w:line="276" w:lineRule="auto"/>
              <w:ind w:left="0"/>
              <w:jc w:val="center"/>
              <w:rPr>
                <w:rFonts w:eastAsia="Calibri" w:cs="Calibri"/>
                <w:color w:val="000000"/>
                <w:sz w:val="20"/>
                <w:szCs w:val="20"/>
              </w:rPr>
            </w:pPr>
            <w:r w:rsidRPr="0026724C">
              <w:rPr>
                <w:rFonts w:cs="Arial"/>
                <w:color w:val="000000"/>
                <w:sz w:val="20"/>
                <w:szCs w:val="20"/>
              </w:rPr>
              <w:t>22.76%</w:t>
            </w:r>
          </w:p>
        </w:tc>
        <w:tc>
          <w:tcPr>
            <w:tcW w:w="1015" w:type="pct"/>
            <w:tcBorders>
              <w:top w:val="single" w:sz="4" w:space="0" w:color="auto"/>
              <w:left w:val="single" w:sz="4" w:space="0" w:color="auto"/>
              <w:bottom w:val="single" w:sz="4" w:space="0" w:color="auto"/>
              <w:right w:val="single" w:sz="4" w:space="0" w:color="auto"/>
            </w:tcBorders>
            <w:vAlign w:val="center"/>
          </w:tcPr>
          <w:p w14:paraId="08D30956" w14:textId="61141315" w:rsidR="004F7A21" w:rsidRPr="0026724C" w:rsidRDefault="004F7A21" w:rsidP="00026A32">
            <w:pPr>
              <w:spacing w:line="276" w:lineRule="auto"/>
              <w:ind w:left="0"/>
              <w:jc w:val="center"/>
              <w:rPr>
                <w:rFonts w:cs="Arial"/>
                <w:color w:val="000000"/>
                <w:sz w:val="20"/>
                <w:szCs w:val="20"/>
              </w:rPr>
            </w:pPr>
            <w:r w:rsidRPr="0026724C">
              <w:rPr>
                <w:rFonts w:cs="Arial"/>
                <w:color w:val="000000"/>
                <w:sz w:val="20"/>
                <w:szCs w:val="20"/>
              </w:rPr>
              <w:t>588</w:t>
            </w:r>
          </w:p>
        </w:tc>
      </w:tr>
      <w:tr w:rsidR="004F7A21" w:rsidRPr="0026724C" w14:paraId="6EF0A1B6" w14:textId="6FD83636" w:rsidTr="00F133D5">
        <w:trPr>
          <w:trHeight w:val="20"/>
        </w:trPr>
        <w:tc>
          <w:tcPr>
            <w:tcW w:w="1955" w:type="pct"/>
            <w:tcBorders>
              <w:top w:val="single" w:sz="4" w:space="0" w:color="auto"/>
              <w:bottom w:val="single" w:sz="4" w:space="0" w:color="auto"/>
            </w:tcBorders>
            <w:shd w:val="clear" w:color="auto" w:fill="auto"/>
            <w:noWrap/>
            <w:vAlign w:val="center"/>
            <w:hideMark/>
          </w:tcPr>
          <w:p w14:paraId="563A9888" w14:textId="77777777" w:rsidR="004F7A21" w:rsidRPr="0026724C" w:rsidRDefault="004F7A21" w:rsidP="00026A32">
            <w:pPr>
              <w:ind w:left="0"/>
              <w:rPr>
                <w:rFonts w:cs="Calibri"/>
                <w:color w:val="000000"/>
                <w:sz w:val="20"/>
                <w:szCs w:val="20"/>
              </w:rPr>
            </w:pPr>
            <w:r w:rsidRPr="0026724C">
              <w:rPr>
                <w:rFonts w:cs="Calibri"/>
                <w:color w:val="000000"/>
                <w:sz w:val="20"/>
                <w:szCs w:val="20"/>
              </w:rPr>
              <w:t>Torry/Ferryhill</w:t>
            </w:r>
          </w:p>
        </w:tc>
        <w:tc>
          <w:tcPr>
            <w:tcW w:w="1015" w:type="pct"/>
            <w:tcBorders>
              <w:top w:val="single" w:sz="4" w:space="0" w:color="auto"/>
              <w:bottom w:val="single" w:sz="4" w:space="0" w:color="auto"/>
              <w:right w:val="single" w:sz="4" w:space="0" w:color="auto"/>
            </w:tcBorders>
            <w:vAlign w:val="center"/>
          </w:tcPr>
          <w:p w14:paraId="2D1DE540" w14:textId="77777777" w:rsidR="004F7A21" w:rsidRPr="0026724C" w:rsidRDefault="004F7A21" w:rsidP="00026A32">
            <w:pPr>
              <w:spacing w:line="276" w:lineRule="auto"/>
              <w:ind w:left="0"/>
              <w:jc w:val="center"/>
              <w:rPr>
                <w:rFonts w:eastAsia="Calibri" w:cs="Calibri"/>
                <w:color w:val="000000"/>
                <w:sz w:val="20"/>
                <w:szCs w:val="20"/>
              </w:rPr>
            </w:pPr>
            <w:r w:rsidRPr="0026724C">
              <w:rPr>
                <w:rFonts w:eastAsia="Calibri" w:cs="Calibri"/>
                <w:color w:val="000000"/>
                <w:sz w:val="20"/>
                <w:szCs w:val="20"/>
              </w:rPr>
              <w:t>25.36%</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6582364C" w14:textId="011B1287" w:rsidR="004F7A21" w:rsidRPr="0026724C" w:rsidRDefault="004F7A21" w:rsidP="00026A32">
            <w:pPr>
              <w:spacing w:line="276" w:lineRule="auto"/>
              <w:ind w:left="0"/>
              <w:jc w:val="center"/>
              <w:rPr>
                <w:rFonts w:eastAsia="Calibri" w:cs="Calibri"/>
                <w:color w:val="000000"/>
                <w:sz w:val="20"/>
                <w:szCs w:val="20"/>
              </w:rPr>
            </w:pPr>
            <w:r w:rsidRPr="0026724C">
              <w:rPr>
                <w:rFonts w:cs="Arial"/>
                <w:color w:val="000000"/>
                <w:sz w:val="20"/>
                <w:szCs w:val="20"/>
              </w:rPr>
              <w:t>22.03%</w:t>
            </w:r>
          </w:p>
        </w:tc>
        <w:tc>
          <w:tcPr>
            <w:tcW w:w="1015" w:type="pct"/>
            <w:tcBorders>
              <w:top w:val="single" w:sz="4" w:space="0" w:color="auto"/>
              <w:left w:val="single" w:sz="4" w:space="0" w:color="auto"/>
              <w:bottom w:val="single" w:sz="4" w:space="0" w:color="auto"/>
              <w:right w:val="single" w:sz="4" w:space="0" w:color="auto"/>
            </w:tcBorders>
            <w:vAlign w:val="center"/>
          </w:tcPr>
          <w:p w14:paraId="34847732" w14:textId="5A2CF77A" w:rsidR="004F7A21" w:rsidRPr="0026724C" w:rsidRDefault="004F7A21" w:rsidP="00026A32">
            <w:pPr>
              <w:spacing w:line="276" w:lineRule="auto"/>
              <w:ind w:left="0"/>
              <w:jc w:val="center"/>
              <w:rPr>
                <w:rFonts w:cs="Arial"/>
                <w:color w:val="000000"/>
                <w:sz w:val="20"/>
                <w:szCs w:val="20"/>
              </w:rPr>
            </w:pPr>
            <w:r w:rsidRPr="0026724C">
              <w:rPr>
                <w:rFonts w:cs="Arial"/>
                <w:color w:val="000000"/>
                <w:sz w:val="20"/>
                <w:szCs w:val="20"/>
              </w:rPr>
              <w:t>684</w:t>
            </w:r>
          </w:p>
        </w:tc>
      </w:tr>
      <w:tr w:rsidR="004F7A21" w:rsidRPr="0026724C" w14:paraId="414A7495" w14:textId="4AFD4C59" w:rsidTr="00F133D5">
        <w:trPr>
          <w:trHeight w:val="20"/>
        </w:trPr>
        <w:tc>
          <w:tcPr>
            <w:tcW w:w="1955" w:type="pct"/>
            <w:tcBorders>
              <w:top w:val="single" w:sz="4" w:space="0" w:color="auto"/>
              <w:bottom w:val="single" w:sz="4" w:space="0" w:color="auto"/>
            </w:tcBorders>
            <w:shd w:val="clear" w:color="auto" w:fill="auto"/>
            <w:noWrap/>
            <w:vAlign w:val="center"/>
            <w:hideMark/>
          </w:tcPr>
          <w:p w14:paraId="5337BA8E" w14:textId="77777777" w:rsidR="004F7A21" w:rsidRPr="0026724C" w:rsidRDefault="004F7A21" w:rsidP="00026A32">
            <w:pPr>
              <w:ind w:left="0"/>
              <w:rPr>
                <w:rFonts w:cs="Calibri"/>
                <w:color w:val="000000"/>
                <w:sz w:val="20"/>
                <w:szCs w:val="20"/>
              </w:rPr>
            </w:pPr>
            <w:r w:rsidRPr="0026724C">
              <w:rPr>
                <w:rFonts w:cs="Calibri"/>
                <w:color w:val="000000"/>
                <w:sz w:val="20"/>
                <w:szCs w:val="20"/>
              </w:rPr>
              <w:t>George St/Harbour</w:t>
            </w:r>
          </w:p>
        </w:tc>
        <w:tc>
          <w:tcPr>
            <w:tcW w:w="1015" w:type="pct"/>
            <w:tcBorders>
              <w:top w:val="single" w:sz="4" w:space="0" w:color="auto"/>
              <w:bottom w:val="single" w:sz="4" w:space="0" w:color="auto"/>
              <w:right w:val="single" w:sz="4" w:space="0" w:color="auto"/>
            </w:tcBorders>
            <w:vAlign w:val="center"/>
          </w:tcPr>
          <w:p w14:paraId="2E31A317" w14:textId="77777777" w:rsidR="004F7A21" w:rsidRPr="0026724C" w:rsidRDefault="004F7A21" w:rsidP="00026A32">
            <w:pPr>
              <w:spacing w:line="276" w:lineRule="auto"/>
              <w:ind w:left="0"/>
              <w:jc w:val="center"/>
              <w:rPr>
                <w:rFonts w:eastAsia="Calibri" w:cs="Calibri"/>
                <w:color w:val="000000"/>
                <w:sz w:val="20"/>
                <w:szCs w:val="20"/>
              </w:rPr>
            </w:pPr>
            <w:r w:rsidRPr="0026724C">
              <w:rPr>
                <w:rFonts w:eastAsia="Calibri" w:cs="Calibri"/>
                <w:color w:val="000000"/>
                <w:sz w:val="20"/>
                <w:szCs w:val="20"/>
              </w:rPr>
              <w:t>25.46%</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30A37C6F" w14:textId="4C323D97" w:rsidR="004F7A21" w:rsidRPr="0026724C" w:rsidRDefault="004F7A21" w:rsidP="00026A32">
            <w:pPr>
              <w:spacing w:line="276" w:lineRule="auto"/>
              <w:ind w:left="0"/>
              <w:jc w:val="center"/>
              <w:rPr>
                <w:rFonts w:eastAsia="Calibri" w:cs="Calibri"/>
                <w:color w:val="000000"/>
                <w:sz w:val="20"/>
                <w:szCs w:val="20"/>
              </w:rPr>
            </w:pPr>
            <w:r w:rsidRPr="0026724C">
              <w:rPr>
                <w:rFonts w:cs="Arial"/>
                <w:color w:val="000000"/>
                <w:sz w:val="20"/>
                <w:szCs w:val="20"/>
              </w:rPr>
              <w:t>24.35%</w:t>
            </w:r>
          </w:p>
        </w:tc>
        <w:tc>
          <w:tcPr>
            <w:tcW w:w="1015" w:type="pct"/>
            <w:tcBorders>
              <w:top w:val="single" w:sz="4" w:space="0" w:color="auto"/>
              <w:left w:val="single" w:sz="4" w:space="0" w:color="auto"/>
              <w:bottom w:val="single" w:sz="4" w:space="0" w:color="auto"/>
              <w:right w:val="single" w:sz="4" w:space="0" w:color="auto"/>
            </w:tcBorders>
            <w:vAlign w:val="center"/>
          </w:tcPr>
          <w:p w14:paraId="4446E29A" w14:textId="0A1EDDEA" w:rsidR="004F7A21" w:rsidRPr="0026724C" w:rsidRDefault="004F7A21" w:rsidP="00026A32">
            <w:pPr>
              <w:spacing w:line="276" w:lineRule="auto"/>
              <w:ind w:left="0"/>
              <w:jc w:val="center"/>
              <w:rPr>
                <w:rFonts w:cs="Arial"/>
                <w:color w:val="000000"/>
                <w:sz w:val="20"/>
                <w:szCs w:val="20"/>
              </w:rPr>
            </w:pPr>
            <w:r w:rsidRPr="0026724C">
              <w:rPr>
                <w:rFonts w:cs="Arial"/>
                <w:color w:val="000000"/>
                <w:sz w:val="20"/>
                <w:szCs w:val="20"/>
              </w:rPr>
              <w:t>304</w:t>
            </w:r>
          </w:p>
        </w:tc>
      </w:tr>
      <w:tr w:rsidR="004F7A21" w:rsidRPr="0026724C" w14:paraId="67ECD435" w14:textId="6C77285F" w:rsidTr="00F133D5">
        <w:trPr>
          <w:trHeight w:val="20"/>
        </w:trPr>
        <w:tc>
          <w:tcPr>
            <w:tcW w:w="1955" w:type="pct"/>
            <w:tcBorders>
              <w:top w:val="single" w:sz="4" w:space="0" w:color="auto"/>
              <w:bottom w:val="single" w:sz="4" w:space="0" w:color="auto"/>
            </w:tcBorders>
            <w:shd w:val="clear" w:color="auto" w:fill="auto"/>
            <w:noWrap/>
            <w:vAlign w:val="center"/>
            <w:hideMark/>
          </w:tcPr>
          <w:p w14:paraId="7005964A" w14:textId="77777777" w:rsidR="004F7A21" w:rsidRPr="0026724C" w:rsidRDefault="004F7A21" w:rsidP="00026A32">
            <w:pPr>
              <w:ind w:left="0"/>
              <w:rPr>
                <w:rFonts w:cs="Calibri"/>
                <w:color w:val="000000"/>
                <w:sz w:val="20"/>
                <w:szCs w:val="20"/>
              </w:rPr>
            </w:pPr>
            <w:r w:rsidRPr="0026724C">
              <w:rPr>
                <w:rFonts w:cs="Calibri"/>
                <w:color w:val="000000"/>
                <w:sz w:val="20"/>
                <w:szCs w:val="20"/>
              </w:rPr>
              <w:t>Northfield/Mastrick North</w:t>
            </w:r>
          </w:p>
        </w:tc>
        <w:tc>
          <w:tcPr>
            <w:tcW w:w="1015" w:type="pct"/>
            <w:tcBorders>
              <w:top w:val="single" w:sz="4" w:space="0" w:color="auto"/>
              <w:bottom w:val="single" w:sz="4" w:space="0" w:color="auto"/>
              <w:right w:val="single" w:sz="4" w:space="0" w:color="auto"/>
            </w:tcBorders>
            <w:vAlign w:val="center"/>
          </w:tcPr>
          <w:p w14:paraId="3E3A9181" w14:textId="77777777" w:rsidR="004F7A21" w:rsidRPr="0026724C" w:rsidRDefault="004F7A21" w:rsidP="00026A32">
            <w:pPr>
              <w:spacing w:line="276" w:lineRule="auto"/>
              <w:ind w:left="0"/>
              <w:jc w:val="center"/>
              <w:rPr>
                <w:rFonts w:eastAsia="Calibri" w:cs="Calibri"/>
                <w:color w:val="000000"/>
                <w:sz w:val="20"/>
                <w:szCs w:val="20"/>
              </w:rPr>
            </w:pPr>
            <w:r w:rsidRPr="0026724C">
              <w:rPr>
                <w:rFonts w:eastAsia="Calibri" w:cs="Calibri"/>
                <w:color w:val="000000"/>
                <w:sz w:val="20"/>
                <w:szCs w:val="20"/>
              </w:rPr>
              <w:t>29.35%</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7869F128" w14:textId="2039A708" w:rsidR="004F7A21" w:rsidRPr="0026724C" w:rsidRDefault="004F7A21" w:rsidP="00026A32">
            <w:pPr>
              <w:spacing w:line="276" w:lineRule="auto"/>
              <w:ind w:left="0"/>
              <w:jc w:val="center"/>
              <w:rPr>
                <w:rFonts w:eastAsia="Calibri" w:cs="Calibri"/>
                <w:color w:val="000000"/>
                <w:sz w:val="20"/>
                <w:szCs w:val="20"/>
              </w:rPr>
            </w:pPr>
            <w:r w:rsidRPr="0026724C">
              <w:rPr>
                <w:rFonts w:cs="Arial"/>
                <w:color w:val="000000"/>
                <w:sz w:val="20"/>
                <w:szCs w:val="20"/>
              </w:rPr>
              <w:t>27.13%</w:t>
            </w:r>
          </w:p>
        </w:tc>
        <w:tc>
          <w:tcPr>
            <w:tcW w:w="1015" w:type="pct"/>
            <w:tcBorders>
              <w:top w:val="single" w:sz="4" w:space="0" w:color="auto"/>
              <w:left w:val="single" w:sz="4" w:space="0" w:color="auto"/>
              <w:bottom w:val="single" w:sz="4" w:space="0" w:color="auto"/>
              <w:right w:val="single" w:sz="4" w:space="0" w:color="auto"/>
            </w:tcBorders>
            <w:vAlign w:val="center"/>
          </w:tcPr>
          <w:p w14:paraId="5832BADC" w14:textId="5D33FE46" w:rsidR="004F7A21" w:rsidRPr="0026724C" w:rsidRDefault="004F7A21" w:rsidP="00026A32">
            <w:pPr>
              <w:spacing w:line="276" w:lineRule="auto"/>
              <w:ind w:left="0"/>
              <w:jc w:val="center"/>
              <w:rPr>
                <w:rFonts w:cs="Arial"/>
                <w:color w:val="000000"/>
                <w:sz w:val="20"/>
                <w:szCs w:val="20"/>
              </w:rPr>
            </w:pPr>
            <w:r w:rsidRPr="0026724C">
              <w:rPr>
                <w:rFonts w:cs="Arial"/>
                <w:color w:val="000000"/>
                <w:sz w:val="20"/>
                <w:szCs w:val="20"/>
              </w:rPr>
              <w:t>1,119</w:t>
            </w:r>
          </w:p>
        </w:tc>
      </w:tr>
      <w:tr w:rsidR="004F7A21" w:rsidRPr="0026724C" w14:paraId="0DD8DC3E" w14:textId="74B5E425" w:rsidTr="00F133D5">
        <w:trPr>
          <w:trHeight w:val="20"/>
        </w:trPr>
        <w:tc>
          <w:tcPr>
            <w:tcW w:w="1955" w:type="pct"/>
            <w:tcBorders>
              <w:top w:val="single" w:sz="4" w:space="0" w:color="auto"/>
              <w:bottom w:val="single" w:sz="4" w:space="0" w:color="auto"/>
            </w:tcBorders>
            <w:shd w:val="clear" w:color="auto" w:fill="auto"/>
            <w:noWrap/>
            <w:vAlign w:val="center"/>
          </w:tcPr>
          <w:p w14:paraId="0F77E59E" w14:textId="10EB41F3" w:rsidR="004F7A21" w:rsidRPr="0026724C" w:rsidRDefault="004F7A21" w:rsidP="00026A32">
            <w:pPr>
              <w:ind w:left="0"/>
              <w:rPr>
                <w:rFonts w:cs="Calibri"/>
                <w:color w:val="000000"/>
                <w:sz w:val="20"/>
                <w:szCs w:val="20"/>
              </w:rPr>
            </w:pPr>
            <w:r w:rsidRPr="0026724C">
              <w:rPr>
                <w:rFonts w:cs="Calibri"/>
                <w:color w:val="000000"/>
                <w:sz w:val="20"/>
                <w:szCs w:val="20"/>
              </w:rPr>
              <w:t>Tillydrone/Seaton/Old Aberdeen</w:t>
            </w:r>
          </w:p>
        </w:tc>
        <w:tc>
          <w:tcPr>
            <w:tcW w:w="1015" w:type="pct"/>
            <w:tcBorders>
              <w:top w:val="single" w:sz="4" w:space="0" w:color="auto"/>
              <w:bottom w:val="single" w:sz="4" w:space="0" w:color="auto"/>
              <w:right w:val="single" w:sz="4" w:space="0" w:color="auto"/>
            </w:tcBorders>
            <w:vAlign w:val="center"/>
          </w:tcPr>
          <w:p w14:paraId="05B088BD" w14:textId="2C4DB03A" w:rsidR="004F7A21" w:rsidRPr="0026724C" w:rsidRDefault="004F7A21" w:rsidP="00026A32">
            <w:pPr>
              <w:spacing w:line="276" w:lineRule="auto"/>
              <w:ind w:left="0"/>
              <w:jc w:val="center"/>
              <w:rPr>
                <w:rFonts w:eastAsia="Calibri" w:cs="Calibri"/>
                <w:color w:val="000000"/>
                <w:sz w:val="20"/>
                <w:szCs w:val="20"/>
              </w:rPr>
            </w:pPr>
            <w:r w:rsidRPr="0026724C">
              <w:rPr>
                <w:rFonts w:eastAsia="Calibri" w:cs="Calibri"/>
                <w:color w:val="000000"/>
                <w:sz w:val="20"/>
                <w:szCs w:val="20"/>
              </w:rPr>
              <w:t>27.59%</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51BAFF16" w14:textId="17168DC6" w:rsidR="004F7A21" w:rsidRPr="0026724C" w:rsidRDefault="004F7A21" w:rsidP="00026A32">
            <w:pPr>
              <w:spacing w:line="276" w:lineRule="auto"/>
              <w:ind w:left="0"/>
              <w:jc w:val="center"/>
              <w:rPr>
                <w:rFonts w:cs="Arial"/>
                <w:color w:val="000000"/>
                <w:sz w:val="20"/>
                <w:szCs w:val="20"/>
              </w:rPr>
            </w:pPr>
            <w:r w:rsidRPr="0026724C">
              <w:rPr>
                <w:rFonts w:cs="Arial"/>
                <w:color w:val="000000"/>
                <w:sz w:val="20"/>
                <w:szCs w:val="20"/>
              </w:rPr>
              <w:t>28.03%</w:t>
            </w:r>
          </w:p>
        </w:tc>
        <w:tc>
          <w:tcPr>
            <w:tcW w:w="1015" w:type="pct"/>
            <w:tcBorders>
              <w:top w:val="single" w:sz="4" w:space="0" w:color="auto"/>
              <w:left w:val="single" w:sz="4" w:space="0" w:color="auto"/>
              <w:bottom w:val="single" w:sz="4" w:space="0" w:color="auto"/>
              <w:right w:val="single" w:sz="4" w:space="0" w:color="auto"/>
            </w:tcBorders>
            <w:vAlign w:val="center"/>
          </w:tcPr>
          <w:p w14:paraId="4048C988" w14:textId="2EAE99F9" w:rsidR="004F7A21" w:rsidRPr="0026724C" w:rsidRDefault="004F7A21" w:rsidP="00026A32">
            <w:pPr>
              <w:spacing w:line="276" w:lineRule="auto"/>
              <w:ind w:left="0"/>
              <w:jc w:val="center"/>
              <w:rPr>
                <w:rFonts w:cs="Arial"/>
                <w:color w:val="000000"/>
                <w:sz w:val="20"/>
                <w:szCs w:val="20"/>
              </w:rPr>
            </w:pPr>
            <w:r w:rsidRPr="0026724C">
              <w:rPr>
                <w:rFonts w:cs="Arial"/>
                <w:color w:val="000000"/>
                <w:sz w:val="20"/>
                <w:szCs w:val="20"/>
              </w:rPr>
              <w:t>730</w:t>
            </w:r>
          </w:p>
        </w:tc>
      </w:tr>
    </w:tbl>
    <w:p w14:paraId="28CB9423" w14:textId="2AD957A1" w:rsidR="001E4927" w:rsidRPr="004F7A21" w:rsidRDefault="001E4927" w:rsidP="002C7C3B">
      <w:pPr>
        <w:ind w:left="1429" w:hanging="709"/>
        <w:rPr>
          <w:rFonts w:ascii="Calibri" w:eastAsia="Calibri" w:hAnsi="Calibri"/>
          <w:sz w:val="16"/>
          <w:szCs w:val="16"/>
        </w:rPr>
      </w:pPr>
      <w:r w:rsidRPr="004F7A21">
        <w:rPr>
          <w:rFonts w:ascii="Calibri" w:eastAsia="Calibri" w:hAnsi="Calibri" w:cs="Arial"/>
          <w:sz w:val="16"/>
          <w:szCs w:val="16"/>
        </w:rPr>
        <w:t>Source:  End Child Poverty</w:t>
      </w:r>
    </w:p>
    <w:p w14:paraId="24FED1D7" w14:textId="77777777" w:rsidR="001E4927" w:rsidRPr="001E4927" w:rsidRDefault="001E4927" w:rsidP="001E4927">
      <w:pPr>
        <w:spacing w:after="200" w:line="276" w:lineRule="auto"/>
        <w:contextualSpacing/>
        <w:rPr>
          <w:rFonts w:ascii="Calibri" w:eastAsia="Calibri" w:hAnsi="Calibri"/>
          <w:sz w:val="16"/>
          <w:szCs w:val="16"/>
          <w:highlight w:val="yellow"/>
        </w:rPr>
      </w:pPr>
    </w:p>
    <w:p w14:paraId="1D844EA4" w14:textId="77C9B0FB" w:rsidR="004A6195" w:rsidRDefault="004A6195" w:rsidP="004A6195"/>
    <w:p w14:paraId="00CF52CA" w14:textId="680EF3CC" w:rsidR="004A6195" w:rsidRDefault="00FD3AA8" w:rsidP="004A6195">
      <w:pPr>
        <w:pStyle w:val="Heading2"/>
        <w:numPr>
          <w:ilvl w:val="1"/>
          <w:numId w:val="4"/>
        </w:numPr>
      </w:pPr>
      <w:bookmarkStart w:id="54" w:name="_Toc519088587"/>
      <w:r>
        <w:t>Play and recreation</w:t>
      </w:r>
      <w:bookmarkEnd w:id="54"/>
    </w:p>
    <w:p w14:paraId="3725D61B" w14:textId="07B5343B" w:rsidR="00BE1DF9" w:rsidRDefault="00BE1DF9" w:rsidP="00BE1DF9"/>
    <w:p w14:paraId="4DA1635F" w14:textId="5B9EABB8" w:rsidR="00BB567A" w:rsidRDefault="00BB567A" w:rsidP="00BB567A">
      <w:r>
        <w:t xml:space="preserve">The Place Standard questionnaire </w:t>
      </w:r>
      <w:r w:rsidR="00BF0946">
        <w:t>asks respondents about play and recreation.  When asked to rate this question from 1 – 7, where 1 = lots of room for improvement and 7 = very little room for improvement, the mean score for this question was 4.48 for Aberdeen City.  When we look at the priority areas we see that the score varied</w:t>
      </w:r>
      <w:r w:rsidR="006125AC">
        <w:t xml:space="preserve">, with locality 1 – Torry being an area identified as </w:t>
      </w:r>
      <w:r w:rsidR="00CF2013">
        <w:t>having the most room to improve.</w:t>
      </w:r>
    </w:p>
    <w:p w14:paraId="754C446E" w14:textId="77777777" w:rsidR="00CA43BB" w:rsidRDefault="00CA43BB" w:rsidP="00BB567A"/>
    <w:tbl>
      <w:tblPr>
        <w:tblStyle w:val="TableGrid"/>
        <w:tblW w:w="0" w:type="auto"/>
        <w:tblInd w:w="720" w:type="dxa"/>
        <w:tblLook w:val="04A0" w:firstRow="1" w:lastRow="0" w:firstColumn="1" w:lastColumn="0" w:noHBand="0" w:noVBand="1"/>
      </w:tblPr>
      <w:tblGrid>
        <w:gridCol w:w="4804"/>
        <w:gridCol w:w="3492"/>
      </w:tblGrid>
      <w:tr w:rsidR="00BF0946" w14:paraId="59053C38" w14:textId="77777777" w:rsidTr="004F636E">
        <w:tc>
          <w:tcPr>
            <w:tcW w:w="4804" w:type="dxa"/>
            <w:shd w:val="clear" w:color="auto" w:fill="B4C6E7" w:themeFill="accent1" w:themeFillTint="66"/>
          </w:tcPr>
          <w:p w14:paraId="7FCF81D1" w14:textId="77777777" w:rsidR="00BF0946" w:rsidRDefault="00BF0946" w:rsidP="00026A32">
            <w:pPr>
              <w:ind w:left="0"/>
            </w:pPr>
          </w:p>
        </w:tc>
        <w:tc>
          <w:tcPr>
            <w:tcW w:w="3492" w:type="dxa"/>
            <w:shd w:val="clear" w:color="auto" w:fill="B4C6E7" w:themeFill="accent1" w:themeFillTint="66"/>
          </w:tcPr>
          <w:p w14:paraId="56B42BE8" w14:textId="5D4BDA3C" w:rsidR="00BF0946" w:rsidRPr="004F636E" w:rsidRDefault="00BF0946" w:rsidP="00026A32">
            <w:pPr>
              <w:ind w:left="0"/>
              <w:jc w:val="center"/>
              <w:rPr>
                <w:b/>
              </w:rPr>
            </w:pPr>
            <w:r w:rsidRPr="004F636E">
              <w:rPr>
                <w:b/>
              </w:rPr>
              <w:t>Play and Recreation – mean score</w:t>
            </w:r>
          </w:p>
        </w:tc>
      </w:tr>
      <w:tr w:rsidR="00BF0946" w14:paraId="5800E2C5" w14:textId="77777777" w:rsidTr="00BF0946">
        <w:tc>
          <w:tcPr>
            <w:tcW w:w="4804" w:type="dxa"/>
          </w:tcPr>
          <w:p w14:paraId="38E4217C" w14:textId="2719403A" w:rsidR="00BF0946" w:rsidRDefault="00BF0946" w:rsidP="00026A32">
            <w:pPr>
              <w:ind w:left="0"/>
            </w:pPr>
            <w:r>
              <w:t>Aberdeen</w:t>
            </w:r>
          </w:p>
        </w:tc>
        <w:tc>
          <w:tcPr>
            <w:tcW w:w="3492" w:type="dxa"/>
          </w:tcPr>
          <w:p w14:paraId="22E57687" w14:textId="29E41A7A" w:rsidR="00BF0946" w:rsidRDefault="00BF0946" w:rsidP="00026A32">
            <w:pPr>
              <w:ind w:left="0"/>
              <w:jc w:val="center"/>
            </w:pPr>
            <w:r>
              <w:t>4.48</w:t>
            </w:r>
          </w:p>
        </w:tc>
      </w:tr>
      <w:tr w:rsidR="00BF0946" w14:paraId="4F212E6B" w14:textId="77777777" w:rsidTr="00BF0946">
        <w:tc>
          <w:tcPr>
            <w:tcW w:w="4804" w:type="dxa"/>
          </w:tcPr>
          <w:p w14:paraId="35089594" w14:textId="10973E94" w:rsidR="00BF0946" w:rsidRDefault="00BF0946" w:rsidP="00026A32">
            <w:pPr>
              <w:ind w:left="0"/>
            </w:pPr>
            <w:r>
              <w:t>Locality 1 - Torry</w:t>
            </w:r>
          </w:p>
        </w:tc>
        <w:tc>
          <w:tcPr>
            <w:tcW w:w="3492" w:type="dxa"/>
          </w:tcPr>
          <w:p w14:paraId="255F2BD4" w14:textId="606F8F3D" w:rsidR="00BF0946" w:rsidRDefault="00BF0946" w:rsidP="00026A32">
            <w:pPr>
              <w:ind w:left="0"/>
              <w:jc w:val="center"/>
            </w:pPr>
            <w:r>
              <w:t>3.27</w:t>
            </w:r>
          </w:p>
        </w:tc>
      </w:tr>
      <w:tr w:rsidR="00BF0946" w14:paraId="723EFF1B" w14:textId="77777777" w:rsidTr="00BF0946">
        <w:tc>
          <w:tcPr>
            <w:tcW w:w="4804" w:type="dxa"/>
          </w:tcPr>
          <w:p w14:paraId="46FEA6DF" w14:textId="7DA184F1" w:rsidR="00BF0946" w:rsidRDefault="00BF0946" w:rsidP="00026A32">
            <w:pPr>
              <w:ind w:left="0"/>
            </w:pPr>
            <w:r>
              <w:t>Locality 2 - Northfield, Cummings Park, Middlefield, Mastrick and Heathryfold</w:t>
            </w:r>
          </w:p>
        </w:tc>
        <w:tc>
          <w:tcPr>
            <w:tcW w:w="3492" w:type="dxa"/>
          </w:tcPr>
          <w:p w14:paraId="32549759" w14:textId="5480F1D8" w:rsidR="00BF0946" w:rsidRDefault="00BF0946" w:rsidP="00026A32">
            <w:pPr>
              <w:ind w:left="0"/>
              <w:jc w:val="center"/>
            </w:pPr>
            <w:r>
              <w:t>4.06</w:t>
            </w:r>
          </w:p>
        </w:tc>
      </w:tr>
      <w:tr w:rsidR="00BF0946" w14:paraId="25FB9745" w14:textId="77777777" w:rsidTr="00BF0946">
        <w:tc>
          <w:tcPr>
            <w:tcW w:w="4804" w:type="dxa"/>
          </w:tcPr>
          <w:p w14:paraId="4DCA9F17" w14:textId="5F82F8A2" w:rsidR="00BF0946" w:rsidRDefault="00BF0946" w:rsidP="00026A32">
            <w:pPr>
              <w:ind w:left="0"/>
            </w:pPr>
            <w:r>
              <w:t>Locality 3 – Woodside, Tillydrone and Seaton</w:t>
            </w:r>
          </w:p>
        </w:tc>
        <w:tc>
          <w:tcPr>
            <w:tcW w:w="3492" w:type="dxa"/>
          </w:tcPr>
          <w:p w14:paraId="7146035A" w14:textId="3BBDEF44" w:rsidR="00BF0946" w:rsidRDefault="00BF0946" w:rsidP="00026A32">
            <w:pPr>
              <w:ind w:left="0"/>
              <w:jc w:val="center"/>
            </w:pPr>
            <w:r>
              <w:t>4.65</w:t>
            </w:r>
          </w:p>
        </w:tc>
      </w:tr>
    </w:tbl>
    <w:p w14:paraId="5CCDBB13" w14:textId="68120019" w:rsidR="00BF0946" w:rsidRDefault="00BF0946" w:rsidP="00BB567A">
      <w:pPr>
        <w:rPr>
          <w:i/>
          <w:sz w:val="20"/>
        </w:rPr>
      </w:pPr>
      <w:r w:rsidRPr="00BF0946">
        <w:rPr>
          <w:i/>
          <w:sz w:val="20"/>
        </w:rPr>
        <w:t>Source: Aberdeen Place Standard 2018</w:t>
      </w:r>
    </w:p>
    <w:p w14:paraId="159A9D45" w14:textId="77777777" w:rsidR="00026A32" w:rsidRPr="00BF0946" w:rsidRDefault="00026A32" w:rsidP="00BB567A">
      <w:pPr>
        <w:rPr>
          <w:i/>
          <w:sz w:val="20"/>
        </w:rPr>
      </w:pPr>
    </w:p>
    <w:p w14:paraId="4916B961" w14:textId="2654DF8A" w:rsidR="00314D87" w:rsidRDefault="00314D87" w:rsidP="00BE1DF9">
      <w:r>
        <w:t>As well as providing a score, respondents were asked to provide some further information on why they rated their answer the way they did.  Some comments provided on this section included:</w:t>
      </w:r>
    </w:p>
    <w:p w14:paraId="63A4E8EE" w14:textId="77777777" w:rsidR="00314D87" w:rsidRPr="001635D8" w:rsidRDefault="00314D87" w:rsidP="00314D87">
      <w:pPr>
        <w:pStyle w:val="ListParagraph"/>
        <w:numPr>
          <w:ilvl w:val="0"/>
          <w:numId w:val="27"/>
        </w:numPr>
        <w:spacing w:line="240" w:lineRule="auto"/>
        <w:rPr>
          <w:rFonts w:ascii="Calibri" w:eastAsia="Times New Roman" w:hAnsi="Calibri" w:cs="Times New Roman"/>
          <w:i/>
          <w:color w:val="000000"/>
          <w:lang w:eastAsia="en-GB"/>
        </w:rPr>
      </w:pPr>
      <w:r w:rsidRPr="001635D8">
        <w:rPr>
          <w:rFonts w:ascii="Calibri" w:eastAsia="Times New Roman" w:hAnsi="Calibri" w:cs="Times New Roman"/>
          <w:i/>
          <w:color w:val="000000"/>
          <w:lang w:eastAsia="en-GB"/>
        </w:rPr>
        <w:t>Vastly improved, evidence of money being spent by the city but also very encouraged by local community groups. These groups should be encouraged to continue and build on the successes to date.</w:t>
      </w:r>
    </w:p>
    <w:p w14:paraId="4888E853" w14:textId="77777777" w:rsidR="00314D87" w:rsidRPr="001635D8" w:rsidRDefault="00314D87" w:rsidP="00314D87">
      <w:pPr>
        <w:pStyle w:val="ListParagraph"/>
        <w:numPr>
          <w:ilvl w:val="0"/>
          <w:numId w:val="27"/>
        </w:numPr>
        <w:spacing w:line="240" w:lineRule="auto"/>
        <w:rPr>
          <w:rFonts w:ascii="Calibri" w:eastAsia="Times New Roman" w:hAnsi="Calibri" w:cs="Times New Roman"/>
          <w:i/>
          <w:color w:val="000000"/>
          <w:lang w:eastAsia="en-GB"/>
        </w:rPr>
      </w:pPr>
      <w:r w:rsidRPr="001635D8">
        <w:rPr>
          <w:rFonts w:ascii="Calibri" w:eastAsia="Times New Roman" w:hAnsi="Calibri" w:cs="Times New Roman"/>
          <w:i/>
          <w:color w:val="000000"/>
          <w:lang w:eastAsia="en-GB"/>
        </w:rPr>
        <w:t>I think activities for teenagers are few and far between. Has been some trouble and anti social behaviour in certain parts. More facilities are now being built. Makro area developed and gym there too.</w:t>
      </w:r>
    </w:p>
    <w:p w14:paraId="47458747" w14:textId="77777777" w:rsidR="00314D87" w:rsidRPr="001635D8" w:rsidRDefault="00314D87" w:rsidP="00314D87">
      <w:pPr>
        <w:pStyle w:val="ListParagraph"/>
        <w:numPr>
          <w:ilvl w:val="0"/>
          <w:numId w:val="27"/>
        </w:numPr>
        <w:spacing w:line="240" w:lineRule="auto"/>
        <w:rPr>
          <w:rFonts w:ascii="Calibri" w:eastAsia="Times New Roman" w:hAnsi="Calibri" w:cs="Times New Roman"/>
          <w:i/>
          <w:color w:val="000000"/>
          <w:lang w:eastAsia="en-GB"/>
        </w:rPr>
      </w:pPr>
      <w:r w:rsidRPr="001635D8">
        <w:rPr>
          <w:rFonts w:ascii="Calibri" w:eastAsia="Times New Roman" w:hAnsi="Calibri" w:cs="Times New Roman"/>
          <w:i/>
          <w:color w:val="000000"/>
          <w:lang w:eastAsia="en-GB"/>
        </w:rPr>
        <w:t>The only park which I am aware of is dire. We had a skatepark but no more. There really should be more for children to do in our area.</w:t>
      </w:r>
    </w:p>
    <w:p w14:paraId="51638170" w14:textId="77777777" w:rsidR="00314D87" w:rsidRPr="001635D8" w:rsidRDefault="00314D87" w:rsidP="00314D87">
      <w:pPr>
        <w:pStyle w:val="ListParagraph"/>
        <w:numPr>
          <w:ilvl w:val="0"/>
          <w:numId w:val="27"/>
        </w:numPr>
        <w:spacing w:line="240" w:lineRule="auto"/>
        <w:rPr>
          <w:rFonts w:ascii="Calibri" w:eastAsia="Times New Roman" w:hAnsi="Calibri" w:cs="Times New Roman"/>
          <w:i/>
          <w:color w:val="000000"/>
          <w:lang w:eastAsia="en-GB"/>
        </w:rPr>
      </w:pPr>
      <w:r w:rsidRPr="001635D8">
        <w:rPr>
          <w:rFonts w:ascii="Calibri" w:eastAsia="Times New Roman" w:hAnsi="Calibri" w:cs="Times New Roman"/>
          <w:i/>
          <w:color w:val="000000"/>
          <w:lang w:eastAsia="en-GB"/>
        </w:rPr>
        <w:t>Hazlehead Park is great but difficult to access without a car. The Duthie Park is also excellent. We are very lucky to have such good facilities</w:t>
      </w:r>
    </w:p>
    <w:p w14:paraId="35EA3FE3" w14:textId="77777777" w:rsidR="00314D87" w:rsidRDefault="00314D87" w:rsidP="00BE1DF9"/>
    <w:p w14:paraId="105094E7" w14:textId="6E6FEE4F" w:rsidR="00FD3AA8" w:rsidRDefault="00FD3AA8" w:rsidP="00BE1DF9"/>
    <w:p w14:paraId="57894AE2" w14:textId="77777777" w:rsidR="00C86747" w:rsidRDefault="00C86747">
      <w:pPr>
        <w:rPr>
          <w:rFonts w:asciiTheme="majorHAnsi" w:eastAsiaTheme="majorEastAsia" w:hAnsiTheme="majorHAnsi" w:cstheme="majorBidi"/>
          <w:color w:val="2F5496" w:themeColor="accent1" w:themeShade="BF"/>
          <w:sz w:val="32"/>
          <w:szCs w:val="32"/>
        </w:rPr>
      </w:pPr>
      <w:r>
        <w:br w:type="page"/>
      </w:r>
    </w:p>
    <w:p w14:paraId="01E3E17D" w14:textId="4B52D8D6" w:rsidR="004A6195" w:rsidRDefault="004A6195" w:rsidP="004A6195">
      <w:pPr>
        <w:pStyle w:val="Heading1"/>
        <w:numPr>
          <w:ilvl w:val="0"/>
          <w:numId w:val="4"/>
        </w:numPr>
        <w:spacing w:after="240"/>
      </w:pPr>
      <w:bookmarkStart w:id="55" w:name="_Toc519088588"/>
      <w:r>
        <w:lastRenderedPageBreak/>
        <w:t>Adults</w:t>
      </w:r>
      <w:bookmarkEnd w:id="55"/>
    </w:p>
    <w:p w14:paraId="1E4E387A" w14:textId="2352FCC3" w:rsidR="004A6195" w:rsidRDefault="00026A32" w:rsidP="004A6195">
      <w:pPr>
        <w:pStyle w:val="Heading2"/>
        <w:numPr>
          <w:ilvl w:val="1"/>
          <w:numId w:val="4"/>
        </w:numPr>
      </w:pPr>
      <w:bookmarkStart w:id="56" w:name="_Toc519088589"/>
      <w:r>
        <w:t>Health behaviours</w:t>
      </w:r>
      <w:bookmarkEnd w:id="56"/>
    </w:p>
    <w:p w14:paraId="4D7DF843" w14:textId="74A9F9C7" w:rsidR="0040222E" w:rsidRDefault="0040222E" w:rsidP="0040222E"/>
    <w:p w14:paraId="37E04686" w14:textId="19A33202" w:rsidR="0040222E" w:rsidRDefault="0040222E" w:rsidP="0040222E">
      <w:pPr>
        <w:pStyle w:val="Heading2"/>
        <w:numPr>
          <w:ilvl w:val="2"/>
          <w:numId w:val="4"/>
        </w:numPr>
        <w:spacing w:after="240"/>
      </w:pPr>
      <w:bookmarkStart w:id="57" w:name="_Toc519088590"/>
      <w:r>
        <w:t>Smoking</w:t>
      </w:r>
      <w:bookmarkEnd w:id="57"/>
    </w:p>
    <w:p w14:paraId="4B9A4BE3" w14:textId="1E1E4BDA" w:rsidR="00286C18" w:rsidRDefault="00286C18" w:rsidP="0040222E">
      <w:r w:rsidRPr="00286C18">
        <w:rPr>
          <w:b/>
        </w:rPr>
        <w:t>Smoking prevalence:</w:t>
      </w:r>
      <w:r>
        <w:t xml:space="preserve">  </w:t>
      </w:r>
      <w:r w:rsidR="0040222E">
        <w:t>Information on smoking prevalence is available from the Scottish Household Survey (SHS</w:t>
      </w:r>
      <w:r w:rsidR="00623F5B">
        <w:t xml:space="preserve"> – ScotPHO Profile</w:t>
      </w:r>
      <w:r w:rsidR="0040222E">
        <w:t xml:space="preserve">).  In 2015, smoking prevalence in Aberdeen City was estimated at 21.1% - slightly higher than the prevalence </w:t>
      </w:r>
      <w:r w:rsidR="007E6378">
        <w:t>estimates</w:t>
      </w:r>
      <w:r w:rsidR="0040222E">
        <w:t xml:space="preserve"> for Scotland of 20.6%</w:t>
      </w:r>
      <w:r>
        <w:t xml:space="preserve"> </w:t>
      </w:r>
      <w:r w:rsidR="00FF4A86">
        <w:t>but</w:t>
      </w:r>
      <w:r>
        <w:t xml:space="preserve"> </w:t>
      </w:r>
      <w:r w:rsidR="007E6378">
        <w:t xml:space="preserve">lower than estimates for 2013 of 24.3%.  Smoking is strongly associated with deprivation.  </w:t>
      </w:r>
      <w:r w:rsidR="00F133D5">
        <w:t>While there are no specific figures for Aberdeen City, i</w:t>
      </w:r>
      <w:r w:rsidR="007E6378">
        <w:t>n Scotland in 2016 (based on Scottish Health Survey SHeS), smoking prevalence was higher in more deprived areas (32% in most deprived 20% compared to 12% in least deprived 20%)</w:t>
      </w:r>
      <w:r>
        <w:t xml:space="preserve"> and higher in males than in females (38% for males in most deprived 20% compared to 33% for females in most deprived 20%). </w:t>
      </w:r>
    </w:p>
    <w:p w14:paraId="05579089" w14:textId="77777777" w:rsidR="00026A32" w:rsidRDefault="00026A32" w:rsidP="0040222E"/>
    <w:p w14:paraId="0F394DEC" w14:textId="052AE827" w:rsidR="00ED79C3" w:rsidRDefault="00ED79C3" w:rsidP="0040222E">
      <w:r>
        <w:rPr>
          <w:b/>
        </w:rPr>
        <w:t>Smoking during pregnancy:</w:t>
      </w:r>
      <w:r>
        <w:t xml:space="preserve"> </w:t>
      </w:r>
      <w:r>
        <w:rPr>
          <w:b/>
        </w:rPr>
        <w:t xml:space="preserve"> </w:t>
      </w:r>
      <w:r w:rsidR="00D53D66" w:rsidRPr="00D53D66">
        <w:t>Overall</w:t>
      </w:r>
      <w:r w:rsidR="00D53D66">
        <w:rPr>
          <w:b/>
        </w:rPr>
        <w:t xml:space="preserve"> </w:t>
      </w:r>
      <w:r>
        <w:t xml:space="preserve">the rate of women who smoke during pregnancy (i.e. </w:t>
      </w:r>
      <w:r w:rsidRPr="00ED79C3">
        <w:rPr>
          <w:i/>
        </w:rPr>
        <w:t xml:space="preserve">women with a known smoking status recorded as </w:t>
      </w:r>
      <w:r>
        <w:rPr>
          <w:i/>
        </w:rPr>
        <w:t>‘</w:t>
      </w:r>
      <w:r w:rsidRPr="00ED79C3">
        <w:rPr>
          <w:i/>
        </w:rPr>
        <w:t>current smoker</w:t>
      </w:r>
      <w:r>
        <w:rPr>
          <w:i/>
        </w:rPr>
        <w:t>’</w:t>
      </w:r>
      <w:r w:rsidRPr="00ED79C3">
        <w:rPr>
          <w:i/>
        </w:rPr>
        <w:t xml:space="preserve"> at first antenatal appointment</w:t>
      </w:r>
      <w:r>
        <w:t xml:space="preserve">) is significantly lower Aberdeen City than in Scotland (14.1% compared to 16.3%). </w:t>
      </w:r>
      <w:r w:rsidR="00D53D66">
        <w:t>However, there is considerable variation across the City.  Rates range from a low of 0.0% in West End North to 36.1% in Torry East</w:t>
      </w:r>
      <w:r w:rsidR="00317A19">
        <w:t>.</w:t>
      </w:r>
      <w:r w:rsidR="00D53D66">
        <w:t xml:space="preserve"> </w:t>
      </w:r>
    </w:p>
    <w:p w14:paraId="5A18DDAF" w14:textId="77777777" w:rsidR="00026A32" w:rsidRDefault="00026A32" w:rsidP="0040222E"/>
    <w:p w14:paraId="61B6A648" w14:textId="17F5941C" w:rsidR="00D53D66" w:rsidRDefault="00D53D66" w:rsidP="00D53D66">
      <w:r>
        <w:rPr>
          <w:noProof/>
        </w:rPr>
        <w:drawing>
          <wp:inline distT="0" distB="0" distL="0" distR="0" wp14:anchorId="58B8D93E" wp14:editId="0EE6E1EC">
            <wp:extent cx="5131558" cy="2531745"/>
            <wp:effectExtent l="0" t="0" r="12065" b="1905"/>
            <wp:docPr id="46" name="Chart 46">
              <a:extLst xmlns:a="http://schemas.openxmlformats.org/drawingml/2006/main">
                <a:ext uri="{FF2B5EF4-FFF2-40B4-BE49-F238E27FC236}">
                  <a16:creationId xmlns:a16="http://schemas.microsoft.com/office/drawing/2014/main" id="{B6D7F1A9-6DD4-4BC5-83D5-29339F4F81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433FAC6C" w14:textId="61C5C0E4" w:rsidR="00D53D66" w:rsidRPr="00317A19" w:rsidRDefault="00D53D66" w:rsidP="00317A19">
      <w:pPr>
        <w:rPr>
          <w:sz w:val="16"/>
          <w:szCs w:val="16"/>
        </w:rPr>
      </w:pPr>
      <w:r w:rsidRPr="00317A19">
        <w:rPr>
          <w:sz w:val="16"/>
          <w:szCs w:val="16"/>
        </w:rPr>
        <w:t>Source: ScotPHO Health and Wellbeing Profile</w:t>
      </w:r>
    </w:p>
    <w:p w14:paraId="7A85CBDB" w14:textId="28C1F232" w:rsidR="00317A19" w:rsidRDefault="006737CA" w:rsidP="0040222E">
      <w:pPr>
        <w:rPr>
          <w:sz w:val="16"/>
          <w:szCs w:val="16"/>
        </w:rPr>
      </w:pPr>
      <w:r>
        <w:rPr>
          <w:sz w:val="16"/>
          <w:szCs w:val="16"/>
        </w:rPr>
        <w:t xml:space="preserve">Percentage - </w:t>
      </w:r>
      <w:r w:rsidR="00317A19" w:rsidRPr="00317A19">
        <w:rPr>
          <w:sz w:val="16"/>
          <w:szCs w:val="16"/>
        </w:rPr>
        <w:t>2014/15 to 2016/17 financial years; 3-year aggregates</w:t>
      </w:r>
    </w:p>
    <w:p w14:paraId="2D357E7E" w14:textId="77777777" w:rsidR="002C3F4D" w:rsidRPr="00317A19" w:rsidRDefault="002C3F4D" w:rsidP="0040222E">
      <w:pPr>
        <w:rPr>
          <w:sz w:val="16"/>
          <w:szCs w:val="16"/>
        </w:rPr>
      </w:pPr>
    </w:p>
    <w:p w14:paraId="23254691" w14:textId="6BF059CD" w:rsidR="00286C18" w:rsidRDefault="00F133D5" w:rsidP="00F133D5">
      <w:pPr>
        <w:pStyle w:val="Heading2"/>
        <w:numPr>
          <w:ilvl w:val="2"/>
          <w:numId w:val="4"/>
        </w:numPr>
        <w:spacing w:after="240"/>
      </w:pPr>
      <w:bookmarkStart w:id="58" w:name="_Toc519088591"/>
      <w:r>
        <w:t>Alcohol</w:t>
      </w:r>
      <w:bookmarkEnd w:id="58"/>
    </w:p>
    <w:p w14:paraId="1DDD8FE7" w14:textId="21A490BF" w:rsidR="00210103" w:rsidRDefault="00107A3F" w:rsidP="00210103">
      <w:r w:rsidRPr="00107A3F">
        <w:rPr>
          <w:b/>
        </w:rPr>
        <w:t>Prevalence of problem drinking:</w:t>
      </w:r>
      <w:r>
        <w:t xml:space="preserve">  </w:t>
      </w:r>
      <w:r w:rsidR="00210103">
        <w:t xml:space="preserve">In Aberdeen it is estimated that 28.2% of males and 14.2% of females (16+ years) have a potential drinking problem </w:t>
      </w:r>
      <w:r>
        <w:t>(2013-2016; 4-year aggregate).   These are both higher than respective rates for Scotland</w:t>
      </w:r>
      <w:r w:rsidR="00772123">
        <w:t xml:space="preserve"> (24.1% and 11.6%)</w:t>
      </w:r>
      <w:r>
        <w:t>.</w:t>
      </w:r>
    </w:p>
    <w:p w14:paraId="0F961B26" w14:textId="60710B34" w:rsidR="00107A3F" w:rsidRDefault="00107A3F" w:rsidP="00210103">
      <w:r>
        <w:rPr>
          <w:noProof/>
        </w:rPr>
        <w:lastRenderedPageBreak/>
        <w:drawing>
          <wp:inline distT="0" distB="0" distL="0" distR="0" wp14:anchorId="157D70B3" wp14:editId="022F757C">
            <wp:extent cx="5057029" cy="2743200"/>
            <wp:effectExtent l="0" t="0" r="10795" b="0"/>
            <wp:docPr id="77" name="Chart 77">
              <a:extLst xmlns:a="http://schemas.openxmlformats.org/drawingml/2006/main">
                <a:ext uri="{FF2B5EF4-FFF2-40B4-BE49-F238E27FC236}">
                  <a16:creationId xmlns:a16="http://schemas.microsoft.com/office/drawing/2014/main" id="{4BF73059-E1D6-484D-ABA8-4B390FF052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694B688E" w14:textId="77777777" w:rsidR="00107A3F" w:rsidRPr="00623F5B" w:rsidRDefault="00107A3F" w:rsidP="00107A3F">
      <w:pPr>
        <w:rPr>
          <w:sz w:val="16"/>
          <w:szCs w:val="16"/>
        </w:rPr>
      </w:pPr>
      <w:r w:rsidRPr="00623F5B">
        <w:rPr>
          <w:sz w:val="16"/>
          <w:szCs w:val="16"/>
        </w:rPr>
        <w:t xml:space="preserve">Source: SHS/ScotPHO Mental Health Profile. </w:t>
      </w:r>
    </w:p>
    <w:p w14:paraId="6BC7BBA1" w14:textId="77777777" w:rsidR="00107A3F" w:rsidRDefault="00107A3F" w:rsidP="00210103"/>
    <w:p w14:paraId="75C54462" w14:textId="174F97E6" w:rsidR="00F133D5" w:rsidRDefault="00F133D5" w:rsidP="00F133D5">
      <w:r w:rsidRPr="00F133D5">
        <w:rPr>
          <w:b/>
        </w:rPr>
        <w:t>Alcohol</w:t>
      </w:r>
      <w:r w:rsidR="00867472">
        <w:rPr>
          <w:b/>
        </w:rPr>
        <w:t>-</w:t>
      </w:r>
      <w:r w:rsidRPr="00F133D5">
        <w:rPr>
          <w:b/>
        </w:rPr>
        <w:t xml:space="preserve">related hospital stays:  </w:t>
      </w:r>
      <w:r>
        <w:t>In 2016/17 there were 1,520 alcohol-related hospital stays in Aberdeen City.  This equates to a rate (age</w:t>
      </w:r>
      <w:r w:rsidR="00867472">
        <w:t>-</w:t>
      </w:r>
      <w:r>
        <w:t>sex standardised) of 705.4 per 100,000 population</w:t>
      </w:r>
      <w:r w:rsidR="00867472">
        <w:t>.  While still higher than the rate for Scotland (</w:t>
      </w:r>
      <w:r>
        <w:t>680.8 per 100,000 population</w:t>
      </w:r>
      <w:r w:rsidR="00867472">
        <w:t>), rates of alcohol-related hospital stays have fallen considerably over the past 10 years</w:t>
      </w:r>
      <w:r>
        <w:t xml:space="preserve">.  </w:t>
      </w:r>
    </w:p>
    <w:p w14:paraId="35126617" w14:textId="79E9FDF3" w:rsidR="0040222E" w:rsidRPr="00867472" w:rsidRDefault="0040222E" w:rsidP="006737CA">
      <w:pPr>
        <w:ind w:left="0"/>
        <w:rPr>
          <w:b/>
        </w:rPr>
      </w:pPr>
    </w:p>
    <w:p w14:paraId="2D307D89" w14:textId="31D862F9" w:rsidR="00867472" w:rsidRDefault="00867472" w:rsidP="00867472">
      <w:r>
        <w:rPr>
          <w:noProof/>
        </w:rPr>
        <w:drawing>
          <wp:inline distT="0" distB="0" distL="0" distR="0" wp14:anchorId="42F0677A" wp14:editId="5559ABA5">
            <wp:extent cx="5219065" cy="2668137"/>
            <wp:effectExtent l="0" t="0" r="635" b="18415"/>
            <wp:docPr id="41" name="Chart 41">
              <a:extLst xmlns:a="http://schemas.openxmlformats.org/drawingml/2006/main">
                <a:ext uri="{FF2B5EF4-FFF2-40B4-BE49-F238E27FC236}">
                  <a16:creationId xmlns:a16="http://schemas.microsoft.com/office/drawing/2014/main" id="{F14700EB-F74D-41B9-8B0A-82EA10811B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04AA21F2" w14:textId="284A062B" w:rsidR="00867472" w:rsidRPr="00317A19" w:rsidRDefault="00867472" w:rsidP="00867472">
      <w:pPr>
        <w:rPr>
          <w:sz w:val="16"/>
          <w:szCs w:val="16"/>
        </w:rPr>
      </w:pPr>
      <w:r w:rsidRPr="00317A19">
        <w:rPr>
          <w:sz w:val="16"/>
          <w:szCs w:val="16"/>
        </w:rPr>
        <w:t>Source: ScotPHO Health and Wellbeing Profile</w:t>
      </w:r>
    </w:p>
    <w:p w14:paraId="3ADB7544" w14:textId="0D9053D3" w:rsidR="00867472" w:rsidRDefault="00867472" w:rsidP="0040222E">
      <w:pPr>
        <w:rPr>
          <w:sz w:val="16"/>
          <w:szCs w:val="16"/>
        </w:rPr>
      </w:pPr>
      <w:r w:rsidRPr="00317A19">
        <w:rPr>
          <w:sz w:val="16"/>
          <w:szCs w:val="16"/>
        </w:rPr>
        <w:t>*Age-sex standardised rate per 100,000 population</w:t>
      </w:r>
    </w:p>
    <w:p w14:paraId="25A5DDD7" w14:textId="77777777" w:rsidR="00026A32" w:rsidRPr="00317A19" w:rsidRDefault="00026A32" w:rsidP="0040222E">
      <w:pPr>
        <w:rPr>
          <w:sz w:val="16"/>
          <w:szCs w:val="16"/>
        </w:rPr>
      </w:pPr>
    </w:p>
    <w:p w14:paraId="126D03D9" w14:textId="507479F1" w:rsidR="00C05151" w:rsidRDefault="00C05151" w:rsidP="0040222E">
      <w:pPr>
        <w:rPr>
          <w:highlight w:val="yellow"/>
        </w:rPr>
      </w:pPr>
      <w:r>
        <w:t xml:space="preserve">Based on Intermediate Zone data, rates of alcohol-related hospital stays vary across the City. Rates range from a low of 178.1 per 100,000 population in Cove South to a high of 2,023.7 per 100,000 in Tillydrone. </w:t>
      </w:r>
    </w:p>
    <w:p w14:paraId="6373641D" w14:textId="77777777" w:rsidR="00026A32" w:rsidRDefault="00026A32" w:rsidP="0040222E"/>
    <w:p w14:paraId="015AC087" w14:textId="430969D6" w:rsidR="00ED5453" w:rsidRDefault="00ED5453" w:rsidP="0040222E">
      <w:r w:rsidRPr="00ED5453">
        <w:rPr>
          <w:b/>
        </w:rPr>
        <w:t>Alcohol-related mortality</w:t>
      </w:r>
      <w:r>
        <w:t xml:space="preserve">: </w:t>
      </w:r>
      <w:r w:rsidR="00702417">
        <w:t xml:space="preserve">Between 2012 and 2016 there were an </w:t>
      </w:r>
      <w:r>
        <w:t xml:space="preserve">average </w:t>
      </w:r>
      <w:r w:rsidR="003B5CFF">
        <w:t xml:space="preserve">of </w:t>
      </w:r>
      <w:r>
        <w:t xml:space="preserve">45 deaths per year (5-year rolling average) in Aberdeen City where alcohol </w:t>
      </w:r>
      <w:r w:rsidR="00702417">
        <w:t>was</w:t>
      </w:r>
      <w:r>
        <w:t xml:space="preserve"> the underlying cause.  </w:t>
      </w:r>
      <w:r w:rsidR="00702417">
        <w:t xml:space="preserve">Following a period of relative stability, </w:t>
      </w:r>
      <w:r w:rsidR="00B457AA">
        <w:t xml:space="preserve">and in contrast to trends for Scotland were the rate of alcohol-related mortality continues to fall, in Aberdeen City </w:t>
      </w:r>
      <w:r w:rsidR="00702417">
        <w:t>the rate increased between 2011-2015 and 2012-2016 and it is now at its highest level since</w:t>
      </w:r>
      <w:r w:rsidR="003B5CFF">
        <w:t xml:space="preserve"> 2005-2009</w:t>
      </w:r>
      <w:r w:rsidR="00B457AA">
        <w:t xml:space="preserve">.  The rate of </w:t>
      </w:r>
      <w:r w:rsidR="00B457AA">
        <w:lastRenderedPageBreak/>
        <w:t xml:space="preserve">alcohol-related mortality in Aberdeen City </w:t>
      </w:r>
      <w:r w:rsidR="003B5CFF">
        <w:t xml:space="preserve">is </w:t>
      </w:r>
      <w:r w:rsidR="00B457AA">
        <w:t xml:space="preserve">now slightly </w:t>
      </w:r>
      <w:r w:rsidR="003B5CFF">
        <w:t>higher than the average rate for Scotland (2</w:t>
      </w:r>
      <w:r w:rsidR="00B457AA">
        <w:t xml:space="preserve">3.1 </w:t>
      </w:r>
      <w:r w:rsidR="003B5CFF">
        <w:t>per 100,000 population</w:t>
      </w:r>
      <w:r w:rsidR="00B457AA">
        <w:t xml:space="preserve"> compared to 22.0 per 100,000 population</w:t>
      </w:r>
      <w:r w:rsidR="003B5CFF">
        <w:t xml:space="preserve">).  </w:t>
      </w:r>
    </w:p>
    <w:p w14:paraId="08E181B3" w14:textId="77777777" w:rsidR="00772123" w:rsidRDefault="00772123" w:rsidP="0040222E"/>
    <w:p w14:paraId="32228EB7" w14:textId="6D7B3446" w:rsidR="0040222E" w:rsidRDefault="00702417" w:rsidP="003B5CFF">
      <w:r>
        <w:rPr>
          <w:noProof/>
        </w:rPr>
        <w:drawing>
          <wp:inline distT="0" distB="0" distL="0" distR="0" wp14:anchorId="645F1CDA" wp14:editId="656B7AB7">
            <wp:extent cx="4572000" cy="2449002"/>
            <wp:effectExtent l="0" t="0" r="0" b="8890"/>
            <wp:docPr id="43" name="Chart 43">
              <a:extLst xmlns:a="http://schemas.openxmlformats.org/drawingml/2006/main">
                <a:ext uri="{FF2B5EF4-FFF2-40B4-BE49-F238E27FC236}">
                  <a16:creationId xmlns:a16="http://schemas.microsoft.com/office/drawing/2014/main" id="{84385A24-4D75-4B84-8B55-10494DB121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7B956876" w14:textId="77777777" w:rsidR="003B5CFF" w:rsidRPr="00C05151" w:rsidRDefault="003B5CFF" w:rsidP="003B5CFF">
      <w:pPr>
        <w:rPr>
          <w:sz w:val="16"/>
          <w:szCs w:val="16"/>
        </w:rPr>
      </w:pPr>
      <w:r w:rsidRPr="00C05151">
        <w:rPr>
          <w:sz w:val="16"/>
          <w:szCs w:val="16"/>
        </w:rPr>
        <w:t>Source: ScotPHO Health and Wellbeing Profile</w:t>
      </w:r>
    </w:p>
    <w:p w14:paraId="2DD57DBD" w14:textId="3D60F675" w:rsidR="003B5CFF" w:rsidRDefault="003B5CFF" w:rsidP="003B5CFF">
      <w:pPr>
        <w:rPr>
          <w:sz w:val="16"/>
          <w:szCs w:val="16"/>
        </w:rPr>
      </w:pPr>
      <w:r w:rsidRPr="00C05151">
        <w:rPr>
          <w:sz w:val="16"/>
          <w:szCs w:val="16"/>
        </w:rPr>
        <w:t>*Age-sex standardised rate per 100,000 population</w:t>
      </w:r>
      <w:r w:rsidR="001D520D" w:rsidRPr="00C05151">
        <w:rPr>
          <w:sz w:val="16"/>
          <w:szCs w:val="16"/>
        </w:rPr>
        <w:t xml:space="preserve"> (5-year aggregate)</w:t>
      </w:r>
    </w:p>
    <w:p w14:paraId="4BDBC2BE" w14:textId="77777777" w:rsidR="00026A32" w:rsidRPr="00C05151" w:rsidRDefault="00026A32" w:rsidP="003B5CFF">
      <w:pPr>
        <w:rPr>
          <w:sz w:val="16"/>
          <w:szCs w:val="16"/>
        </w:rPr>
      </w:pPr>
    </w:p>
    <w:p w14:paraId="15355C3F" w14:textId="70D81FE3" w:rsidR="00905E80" w:rsidRDefault="00905E80" w:rsidP="003B5CFF">
      <w:r>
        <w:t xml:space="preserve">The rate of alcohol-related mortality varies across the City (based on Intermediate Zones). In 2012-2016, the average alcohol-related mortality ranged from 0.0 to 91.2 per 100,000 population.  </w:t>
      </w:r>
    </w:p>
    <w:p w14:paraId="2E4C3E87" w14:textId="77777777" w:rsidR="00C05151" w:rsidRDefault="00C05151" w:rsidP="003B5CFF"/>
    <w:p w14:paraId="54EB13DA" w14:textId="48E4C418" w:rsidR="00905E80" w:rsidRPr="003B5CFF" w:rsidRDefault="00C05151" w:rsidP="003B5CFF">
      <w:r>
        <w:rPr>
          <w:noProof/>
        </w:rPr>
        <w:drawing>
          <wp:inline distT="0" distB="0" distL="0" distR="0" wp14:anchorId="0B43ABCE" wp14:editId="311ABCBD">
            <wp:extent cx="5731510" cy="3665552"/>
            <wp:effectExtent l="0" t="0" r="2540" b="11430"/>
            <wp:docPr id="45" name="Chart 45">
              <a:extLst xmlns:a="http://schemas.openxmlformats.org/drawingml/2006/main">
                <a:ext uri="{FF2B5EF4-FFF2-40B4-BE49-F238E27FC236}">
                  <a16:creationId xmlns:a16="http://schemas.microsoft.com/office/drawing/2014/main" id="{ADF70B2F-944A-4AF9-B7A3-821AF1A99A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3611E317" w14:textId="77777777" w:rsidR="00C05151" w:rsidRPr="00C05151" w:rsidRDefault="00C05151" w:rsidP="00C05151">
      <w:pPr>
        <w:rPr>
          <w:sz w:val="16"/>
          <w:szCs w:val="16"/>
        </w:rPr>
      </w:pPr>
      <w:r w:rsidRPr="00C05151">
        <w:rPr>
          <w:sz w:val="16"/>
          <w:szCs w:val="16"/>
        </w:rPr>
        <w:t>Source: ScotPHO Health and Wellbeing Profile</w:t>
      </w:r>
    </w:p>
    <w:p w14:paraId="4495159C" w14:textId="7749BFDA" w:rsidR="00636E59" w:rsidRDefault="00C05151" w:rsidP="00636E59">
      <w:pPr>
        <w:rPr>
          <w:sz w:val="16"/>
          <w:szCs w:val="16"/>
        </w:rPr>
      </w:pPr>
      <w:r w:rsidRPr="00C05151">
        <w:rPr>
          <w:sz w:val="16"/>
          <w:szCs w:val="16"/>
        </w:rPr>
        <w:t>*Age-sex standardised rate per 100,000 population (5-year aggregate)</w:t>
      </w:r>
    </w:p>
    <w:p w14:paraId="1318C68D" w14:textId="4A7D6E16" w:rsidR="00317A19" w:rsidRDefault="00317A19" w:rsidP="00C05151">
      <w:pPr>
        <w:rPr>
          <w:sz w:val="16"/>
          <w:szCs w:val="16"/>
        </w:rPr>
      </w:pPr>
    </w:p>
    <w:p w14:paraId="447323B1" w14:textId="1C285B61" w:rsidR="00636E59" w:rsidRPr="00636E59" w:rsidRDefault="00636E59" w:rsidP="00636E59">
      <w:pPr>
        <w:pStyle w:val="Heading2"/>
        <w:numPr>
          <w:ilvl w:val="2"/>
          <w:numId w:val="4"/>
        </w:numPr>
        <w:spacing w:after="240"/>
      </w:pPr>
      <w:bookmarkStart w:id="59" w:name="_Toc519088592"/>
      <w:r w:rsidRPr="00636E59">
        <w:lastRenderedPageBreak/>
        <w:t>Drug use</w:t>
      </w:r>
      <w:bookmarkEnd w:id="59"/>
    </w:p>
    <w:p w14:paraId="3753DF13" w14:textId="0DF1DB83" w:rsidR="0077757D" w:rsidRDefault="004E6637" w:rsidP="007A2141">
      <w:r>
        <w:rPr>
          <w:b/>
        </w:rPr>
        <w:t xml:space="preserve">Problem drug use: </w:t>
      </w:r>
      <w:r>
        <w:t xml:space="preserve">In </w:t>
      </w:r>
      <w:r w:rsidR="007A2141">
        <w:t xml:space="preserve">2012/13 </w:t>
      </w:r>
      <w:r>
        <w:t xml:space="preserve">an estimated 3,100 people </w:t>
      </w:r>
      <w:r w:rsidR="007A2141">
        <w:t>in Aberdeen City (</w:t>
      </w:r>
      <w:r>
        <w:t>aged 15-64 years</w:t>
      </w:r>
      <w:r w:rsidR="007A2141">
        <w:t>)</w:t>
      </w:r>
      <w:r>
        <w:t xml:space="preserve"> were estimated to have a problem drug use.  This equates to a rate of </w:t>
      </w:r>
      <w:r w:rsidRPr="004E6637">
        <w:t>1.9%</w:t>
      </w:r>
      <w:r>
        <w:t xml:space="preserve"> – higher than the average rate for Scotland of 1.</w:t>
      </w:r>
      <w:r w:rsidR="00FA5975">
        <w:t>7</w:t>
      </w:r>
      <w:r>
        <w:t xml:space="preserve">%.  Estimated prevalence of problem drug use was higher in males (2.4%) than females (1.4%) and higher in the 25-34 year age group (3.93%) than either the 35-64 year age group (2.14%) or the 15-24 year age group </w:t>
      </w:r>
      <w:r w:rsidR="00772123">
        <w:t>(</w:t>
      </w:r>
      <w:r>
        <w:t xml:space="preserve">1.30%).  </w:t>
      </w:r>
      <w:r w:rsidR="00210103">
        <w:t xml:space="preserve">The estimated prevalence of problem drug use </w:t>
      </w:r>
      <w:r w:rsidR="00C60C34">
        <w:t>was</w:t>
      </w:r>
      <w:r w:rsidR="00210103">
        <w:t xml:space="preserve"> significantly higher in females in Aberdeen than in Scotland</w:t>
      </w:r>
      <w:r w:rsidR="00107A3F">
        <w:t>.</w:t>
      </w:r>
    </w:p>
    <w:p w14:paraId="7211D71E" w14:textId="77777777" w:rsidR="00210103" w:rsidRDefault="00210103" w:rsidP="007A2141"/>
    <w:p w14:paraId="2CF0CB9F" w14:textId="23686942" w:rsidR="007A2141" w:rsidRDefault="007A2141" w:rsidP="007A2141">
      <w:pPr>
        <w:rPr>
          <w:b/>
        </w:rPr>
      </w:pPr>
      <w:r>
        <w:rPr>
          <w:noProof/>
        </w:rPr>
        <w:drawing>
          <wp:inline distT="0" distB="0" distL="0" distR="0" wp14:anchorId="46BAAB19" wp14:editId="3A3E295B">
            <wp:extent cx="5276850" cy="2260397"/>
            <wp:effectExtent l="0" t="0" r="0" b="6985"/>
            <wp:docPr id="57" name="Chart 57">
              <a:extLst xmlns:a="http://schemas.openxmlformats.org/drawingml/2006/main">
                <a:ext uri="{FF2B5EF4-FFF2-40B4-BE49-F238E27FC236}">
                  <a16:creationId xmlns:a16="http://schemas.microsoft.com/office/drawing/2014/main" id="{4D640F8B-FFB4-414B-A320-CB1AF0F610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779ACEBB" w14:textId="6961E7BE" w:rsidR="007A2141" w:rsidRDefault="007A2141" w:rsidP="00DE4EBF">
      <w:pPr>
        <w:rPr>
          <w:sz w:val="16"/>
          <w:szCs w:val="16"/>
        </w:rPr>
      </w:pPr>
      <w:r w:rsidRPr="007A2141">
        <w:rPr>
          <w:sz w:val="16"/>
          <w:szCs w:val="16"/>
        </w:rPr>
        <w:t xml:space="preserve">Source:  ISD Scotland, Estimating the national and local prevalence of problem drug use in Scotland, 201213, available at: </w:t>
      </w:r>
      <w:hyperlink r:id="rId95" w:history="1">
        <w:r w:rsidRPr="00340377">
          <w:rPr>
            <w:rStyle w:val="Hyperlink"/>
            <w:sz w:val="16"/>
            <w:szCs w:val="16"/>
          </w:rPr>
          <w:t>https://isdscotland.scot.nhs.uk/Health-Topics/Drugs-and-Alcohol-Misuse/Publications/2014-10-28/2014-10-28-Drug-Prevalence-Report.pdf</w:t>
        </w:r>
      </w:hyperlink>
      <w:r>
        <w:rPr>
          <w:sz w:val="16"/>
          <w:szCs w:val="16"/>
        </w:rPr>
        <w:t xml:space="preserve"> </w:t>
      </w:r>
    </w:p>
    <w:p w14:paraId="387C1B9D" w14:textId="77777777" w:rsidR="00026A32" w:rsidRPr="007A2141" w:rsidRDefault="00026A32" w:rsidP="00DE4EBF">
      <w:pPr>
        <w:rPr>
          <w:sz w:val="16"/>
          <w:szCs w:val="16"/>
        </w:rPr>
      </w:pPr>
    </w:p>
    <w:p w14:paraId="7AFA315C" w14:textId="677B039D" w:rsidR="00B41325" w:rsidRDefault="00DE4EBF" w:rsidP="00DE4EBF">
      <w:r w:rsidRPr="00DE4EBF">
        <w:rPr>
          <w:b/>
        </w:rPr>
        <w:t>Drug-related hospital stays</w:t>
      </w:r>
      <w:r>
        <w:t>: between 2014/15 and 2016/17 (3-year rolling average) there were an average of 358 drug-related hospital stays per year in Aberdeen City. This equates to a rate (age-sex standardised) of 149.5 per 100,000 population. Since peaking in 2008/09-2010/11, the rate of drug-related hospital stays in Aberdeen has fallen and is now similar to the average rate for Scotland of 14</w:t>
      </w:r>
      <w:r w:rsidR="001D520D">
        <w:t>6</w:t>
      </w:r>
      <w:r>
        <w:t>.9 per 100,00 population.</w:t>
      </w:r>
    </w:p>
    <w:p w14:paraId="754698EA" w14:textId="77777777" w:rsidR="00026A32" w:rsidRDefault="00026A32" w:rsidP="00DE4EBF"/>
    <w:p w14:paraId="671CBF5D" w14:textId="52FC2036" w:rsidR="00DE4EBF" w:rsidRDefault="00DE4EBF" w:rsidP="00B457AA">
      <w:r>
        <w:rPr>
          <w:noProof/>
        </w:rPr>
        <w:drawing>
          <wp:inline distT="0" distB="0" distL="0" distR="0" wp14:anchorId="711157AC" wp14:editId="79A2D793">
            <wp:extent cx="4826000" cy="2572603"/>
            <wp:effectExtent l="0" t="0" r="12700" b="18415"/>
            <wp:docPr id="36" name="Chart 36">
              <a:extLst xmlns:a="http://schemas.openxmlformats.org/drawingml/2006/main">
                <a:ext uri="{FF2B5EF4-FFF2-40B4-BE49-F238E27FC236}">
                  <a16:creationId xmlns:a16="http://schemas.microsoft.com/office/drawing/2014/main" id="{1240021F-2580-45F8-A899-1360BF8A1C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10E59DDD" w14:textId="77777777" w:rsidR="00B457AA" w:rsidRPr="00317A19" w:rsidRDefault="00B457AA" w:rsidP="00107A3F">
      <w:pPr>
        <w:ind w:left="0"/>
        <w:rPr>
          <w:sz w:val="16"/>
          <w:szCs w:val="16"/>
        </w:rPr>
      </w:pPr>
      <w:r>
        <w:tab/>
      </w:r>
      <w:r w:rsidRPr="00317A19">
        <w:rPr>
          <w:sz w:val="16"/>
          <w:szCs w:val="16"/>
        </w:rPr>
        <w:t>Source: ScotPHO Health and Wellbeing Profile</w:t>
      </w:r>
    </w:p>
    <w:p w14:paraId="53E5F3B6" w14:textId="550BDDF4" w:rsidR="00B457AA" w:rsidRPr="00317A19" w:rsidRDefault="00B457AA" w:rsidP="00107A3F">
      <w:pPr>
        <w:ind w:left="0" w:firstLine="720"/>
        <w:rPr>
          <w:sz w:val="16"/>
          <w:szCs w:val="16"/>
        </w:rPr>
      </w:pPr>
      <w:r w:rsidRPr="00317A19">
        <w:rPr>
          <w:sz w:val="16"/>
          <w:szCs w:val="16"/>
        </w:rPr>
        <w:t>*Age-sex standardised rate per 100,000 population</w:t>
      </w:r>
      <w:r w:rsidR="001D520D" w:rsidRPr="00317A19">
        <w:rPr>
          <w:sz w:val="16"/>
          <w:szCs w:val="16"/>
        </w:rPr>
        <w:t xml:space="preserve"> (3-year aggregate)</w:t>
      </w:r>
    </w:p>
    <w:p w14:paraId="11D58787" w14:textId="77777777" w:rsidR="009B07EF" w:rsidRDefault="009B07EF" w:rsidP="001D520D"/>
    <w:p w14:paraId="29C3BCEA" w14:textId="7F4193F1" w:rsidR="00B457AA" w:rsidRDefault="001D520D" w:rsidP="001D520D">
      <w:r>
        <w:lastRenderedPageBreak/>
        <w:t xml:space="preserve">The rate of drug-related hospital stays varies considerably across the City, ranging from a low of 0.0 per 100,000 population in West End North to a high of 442.8 in Torry East </w:t>
      </w:r>
      <w:r w:rsidRPr="001D520D">
        <w:t>(based on Intermediate Zones)</w:t>
      </w:r>
      <w:r>
        <w:t xml:space="preserve">. </w:t>
      </w:r>
    </w:p>
    <w:p w14:paraId="3F845081" w14:textId="7F292398" w:rsidR="001D520D" w:rsidRDefault="001D520D" w:rsidP="00B457AA"/>
    <w:p w14:paraId="741FBC77" w14:textId="597D0672" w:rsidR="001D520D" w:rsidRDefault="001D520D" w:rsidP="00B457AA">
      <w:r>
        <w:rPr>
          <w:noProof/>
        </w:rPr>
        <w:drawing>
          <wp:inline distT="0" distB="0" distL="0" distR="0" wp14:anchorId="7D60B4E2" wp14:editId="32B35804">
            <wp:extent cx="4967785" cy="2256155"/>
            <wp:effectExtent l="0" t="0" r="4445" b="10795"/>
            <wp:docPr id="44" name="Chart 44">
              <a:extLst xmlns:a="http://schemas.openxmlformats.org/drawingml/2006/main">
                <a:ext uri="{FF2B5EF4-FFF2-40B4-BE49-F238E27FC236}">
                  <a16:creationId xmlns:a16="http://schemas.microsoft.com/office/drawing/2014/main" id="{EB81323D-F080-4E4A-898A-6B99A16B1D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2038A275" w14:textId="746E791C" w:rsidR="001D520D" w:rsidRPr="00317A19" w:rsidRDefault="001D520D" w:rsidP="001D520D">
      <w:pPr>
        <w:rPr>
          <w:sz w:val="16"/>
          <w:szCs w:val="16"/>
        </w:rPr>
      </w:pPr>
      <w:r w:rsidRPr="00317A19">
        <w:rPr>
          <w:sz w:val="16"/>
          <w:szCs w:val="16"/>
        </w:rPr>
        <w:t>Source: ScotPHO Health and Wellbeing Profile</w:t>
      </w:r>
    </w:p>
    <w:p w14:paraId="37BD2BB6" w14:textId="77777777" w:rsidR="001D520D" w:rsidRPr="00317A19" w:rsidRDefault="001D520D" w:rsidP="00677EDD">
      <w:pPr>
        <w:rPr>
          <w:sz w:val="16"/>
          <w:szCs w:val="16"/>
        </w:rPr>
      </w:pPr>
      <w:r w:rsidRPr="00317A19">
        <w:rPr>
          <w:sz w:val="16"/>
          <w:szCs w:val="16"/>
        </w:rPr>
        <w:t>*Age-sex standardised rate per 100,000 population (3-year aggregate)</w:t>
      </w:r>
    </w:p>
    <w:p w14:paraId="00DEE643" w14:textId="1DDBAB4E" w:rsidR="001D520D" w:rsidRDefault="001D520D" w:rsidP="00B457AA"/>
    <w:p w14:paraId="235AD975" w14:textId="0CAA6BA7" w:rsidR="009A42F9" w:rsidRDefault="00317A19" w:rsidP="009A42F9">
      <w:r w:rsidRPr="00317A19">
        <w:rPr>
          <w:b/>
        </w:rPr>
        <w:t>Drug-related mortality</w:t>
      </w:r>
      <w:r>
        <w:t>:  In 201</w:t>
      </w:r>
      <w:r w:rsidR="00C60C34">
        <w:t>7</w:t>
      </w:r>
      <w:r>
        <w:t xml:space="preserve"> there were </w:t>
      </w:r>
      <w:r w:rsidR="00C60C34">
        <w:t>54</w:t>
      </w:r>
      <w:r>
        <w:t xml:space="preserve"> drug-related deaths in Aberdeen City</w:t>
      </w:r>
      <w:r w:rsidR="005C6742">
        <w:t xml:space="preserve">.   </w:t>
      </w:r>
      <w:r w:rsidR="00C60C34">
        <w:t xml:space="preserve">In the last few years there has been a notable increase in the number of drug-related deaths in the City each year with the number of deaths more than doubling since 2014.  </w:t>
      </w:r>
      <w:r w:rsidR="005C6742">
        <w:t xml:space="preserve">Information on deaths by gender shows that </w:t>
      </w:r>
      <w:r w:rsidR="00C60C34">
        <w:t xml:space="preserve">over the last 10 years </w:t>
      </w:r>
      <w:r w:rsidR="005C6742">
        <w:t>the number of female deaths has increased more than the number of male deaths.  In 200</w:t>
      </w:r>
      <w:r w:rsidR="00C60C34">
        <w:t>7</w:t>
      </w:r>
      <w:r w:rsidR="005C6742">
        <w:t>, of the 2</w:t>
      </w:r>
      <w:r w:rsidR="00C60C34">
        <w:t>3</w:t>
      </w:r>
      <w:r w:rsidR="005C6742">
        <w:t xml:space="preserve"> deaths in Aberdeen City, </w:t>
      </w:r>
      <w:r w:rsidR="00C60C34">
        <w:t>19</w:t>
      </w:r>
      <w:r w:rsidR="005C6742">
        <w:t xml:space="preserve"> were male and </w:t>
      </w:r>
      <w:r w:rsidR="00C60C34">
        <w:t>4</w:t>
      </w:r>
      <w:r w:rsidR="005C6742">
        <w:t xml:space="preserve"> were female. In 201</w:t>
      </w:r>
      <w:r w:rsidR="00C60C34">
        <w:t>7</w:t>
      </w:r>
      <w:r w:rsidR="005C6742">
        <w:t xml:space="preserve">, of the </w:t>
      </w:r>
      <w:r w:rsidR="00C60C34">
        <w:t>54</w:t>
      </w:r>
      <w:r w:rsidR="005C6742">
        <w:t xml:space="preserve"> deaths </w:t>
      </w:r>
      <w:r w:rsidR="00C60C34">
        <w:t>36</w:t>
      </w:r>
      <w:r w:rsidR="009A42F9">
        <w:t xml:space="preserve"> were male and </w:t>
      </w:r>
      <w:r w:rsidR="00C60C34">
        <w:t>18</w:t>
      </w:r>
      <w:r w:rsidR="009A42F9">
        <w:t xml:space="preserve"> were female</w:t>
      </w:r>
      <w:r w:rsidR="00C60C34">
        <w:t xml:space="preserve"> (i.e. 33.3% of drug-related deaths in 2017 were female compared to 17.4% in 2007).  </w:t>
      </w:r>
      <w:r w:rsidR="009A42F9">
        <w:t xml:space="preserve"> </w:t>
      </w:r>
      <w:r w:rsidR="00623F5B">
        <w:t>Almost all deaths (52 out of 54) were classified as accidental poisoning.</w:t>
      </w:r>
    </w:p>
    <w:p w14:paraId="6A9C7F04" w14:textId="5803535B" w:rsidR="00166EF2" w:rsidRDefault="00166EF2" w:rsidP="009A42F9"/>
    <w:p w14:paraId="12A1BFC6" w14:textId="42D64430" w:rsidR="00166EF2" w:rsidRDefault="00166EF2" w:rsidP="009A42F9">
      <w:r>
        <w:rPr>
          <w:noProof/>
        </w:rPr>
        <w:drawing>
          <wp:inline distT="0" distB="0" distL="0" distR="0" wp14:anchorId="3102BA1C" wp14:editId="38AB8D0D">
            <wp:extent cx="5016500" cy="2571750"/>
            <wp:effectExtent l="0" t="0" r="12700" b="0"/>
            <wp:docPr id="17" name="Chart 17">
              <a:extLst xmlns:a="http://schemas.openxmlformats.org/drawingml/2006/main">
                <a:ext uri="{FF2B5EF4-FFF2-40B4-BE49-F238E27FC236}">
                  <a16:creationId xmlns:a16="http://schemas.microsoft.com/office/drawing/2014/main" id="{14B30283-2008-4E51-8BE1-3624E746F9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240B18CE" w14:textId="7E0B0DBD" w:rsidR="005C6742" w:rsidRDefault="005C6742" w:rsidP="00317A19">
      <w:pPr>
        <w:rPr>
          <w:sz w:val="16"/>
          <w:szCs w:val="16"/>
        </w:rPr>
      </w:pPr>
      <w:r w:rsidRPr="005C6742">
        <w:rPr>
          <w:sz w:val="16"/>
          <w:szCs w:val="16"/>
        </w:rPr>
        <w:t>Source: National Records of Scotland, Drug-related deaths in Scotland, 201</w:t>
      </w:r>
      <w:r w:rsidR="00C60C34">
        <w:rPr>
          <w:sz w:val="16"/>
          <w:szCs w:val="16"/>
        </w:rPr>
        <w:t>7</w:t>
      </w:r>
      <w:r w:rsidRPr="005C6742">
        <w:rPr>
          <w:sz w:val="16"/>
          <w:szCs w:val="16"/>
        </w:rPr>
        <w:t xml:space="preserve">, available at: </w:t>
      </w:r>
      <w:hyperlink r:id="rId99" w:history="1">
        <w:r w:rsidR="00C60C34" w:rsidRPr="00FD2F5A">
          <w:rPr>
            <w:rStyle w:val="Hyperlink"/>
            <w:sz w:val="16"/>
            <w:szCs w:val="16"/>
          </w:rPr>
          <w:t>https://www.nrscotland.gov.uk/statistics-and-data/statistics/statistics-by-theme/vital-events/deaths/drug-related-deaths-in-scotland/2017/list-of-tables-and-figures</w:t>
        </w:r>
      </w:hyperlink>
      <w:r w:rsidR="00C60C34">
        <w:rPr>
          <w:sz w:val="16"/>
          <w:szCs w:val="16"/>
        </w:rPr>
        <w:t xml:space="preserve"> </w:t>
      </w:r>
    </w:p>
    <w:p w14:paraId="6E8D24D6" w14:textId="77777777" w:rsidR="006737CA" w:rsidRDefault="006737CA" w:rsidP="00317A19">
      <w:pPr>
        <w:rPr>
          <w:sz w:val="16"/>
          <w:szCs w:val="16"/>
        </w:rPr>
      </w:pPr>
    </w:p>
    <w:p w14:paraId="6B73D3AB" w14:textId="593E5355" w:rsidR="009A42F9" w:rsidRDefault="009A42F9" w:rsidP="00317A19">
      <w:r>
        <w:t>For the period 201</w:t>
      </w:r>
      <w:r w:rsidR="00623F5B">
        <w:t>3</w:t>
      </w:r>
      <w:r>
        <w:t>-201</w:t>
      </w:r>
      <w:r w:rsidR="00623F5B">
        <w:t>7</w:t>
      </w:r>
      <w:r>
        <w:t xml:space="preserve">, the average </w:t>
      </w:r>
      <w:r w:rsidR="00DB529C">
        <w:t xml:space="preserve">annual </w:t>
      </w:r>
      <w:r>
        <w:t xml:space="preserve">rate of drug-related </w:t>
      </w:r>
      <w:r w:rsidR="008A1B97">
        <w:t>deaths</w:t>
      </w:r>
      <w:r>
        <w:t xml:space="preserve"> was higher in Aberdeen City than in Scotland (0.1</w:t>
      </w:r>
      <w:r w:rsidR="00623F5B">
        <w:t>7</w:t>
      </w:r>
      <w:r>
        <w:t xml:space="preserve"> per 1,000 population compared to 0.1</w:t>
      </w:r>
      <w:r w:rsidR="00623F5B">
        <w:t>4</w:t>
      </w:r>
      <w:r>
        <w:t xml:space="preserve"> per 1,000 population).  In both areas drug-related mortality was highest in the 35-44 year age group. </w:t>
      </w:r>
      <w:r w:rsidR="006337CC">
        <w:lastRenderedPageBreak/>
        <w:t>Aberdeen City has the 4</w:t>
      </w:r>
      <w:r w:rsidR="006337CC" w:rsidRPr="006337CC">
        <w:rPr>
          <w:vertAlign w:val="superscript"/>
        </w:rPr>
        <w:t>th</w:t>
      </w:r>
      <w:r w:rsidR="006337CC">
        <w:t xml:space="preserve"> highest average annual rate of drug deaths (after Dundee City</w:t>
      </w:r>
      <w:r w:rsidR="00C11AA9">
        <w:t xml:space="preserve"> </w:t>
      </w:r>
      <w:r w:rsidR="001C7EF7">
        <w:t>at 0.25</w:t>
      </w:r>
      <w:r w:rsidR="006337CC">
        <w:t>, Glasgow City</w:t>
      </w:r>
      <w:r w:rsidR="001C7EF7">
        <w:t xml:space="preserve"> at 0.24</w:t>
      </w:r>
      <w:r w:rsidR="006337CC">
        <w:t xml:space="preserve"> and Inverclyde</w:t>
      </w:r>
      <w:r w:rsidR="001C7EF7">
        <w:t xml:space="preserve"> at 0.22</w:t>
      </w:r>
      <w:r w:rsidR="006337CC">
        <w:t>) of all local authorities in Scotland.</w:t>
      </w:r>
    </w:p>
    <w:p w14:paraId="76C2FB42" w14:textId="3847B051" w:rsidR="00623F5B" w:rsidRDefault="00623F5B" w:rsidP="00317A19"/>
    <w:p w14:paraId="61AA57DA" w14:textId="2179FCD9" w:rsidR="009A42F9" w:rsidRDefault="00623F5B" w:rsidP="00623F5B">
      <w:r>
        <w:rPr>
          <w:noProof/>
        </w:rPr>
        <w:drawing>
          <wp:inline distT="0" distB="0" distL="0" distR="0" wp14:anchorId="2D65578E" wp14:editId="23DCB11D">
            <wp:extent cx="5343525" cy="3257550"/>
            <wp:effectExtent l="0" t="0" r="9525" b="0"/>
            <wp:docPr id="47" name="Chart 47">
              <a:extLst xmlns:a="http://schemas.openxmlformats.org/drawingml/2006/main">
                <a:ext uri="{FF2B5EF4-FFF2-40B4-BE49-F238E27FC236}">
                  <a16:creationId xmlns:a16="http://schemas.microsoft.com/office/drawing/2014/main" id="{19C5D9C4-4E75-4DD4-AB1E-2F1A34678C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530AE72D" w14:textId="3DEDCB98" w:rsidR="00623F5B" w:rsidRDefault="009A42F9" w:rsidP="00317A19">
      <w:pPr>
        <w:rPr>
          <w:sz w:val="16"/>
          <w:szCs w:val="16"/>
        </w:rPr>
      </w:pPr>
      <w:r w:rsidRPr="009A42F9">
        <w:rPr>
          <w:sz w:val="16"/>
          <w:szCs w:val="16"/>
        </w:rPr>
        <w:t>Source: National Records of Scotland, Drug-related deaths in Scotland, 201</w:t>
      </w:r>
      <w:r w:rsidR="00623F5B">
        <w:rPr>
          <w:sz w:val="16"/>
          <w:szCs w:val="16"/>
        </w:rPr>
        <w:t>7</w:t>
      </w:r>
      <w:r w:rsidRPr="009A42F9">
        <w:rPr>
          <w:sz w:val="16"/>
          <w:szCs w:val="16"/>
        </w:rPr>
        <w:t xml:space="preserve">, available at: </w:t>
      </w:r>
      <w:hyperlink r:id="rId101" w:history="1">
        <w:r w:rsidR="00623F5B" w:rsidRPr="009D58AC">
          <w:rPr>
            <w:rStyle w:val="Hyperlink"/>
            <w:sz w:val="16"/>
            <w:szCs w:val="16"/>
          </w:rPr>
          <w:t>https://www.nrscotland.gov.uk/statistics-and-data/statistics/statistics-by-theme/vital-events/deaths/drug-related-deaths-in-scotland/2017/list-of-tables-and-figures</w:t>
        </w:r>
      </w:hyperlink>
      <w:r w:rsidR="00623F5B">
        <w:rPr>
          <w:sz w:val="16"/>
          <w:szCs w:val="16"/>
        </w:rPr>
        <w:t xml:space="preserve"> </w:t>
      </w:r>
    </w:p>
    <w:p w14:paraId="35FE5298" w14:textId="05E1C644" w:rsidR="00107A3F" w:rsidRDefault="00107A3F" w:rsidP="00317A19">
      <w:pPr>
        <w:rPr>
          <w:sz w:val="16"/>
          <w:szCs w:val="16"/>
        </w:rPr>
      </w:pPr>
    </w:p>
    <w:p w14:paraId="417FD95F" w14:textId="77777777" w:rsidR="00107A3F" w:rsidRPr="009A42F9" w:rsidRDefault="00107A3F" w:rsidP="00317A19">
      <w:pPr>
        <w:rPr>
          <w:sz w:val="16"/>
          <w:szCs w:val="16"/>
        </w:rPr>
      </w:pPr>
    </w:p>
    <w:p w14:paraId="294EEDCF" w14:textId="23766261" w:rsidR="00317A19" w:rsidRDefault="00636E59" w:rsidP="00636E59">
      <w:pPr>
        <w:pStyle w:val="Heading2"/>
        <w:numPr>
          <w:ilvl w:val="2"/>
          <w:numId w:val="4"/>
        </w:numPr>
        <w:spacing w:after="240"/>
      </w:pPr>
      <w:bookmarkStart w:id="60" w:name="_Toc519088593"/>
      <w:r>
        <w:t>Lifestyle</w:t>
      </w:r>
      <w:bookmarkEnd w:id="60"/>
    </w:p>
    <w:p w14:paraId="39D95F6A" w14:textId="64A0A4E8" w:rsidR="004A6195" w:rsidRDefault="00F2043B" w:rsidP="00F2043B">
      <w:r w:rsidRPr="00F2043B">
        <w:rPr>
          <w:b/>
        </w:rPr>
        <w:t xml:space="preserve">Active travel to work: </w:t>
      </w:r>
      <w:r>
        <w:rPr>
          <w:b/>
        </w:rPr>
        <w:t xml:space="preserve"> </w:t>
      </w:r>
      <w:r>
        <w:t xml:space="preserve">the proportion of people who reported ‘actively’ travelling to work is significantly higher in Aberdeen City than in Scotland.  In 2015, 22.1% of people in Aberdeen City either walked or cycled to work compared to the Scottish average of 14.9%.  Aberdeen had the second highest rate of all local authorities – only City of Edinburgh was higher (26.4%).  </w:t>
      </w:r>
      <w:r w:rsidR="00B02BFD">
        <w:t>(Source: ScotPHO/SHS)</w:t>
      </w:r>
    </w:p>
    <w:p w14:paraId="01E34E4C" w14:textId="77777777" w:rsidR="00026A32" w:rsidRDefault="00026A32" w:rsidP="00F2043B"/>
    <w:p w14:paraId="7A9D860C" w14:textId="0FE57BD6" w:rsidR="00B02BFD" w:rsidRDefault="00C86747" w:rsidP="00B02BFD">
      <w:r w:rsidRPr="00C86747">
        <w:rPr>
          <w:b/>
          <w:noProof/>
        </w:rPr>
        <mc:AlternateContent>
          <mc:Choice Requires="wps">
            <w:drawing>
              <wp:anchor distT="45720" distB="45720" distL="114300" distR="114300" simplePos="0" relativeHeight="251662336" behindDoc="0" locked="0" layoutInCell="1" allowOverlap="1" wp14:anchorId="71CC7EA1" wp14:editId="4944C477">
                <wp:simplePos x="0" y="0"/>
                <wp:positionH relativeFrom="margin">
                  <wp:align>right</wp:align>
                </wp:positionH>
                <wp:positionV relativeFrom="paragraph">
                  <wp:posOffset>5460</wp:posOffset>
                </wp:positionV>
                <wp:extent cx="2360930" cy="2108200"/>
                <wp:effectExtent l="0" t="0" r="12700" b="25400"/>
                <wp:wrapSquare wrapText="bothSides"/>
                <wp:docPr id="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08579"/>
                        </a:xfrm>
                        <a:prstGeom prst="rect">
                          <a:avLst/>
                        </a:prstGeom>
                        <a:solidFill>
                          <a:srgbClr val="FFFFFF"/>
                        </a:solidFill>
                        <a:ln w="9525">
                          <a:solidFill>
                            <a:srgbClr val="000000"/>
                          </a:solidFill>
                          <a:miter lim="800000"/>
                          <a:headEnd/>
                          <a:tailEnd/>
                        </a:ln>
                      </wps:spPr>
                      <wps:txbx>
                        <w:txbxContent>
                          <w:p w14:paraId="4FEC67C7" w14:textId="77777777" w:rsidR="00175103" w:rsidRPr="00C86747" w:rsidRDefault="00175103" w:rsidP="00C86747">
                            <w:pPr>
                              <w:ind w:left="0"/>
                            </w:pPr>
                            <w:r w:rsidRPr="00C86747">
                              <w:t>Interestingly, when this question was included in the City Voice questionnaire, the findings were very similar to the findings from the SHS, with 84% reporting that they had taken part in some form of physical activity (including walking) in the last 4 weeks.  Again, walking was the most common activity with 70% of respondents choosing this option.</w:t>
                            </w:r>
                          </w:p>
                          <w:p w14:paraId="220AB599" w14:textId="3DD5D8D6" w:rsidR="00175103" w:rsidRDefault="00175103"/>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1CC7EA1" id="_x0000_s1028" type="#_x0000_t202" style="position:absolute;left:0;text-align:left;margin-left:134.7pt;margin-top:.45pt;width:185.9pt;height:166pt;z-index:25166233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nUrJwIAAE4EAAAOAAAAZHJzL2Uyb0RvYy54bWysVNuO2yAQfa/Uf0C8N3a8yW5ixVlts01V&#10;aXuRdvsBGOMYFRgKJHb69R1wNk1vL1X9gBhmOMycM+PV7aAVOQjnJZiKTic5JcJwaKTZVfTz0/bV&#10;ghIfmGmYAiMqehSe3q5fvlj1thQFdKAa4QiCGF/2tqJdCLbMMs87oZmfgBUGnS04zQKabpc1jvWI&#10;rlVW5Pl11oNrrAMuvMfT+9FJ1wm/bQUPH9vWi0BURTG3kFaX1jqu2XrFyp1jtpP8lAb7hyw0kwYf&#10;PUPds8DI3snfoLTkDjy0YcJBZ9C2kotUA1YzzX+p5rFjVqRakBxvzzT5/wfLPxw+OSIb1C6/ocQw&#10;jSI9iSGQ1zCQIvLTW19i2KPFwDDgMcamWr19AP7FEwObjpmduHMO+k6wBvObxpvZxdURx0eQun8P&#10;DT7D9gES0NA6HclDOgiio07HszYxFY6HxdV1vrxCF0dfMc0X85tleoOVz9et8+GtAE3ipqIOxU/w&#10;7PDgQ0yHlc8h8TUPSjZbqVQy3K7eKEcODBtlm74T+k9hypC+ost5MR8Z+CtEnr4/QWgZsOOV1BVd&#10;nINYGXl7Y5rUj4FJNe4xZWVOREbuRhbDUA9Js7M+NTRHZNbB2OA4kLjpwH2jpMfmrqj/umdOUKLe&#10;GVRnOZ3N4jQkYza/KdBwl5760sMMR6iKBkrG7SakCYq8GbhDFVuZ+I1yj5mcUsamTbSfBixOxaWd&#10;on78BtbfAQAA//8DAFBLAwQUAAYACAAAACEApQQmSNsAAAAFAQAADwAAAGRycy9kb3ducmV2Lnht&#10;bEyPzW7CMBCE75X6DtZW4lacgPpDGgdVSFy4kaKWo4m3sSFeR7GB8PbdntrbrGY18025HH0nLjhE&#10;F0hBPs1AIDXBOGoV7D7Wj68gYtJkdBcIFdwwwrK6vyt1YcKVtnipUys4hGKhFdiU+kLK2Fj0Ok5D&#10;j8Tedxi8TnwOrTSDvnK47+Qsy56l1464weoeVxabU332CuIpXz99hePO7jc3Wx/37tNtVkpNHsb3&#10;NxAJx/T3DL/4jA4VMx3CmUwUnQIekhQsQLA3f8l5xoHFfLYAWZXyP331AwAA//8DAFBLAQItABQA&#10;BgAIAAAAIQC2gziS/gAAAOEBAAATAAAAAAAAAAAAAAAAAAAAAABbQ29udGVudF9UeXBlc10ueG1s&#10;UEsBAi0AFAAGAAgAAAAhADj9If/WAAAAlAEAAAsAAAAAAAAAAAAAAAAALwEAAF9yZWxzLy5yZWxz&#10;UEsBAi0AFAAGAAgAAAAhAAKWdSsnAgAATgQAAA4AAAAAAAAAAAAAAAAALgIAAGRycy9lMm9Eb2Mu&#10;eG1sUEsBAi0AFAAGAAgAAAAhAKUEJkjbAAAABQEAAA8AAAAAAAAAAAAAAAAAgQQAAGRycy9kb3du&#10;cmV2LnhtbFBLBQYAAAAABAAEAPMAAACJBQAAAAA=&#10;">
                <v:textbox>
                  <w:txbxContent>
                    <w:p w14:paraId="4FEC67C7" w14:textId="77777777" w:rsidR="00175103" w:rsidRPr="00C86747" w:rsidRDefault="00175103" w:rsidP="00C86747">
                      <w:pPr>
                        <w:ind w:left="0"/>
                      </w:pPr>
                      <w:r w:rsidRPr="00C86747">
                        <w:t>Interestingly, when this question was included in the City Voice questionnaire, the findings were very similar to the findings from the SHS, with 84% reporting that they had taken part in some form of physical activity (including walking) in the last 4 weeks.  Again, walking was the most common activity with 70% of respondents choosing this option.</w:t>
                      </w:r>
                    </w:p>
                    <w:p w14:paraId="220AB599" w14:textId="3DD5D8D6" w:rsidR="00175103" w:rsidRDefault="00175103"/>
                  </w:txbxContent>
                </v:textbox>
                <w10:wrap type="square" anchorx="margin"/>
              </v:shape>
            </w:pict>
          </mc:Fallback>
        </mc:AlternateContent>
      </w:r>
      <w:r w:rsidR="00F2043B">
        <w:rPr>
          <w:b/>
        </w:rPr>
        <w:t>Physical activity:</w:t>
      </w:r>
      <w:r w:rsidR="00F2043B">
        <w:t xml:space="preserve">  </w:t>
      </w:r>
      <w:r w:rsidR="00B02BFD">
        <w:t>In 2016 the proportion of people who reported undertaking some form of physical activity (including walking) in the last 4 weeks was significantly higher in Aberdeen City (85%) than in Scotland (79%).  Walking (at least 30 minutes) was the most commonly reported form of activity for both areas (70% for Aberdeen City and 67% for Scotland).  When walking is excluded, the proportions of people undertaking physical activity was similar in Aberdeen and Scotland (53% compared to 51%).   (Source: SHS 2016</w:t>
      </w:r>
      <w:r w:rsidR="00ED79C3">
        <w:t xml:space="preserve">:  </w:t>
      </w:r>
      <w:hyperlink r:id="rId102" w:history="1">
        <w:r w:rsidR="00ED79C3" w:rsidRPr="00747054">
          <w:rPr>
            <w:rStyle w:val="Hyperlink"/>
          </w:rPr>
          <w:t>http://www.gov.scot/Topics/Statistics/16002/LAtables2016/2016ExcelDownload</w:t>
        </w:r>
      </w:hyperlink>
      <w:r w:rsidR="00ED79C3">
        <w:t xml:space="preserve"> </w:t>
      </w:r>
      <w:r w:rsidR="00B02BFD">
        <w:t>)</w:t>
      </w:r>
    </w:p>
    <w:p w14:paraId="25BBBAD4" w14:textId="77777777" w:rsidR="00026A32" w:rsidRDefault="00026A32" w:rsidP="00B02BFD"/>
    <w:p w14:paraId="0CC0A9D2" w14:textId="14E9639F" w:rsidR="00203A56" w:rsidRDefault="00203A56" w:rsidP="00B02BFD">
      <w:pPr>
        <w:rPr>
          <w:highlight w:val="lightGray"/>
        </w:rPr>
      </w:pPr>
    </w:p>
    <w:p w14:paraId="279243D7" w14:textId="78AA1FAF" w:rsidR="00203A56" w:rsidRDefault="00203A56" w:rsidP="00203A56">
      <w:r w:rsidRPr="00203A56">
        <w:lastRenderedPageBreak/>
        <w:t>Based on Scottish Health Survey data (2013-2016 combined)</w:t>
      </w:r>
      <w:r>
        <w:t>, an estimate</w:t>
      </w:r>
      <w:r w:rsidR="004C75F1">
        <w:t>d</w:t>
      </w:r>
      <w:r>
        <w:t xml:space="preserve"> 68% of adults in Aberdeen City meet the recommended guidelines for physical activity (i.e. </w:t>
      </w:r>
      <w:r w:rsidRPr="00203A56">
        <w:t>150 mins/week of moderate physical activity, 75 mins</w:t>
      </w:r>
      <w:r>
        <w:t xml:space="preserve"> </w:t>
      </w:r>
      <w:r w:rsidRPr="00203A56">
        <w:t>vigorous physical activity, or an equivalent combination of</w:t>
      </w:r>
      <w:r>
        <w:t xml:space="preserve"> </w:t>
      </w:r>
      <w:r w:rsidRPr="00203A56">
        <w:t>these</w:t>
      </w:r>
      <w:r>
        <w:t>)</w:t>
      </w:r>
      <w:r w:rsidRPr="00203A56">
        <w:t>.</w:t>
      </w:r>
      <w:r>
        <w:t xml:space="preserve">  This is higher than the equivalent rate for Scotland of 64%.</w:t>
      </w:r>
    </w:p>
    <w:p w14:paraId="567898F3" w14:textId="77777777" w:rsidR="00203A56" w:rsidRPr="00203A56" w:rsidRDefault="00203A56" w:rsidP="00203A56"/>
    <w:p w14:paraId="33D11F06" w14:textId="52E87011" w:rsidR="00203A56" w:rsidRDefault="00203A56" w:rsidP="00B02BFD">
      <w:pPr>
        <w:rPr>
          <w:highlight w:val="lightGray"/>
        </w:rPr>
      </w:pPr>
      <w:r>
        <w:rPr>
          <w:noProof/>
        </w:rPr>
        <w:drawing>
          <wp:inline distT="0" distB="0" distL="0" distR="0" wp14:anchorId="58D4A15B" wp14:editId="7561F5F3">
            <wp:extent cx="4912995" cy="2463421"/>
            <wp:effectExtent l="0" t="0" r="1905" b="13335"/>
            <wp:docPr id="241" name="Chart 241">
              <a:extLst xmlns:a="http://schemas.openxmlformats.org/drawingml/2006/main">
                <a:ext uri="{FF2B5EF4-FFF2-40B4-BE49-F238E27FC236}">
                  <a16:creationId xmlns:a16="http://schemas.microsoft.com/office/drawing/2014/main" id="{242FF295-858F-4B68-9DAD-E0C1F6978B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195503CF" w14:textId="61503392" w:rsidR="00203A56" w:rsidRDefault="00203A56" w:rsidP="00203A56">
      <w:pPr>
        <w:rPr>
          <w:sz w:val="16"/>
          <w:szCs w:val="16"/>
        </w:rPr>
      </w:pPr>
      <w:r w:rsidRPr="00BB1443">
        <w:rPr>
          <w:sz w:val="16"/>
          <w:szCs w:val="16"/>
        </w:rPr>
        <w:t xml:space="preserve">Source:  Scottish Government, Scottish Health Survey, results for local areas 2013/14/15/16, available at:  </w:t>
      </w:r>
      <w:hyperlink r:id="rId104" w:history="1">
        <w:r w:rsidRPr="00BB1443">
          <w:rPr>
            <w:rStyle w:val="Hyperlink"/>
            <w:sz w:val="16"/>
            <w:szCs w:val="16"/>
          </w:rPr>
          <w:t>http://www.gov.scot/Publications/2017/10/6398/downloads</w:t>
        </w:r>
      </w:hyperlink>
      <w:r w:rsidRPr="00BB1443">
        <w:rPr>
          <w:sz w:val="16"/>
          <w:szCs w:val="16"/>
        </w:rPr>
        <w:t xml:space="preserve"> </w:t>
      </w:r>
    </w:p>
    <w:p w14:paraId="1577D4D9" w14:textId="5377CA5B" w:rsidR="00026A32" w:rsidRDefault="00026A32" w:rsidP="00B02BFD"/>
    <w:p w14:paraId="359AE92A" w14:textId="75CA6A3D" w:rsidR="00026A32" w:rsidRDefault="00026A32" w:rsidP="00B02BFD">
      <w:r w:rsidRPr="00BB1443">
        <w:rPr>
          <w:b/>
        </w:rPr>
        <w:t>Healthy eating/obesity:</w:t>
      </w:r>
      <w:r w:rsidRPr="00026A32">
        <w:rPr>
          <w:b/>
        </w:rPr>
        <w:t xml:space="preserve">  </w:t>
      </w:r>
      <w:r w:rsidR="007308D0" w:rsidRPr="007308D0">
        <w:t>In</w:t>
      </w:r>
      <w:r w:rsidR="00BB1443">
        <w:t xml:space="preserve"> Scotland in</w:t>
      </w:r>
      <w:r w:rsidR="007308D0" w:rsidRPr="007308D0">
        <w:t xml:space="preserve"> 2016, 65% of adults aged 16 and over were overweight, including 29% who were obese.  There was a significant increase between 2003 and 2008, where prevalence of overweight (including obesity) rose from 62% to 65%. Rates have stabilised since.</w:t>
      </w:r>
    </w:p>
    <w:p w14:paraId="715A913B" w14:textId="4D64B6F8" w:rsidR="00BB1443" w:rsidRDefault="00BB1443" w:rsidP="00B02BFD"/>
    <w:p w14:paraId="2BCC1CD7" w14:textId="10743C15" w:rsidR="00BB1443" w:rsidRDefault="00BB1443" w:rsidP="00B02BFD">
      <w:r>
        <w:t>Data from the Scottish Health Survey (2013-2016 combined) estimates that 25% of the population of Aberdeen City are classified as obese (i.e. the</w:t>
      </w:r>
      <w:r w:rsidR="004C75F1">
        <w:t>y</w:t>
      </w:r>
      <w:r>
        <w:t xml:space="preserve"> have a BMI of 30+).  </w:t>
      </w:r>
    </w:p>
    <w:p w14:paraId="52F05132" w14:textId="73D72795" w:rsidR="00BB1443" w:rsidRDefault="00BB1443" w:rsidP="00B02BFD"/>
    <w:p w14:paraId="201663E9" w14:textId="63E1F275" w:rsidR="00BB1443" w:rsidRDefault="00BB1443" w:rsidP="00B02BFD">
      <w:r>
        <w:rPr>
          <w:noProof/>
        </w:rPr>
        <w:drawing>
          <wp:inline distT="0" distB="0" distL="0" distR="0" wp14:anchorId="6E1F6897" wp14:editId="4F1EE85B">
            <wp:extent cx="4872251" cy="2504365"/>
            <wp:effectExtent l="0" t="0" r="5080" b="10795"/>
            <wp:docPr id="240" name="Chart 240">
              <a:extLst xmlns:a="http://schemas.openxmlformats.org/drawingml/2006/main">
                <a:ext uri="{FF2B5EF4-FFF2-40B4-BE49-F238E27FC236}">
                  <a16:creationId xmlns:a16="http://schemas.microsoft.com/office/drawing/2014/main" id="{9C9044B9-8C99-480F-9349-438D405C5F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6B26E076" w14:textId="5CD75416" w:rsidR="00BB1443" w:rsidRDefault="00BB1443" w:rsidP="00B02BFD">
      <w:pPr>
        <w:rPr>
          <w:sz w:val="16"/>
          <w:szCs w:val="16"/>
        </w:rPr>
      </w:pPr>
      <w:r w:rsidRPr="00BB1443">
        <w:rPr>
          <w:sz w:val="16"/>
          <w:szCs w:val="16"/>
        </w:rPr>
        <w:t xml:space="preserve">Source:  Scottish Government, Scottish Health Survey, results for local areas 2013/14/15/16, available at:  </w:t>
      </w:r>
      <w:hyperlink r:id="rId106" w:history="1">
        <w:r w:rsidRPr="00BB1443">
          <w:rPr>
            <w:rStyle w:val="Hyperlink"/>
            <w:sz w:val="16"/>
            <w:szCs w:val="16"/>
          </w:rPr>
          <w:t>http://www.gov.scot/Publications/2017/10/6398/downloads</w:t>
        </w:r>
      </w:hyperlink>
      <w:r w:rsidRPr="00BB1443">
        <w:rPr>
          <w:sz w:val="16"/>
          <w:szCs w:val="16"/>
        </w:rPr>
        <w:t xml:space="preserve"> </w:t>
      </w:r>
    </w:p>
    <w:p w14:paraId="60144E67" w14:textId="4FDCE494" w:rsidR="00BB1443" w:rsidRDefault="00BB1443" w:rsidP="00B02BFD">
      <w:pPr>
        <w:rPr>
          <w:sz w:val="16"/>
          <w:szCs w:val="16"/>
        </w:rPr>
      </w:pPr>
    </w:p>
    <w:p w14:paraId="6839F0E2" w14:textId="4220C254" w:rsidR="002874E7" w:rsidRDefault="002874E7" w:rsidP="00B02BFD">
      <w:pPr>
        <w:rPr>
          <w:sz w:val="16"/>
          <w:szCs w:val="16"/>
        </w:rPr>
      </w:pPr>
    </w:p>
    <w:p w14:paraId="7DCBE3AF" w14:textId="1A6E9197" w:rsidR="002874E7" w:rsidRDefault="002874E7" w:rsidP="00B02BFD">
      <w:pPr>
        <w:rPr>
          <w:sz w:val="16"/>
          <w:szCs w:val="16"/>
        </w:rPr>
      </w:pPr>
    </w:p>
    <w:p w14:paraId="1ED41C9C" w14:textId="51956259" w:rsidR="002874E7" w:rsidRDefault="002874E7" w:rsidP="00B02BFD">
      <w:pPr>
        <w:rPr>
          <w:sz w:val="16"/>
          <w:szCs w:val="16"/>
        </w:rPr>
      </w:pPr>
    </w:p>
    <w:p w14:paraId="6AEAD0FD" w14:textId="2C8F11ED" w:rsidR="002874E7" w:rsidRDefault="002874E7" w:rsidP="00B02BFD">
      <w:pPr>
        <w:rPr>
          <w:sz w:val="16"/>
          <w:szCs w:val="16"/>
        </w:rPr>
      </w:pPr>
    </w:p>
    <w:p w14:paraId="632E2DBD" w14:textId="353FF83D" w:rsidR="004A6195" w:rsidRDefault="004A6195" w:rsidP="004A6195">
      <w:pPr>
        <w:pStyle w:val="Heading2"/>
        <w:numPr>
          <w:ilvl w:val="1"/>
          <w:numId w:val="4"/>
        </w:numPr>
      </w:pPr>
      <w:bookmarkStart w:id="61" w:name="_Toc519088594"/>
      <w:r>
        <w:lastRenderedPageBreak/>
        <w:t>Health</w:t>
      </w:r>
      <w:bookmarkEnd w:id="61"/>
      <w:r>
        <w:t xml:space="preserve"> </w:t>
      </w:r>
    </w:p>
    <w:p w14:paraId="3E430489" w14:textId="77777777" w:rsidR="002874E7" w:rsidRDefault="002874E7" w:rsidP="001A5748"/>
    <w:p w14:paraId="7E8C44DC" w14:textId="2F6D0019" w:rsidR="001A5748" w:rsidRDefault="001A5748" w:rsidP="001A5748">
      <w:pPr>
        <w:pStyle w:val="Heading2"/>
        <w:numPr>
          <w:ilvl w:val="2"/>
          <w:numId w:val="4"/>
        </w:numPr>
      </w:pPr>
      <w:bookmarkStart w:id="62" w:name="_Toc519088595"/>
      <w:r>
        <w:t>General health</w:t>
      </w:r>
      <w:bookmarkEnd w:id="62"/>
    </w:p>
    <w:p w14:paraId="6B40B2CE" w14:textId="709718F2" w:rsidR="001A5748" w:rsidRDefault="001A5748" w:rsidP="001A5748"/>
    <w:p w14:paraId="6FA4EC3B" w14:textId="2BC74B39" w:rsidR="001A5748" w:rsidRDefault="00B04977" w:rsidP="001A5748">
      <w:r w:rsidRPr="00B04977">
        <w:rPr>
          <w:b/>
          <w:bCs/>
        </w:rPr>
        <w:t xml:space="preserve">Self-rated health:  </w:t>
      </w:r>
      <w:r w:rsidR="001A5748" w:rsidRPr="001A5748">
        <w:rPr>
          <w:bCs/>
        </w:rPr>
        <w:t>Information on self-rated health was collected in the 2011 Census</w:t>
      </w:r>
      <w:r w:rsidR="001A5748" w:rsidRPr="001A5748">
        <w:rPr>
          <w:b/>
          <w:bCs/>
        </w:rPr>
        <w:t xml:space="preserve">.  </w:t>
      </w:r>
      <w:r w:rsidR="001A5748" w:rsidRPr="001A5748">
        <w:t xml:space="preserve">When asked “How is your health in general?” </w:t>
      </w:r>
      <w:r w:rsidR="001A5748">
        <w:t>85.7% of</w:t>
      </w:r>
      <w:r w:rsidR="001A5748" w:rsidRPr="001A5748">
        <w:t xml:space="preserve"> people in Aberdeen rated their health as either very good (54.3%) or good (31.4%), slightly higher than the corresponding Scottish figures (52.5% and 29.7%).  10.4% rated their health as fair and the remaining 3.9% rated it as bad or very bad.  </w:t>
      </w:r>
      <w:r w:rsidR="001A5748">
        <w:t>However, those in the older age group (65+ years) were less likely than those in the younger age groups to rate their health as good or very good (58.1% of those aged 65+ years compared to 98.2% of 0-15 year-olds and 88.7% of 16-64 year-olds).</w:t>
      </w:r>
    </w:p>
    <w:p w14:paraId="6CE2D732" w14:textId="1A835ADD" w:rsidR="00B04977" w:rsidRDefault="00B04977" w:rsidP="001A5748"/>
    <w:p w14:paraId="69803675" w14:textId="179D9610" w:rsidR="00B04977" w:rsidRDefault="00C86747" w:rsidP="001A5748">
      <w:r w:rsidRPr="00C86747">
        <w:rPr>
          <w:b/>
          <w:bCs/>
          <w:noProof/>
        </w:rPr>
        <mc:AlternateContent>
          <mc:Choice Requires="wps">
            <w:drawing>
              <wp:anchor distT="45720" distB="45720" distL="114300" distR="114300" simplePos="0" relativeHeight="251664384" behindDoc="0" locked="0" layoutInCell="1" allowOverlap="1" wp14:anchorId="609896CB" wp14:editId="0E9E0B75">
                <wp:simplePos x="0" y="0"/>
                <wp:positionH relativeFrom="column">
                  <wp:posOffset>3111500</wp:posOffset>
                </wp:positionH>
                <wp:positionV relativeFrom="paragraph">
                  <wp:posOffset>5715</wp:posOffset>
                </wp:positionV>
                <wp:extent cx="2593340" cy="1576070"/>
                <wp:effectExtent l="0" t="0" r="16510" b="24130"/>
                <wp:wrapSquare wrapText="bothSides"/>
                <wp:docPr id="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3340" cy="1576070"/>
                        </a:xfrm>
                        <a:prstGeom prst="rect">
                          <a:avLst/>
                        </a:prstGeom>
                        <a:solidFill>
                          <a:srgbClr val="FFFFFF"/>
                        </a:solidFill>
                        <a:ln w="9525">
                          <a:solidFill>
                            <a:srgbClr val="000000"/>
                          </a:solidFill>
                          <a:miter lim="800000"/>
                          <a:headEnd/>
                          <a:tailEnd/>
                        </a:ln>
                      </wps:spPr>
                      <wps:txbx>
                        <w:txbxContent>
                          <w:p w14:paraId="14AAACCD" w14:textId="4ED62340" w:rsidR="00175103" w:rsidRPr="00C86747" w:rsidRDefault="00175103" w:rsidP="00C86747">
                            <w:pPr>
                              <w:ind w:left="0"/>
                            </w:pPr>
                            <w:r w:rsidRPr="00C86747">
                              <w:t>In the 42</w:t>
                            </w:r>
                            <w:r w:rsidRPr="00C86747">
                              <w:rPr>
                                <w:vertAlign w:val="superscript"/>
                              </w:rPr>
                              <w:t>nd</w:t>
                            </w:r>
                            <w:r w:rsidRPr="00C86747">
                              <w:t xml:space="preserve"> City Voice questionnaire, panellists were asked to rate their health.  Almost three quarters (73%) of respondents to this question rated their health as very good (25%) or good (47%). Only 6% rated their general health as bad (5%) or very bad (1%). Similar to the findings from the Scottish Health Survey.  </w:t>
                            </w:r>
                          </w:p>
                          <w:p w14:paraId="461B75F2" w14:textId="550E450B" w:rsidR="00175103" w:rsidRDefault="0017510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9896CB" id="_x0000_s1029" type="#_x0000_t202" style="position:absolute;left:0;text-align:left;margin-left:245pt;margin-top:.45pt;width:204.2pt;height:124.1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941JwIAAE4EAAAOAAAAZHJzL2Uyb0RvYy54bWysVNuO2yAQfa/Uf0C8N3Zum40VZ7XNNlWl&#10;7UXa7QdgjGNUYCiQ2OnXd8BJGm3bl6p+QAwzHGbOmfHqrteKHITzEkxJx6OcEmE41NLsSvr1efvm&#10;lhIfmKmZAiNKehSe3q1fv1p1thATaEHVwhEEMb7obEnbEGyRZZ63QjM/AisMOhtwmgU03S6rHesQ&#10;Xatskuc3WQeutg648B5PHwYnXSf8phE8fG4aLwJRJcXcQlpdWqu4ZusVK3aO2VbyUxrsH7LQTBp8&#10;9AL1wAIjeyd/g9KSO/DQhBEHnUHTSC5SDVjNOH9RzVPLrEi1IDneXmjy/w+Wfzp8cUTWqF2OUhmm&#10;UaRn0QfyFnoyifx01hcY9mQxMPR4jLGpVm8fgX/zxMCmZWYn7p2DrhWsxvzG8WZ2dXXA8RGk6j5C&#10;jc+wfYAE1DdOR/KQDoLoqNPxok1MhePhZL6cTmfo4ugbzxc3+SKpl7HifN06H94L0CRuSupQ/ATP&#10;Do8+xHRYcQ6Jr3lQst5KpZLhdtVGOXJg2Cjb9KUKXoQpQ7qSLueT+cDAXyHy9P0JQsuAHa+kLunt&#10;JYgVkbd3pk79GJhUwx5TVuZEZORuYDH0VZ80m571qaA+IrMOhgbHgcRNC+4HJR02d0n99z1zghL1&#10;waA6y/EsUhmSMZsvJmi4a0917WGGI1RJAyXDdhPSBEXeDNyjio1M/Ea5h0xOKWPTJtpPAxan4tpO&#10;Ub9+A+ufAAAA//8DAFBLAwQUAAYACAAAACEAMC6vyd4AAAAIAQAADwAAAGRycy9kb3ducmV2Lnht&#10;bEyPwU7DMBBE70j8g7VIXBB1WqISh2wqhASCGxQEVzfeJhHxOthuGv4ec4LjaEYzb6rNbAcxkQ+9&#10;Y4TlIgNB3DjTc4vw9np/WYAIUbPRg2NC+KYAm/r0pNKlcUd+oWkbW5FKOJQaoYtxLKUMTUdWh4Ub&#10;iZO3d97qmKRvpfH6mMrtIFdZtpZW95wWOj3SXUfN5/ZgEYr8cfoIT1fP7816P6h4cT09fHnE87P5&#10;9gZEpDn+heEXP6FDnZh27sAmiAEhV1n6EhEUiGQXqshB7BBWuVqCrCv5/0D9AwAA//8DAFBLAQIt&#10;ABQABgAIAAAAIQC2gziS/gAAAOEBAAATAAAAAAAAAAAAAAAAAAAAAABbQ29udGVudF9UeXBlc10u&#10;eG1sUEsBAi0AFAAGAAgAAAAhADj9If/WAAAAlAEAAAsAAAAAAAAAAAAAAAAALwEAAF9yZWxzLy5y&#10;ZWxzUEsBAi0AFAAGAAgAAAAhAMPP3jUnAgAATgQAAA4AAAAAAAAAAAAAAAAALgIAAGRycy9lMm9E&#10;b2MueG1sUEsBAi0AFAAGAAgAAAAhADAur8neAAAACAEAAA8AAAAAAAAAAAAAAAAAgQQAAGRycy9k&#10;b3ducmV2LnhtbFBLBQYAAAAABAAEAPMAAACMBQAAAAA=&#10;">
                <v:textbox>
                  <w:txbxContent>
                    <w:p w14:paraId="14AAACCD" w14:textId="4ED62340" w:rsidR="00175103" w:rsidRPr="00C86747" w:rsidRDefault="00175103" w:rsidP="00C86747">
                      <w:pPr>
                        <w:ind w:left="0"/>
                      </w:pPr>
                      <w:r w:rsidRPr="00C86747">
                        <w:t>In the 42</w:t>
                      </w:r>
                      <w:r w:rsidRPr="00C86747">
                        <w:rPr>
                          <w:vertAlign w:val="superscript"/>
                        </w:rPr>
                        <w:t>nd</w:t>
                      </w:r>
                      <w:r w:rsidRPr="00C86747">
                        <w:t xml:space="preserve"> City Voice questionnaire, panellists were asked to rate their health.  Almost three quarters (73%) of respondents to this question rated their health as very good (25%) or good (47%). Only 6% rated their general health as bad (5%) or very bad (1%). Similar to the findings from the Scottish Health Survey.  </w:t>
                      </w:r>
                    </w:p>
                    <w:p w14:paraId="461B75F2" w14:textId="550E450B" w:rsidR="00175103" w:rsidRDefault="00175103"/>
                  </w:txbxContent>
                </v:textbox>
                <w10:wrap type="square"/>
              </v:shape>
            </w:pict>
          </mc:Fallback>
        </mc:AlternateContent>
      </w:r>
      <w:r w:rsidR="00B04977">
        <w:t>More recently, data from the Scottish Health Survey for the period 2013-2016 combined showed that 77% of people in Aberdeen rated their health as good or very good – higher than the respective rate for Scotland of 74%.</w:t>
      </w:r>
    </w:p>
    <w:p w14:paraId="20DA1AA6" w14:textId="780E749C" w:rsidR="00B04977" w:rsidRPr="00B04977" w:rsidRDefault="00B04977" w:rsidP="001A5748">
      <w:pPr>
        <w:rPr>
          <w:sz w:val="16"/>
          <w:szCs w:val="16"/>
        </w:rPr>
      </w:pPr>
      <w:r w:rsidRPr="00B04977">
        <w:rPr>
          <w:sz w:val="16"/>
          <w:szCs w:val="16"/>
        </w:rPr>
        <w:t xml:space="preserve">Source: Scottish Health Survey, Results for Local Areas, available at: </w:t>
      </w:r>
      <w:hyperlink r:id="rId107" w:history="1">
        <w:r w:rsidRPr="00B04977">
          <w:rPr>
            <w:rStyle w:val="Hyperlink"/>
            <w:sz w:val="16"/>
            <w:szCs w:val="16"/>
          </w:rPr>
          <w:t>http://www.gov.scot/Publications/2017/10/6398/downloads</w:t>
        </w:r>
      </w:hyperlink>
      <w:r w:rsidRPr="00B04977">
        <w:rPr>
          <w:sz w:val="16"/>
          <w:szCs w:val="16"/>
        </w:rPr>
        <w:t xml:space="preserve"> </w:t>
      </w:r>
    </w:p>
    <w:p w14:paraId="6CD87824" w14:textId="77777777" w:rsidR="00B04977" w:rsidRDefault="00B04977" w:rsidP="001A5748"/>
    <w:p w14:paraId="12F0ED44" w14:textId="77777777" w:rsidR="00B04977" w:rsidRDefault="00B04977" w:rsidP="001A5748"/>
    <w:p w14:paraId="20D79F04" w14:textId="1758A6FC" w:rsidR="001A5748" w:rsidRDefault="00B04977" w:rsidP="001A5748">
      <w:pPr>
        <w:rPr>
          <w:bCs/>
        </w:rPr>
      </w:pPr>
      <w:r w:rsidRPr="00B04977">
        <w:rPr>
          <w:b/>
          <w:bCs/>
        </w:rPr>
        <w:t>Long-term illness:</w:t>
      </w:r>
      <w:r>
        <w:rPr>
          <w:bCs/>
        </w:rPr>
        <w:t xml:space="preserve">  </w:t>
      </w:r>
      <w:r w:rsidR="001A5748" w:rsidRPr="001A5748">
        <w:rPr>
          <w:bCs/>
        </w:rPr>
        <w:t xml:space="preserve">The 2011 Census also collected information on the presence of a long-term health problem or disability.  People were asked “Are your day-to-day activities limited because of a health problem or disability which has lasted, or is expected to last, at least 12 months?”  In Aberdeen, 7% of people reported a health problem or disability which limited activities ‘a lot’ and 9.0% which limited activities ‘a little’.  Both these figures are slightly below comparative figures for Scotland of 9.6% and 10.1%.  </w:t>
      </w:r>
      <w:r w:rsidR="008B1005">
        <w:rPr>
          <w:bCs/>
        </w:rPr>
        <w:t>Again</w:t>
      </w:r>
      <w:r w:rsidR="007B5BFF">
        <w:rPr>
          <w:bCs/>
        </w:rPr>
        <w:t>,</w:t>
      </w:r>
      <w:r w:rsidR="008B1005">
        <w:rPr>
          <w:bCs/>
        </w:rPr>
        <w:t xml:space="preserve"> the proportion of people whose activities were limited was highest in the 65+ year group, with 24.6% saying their activities were limited ‘a lot’ and 26.5% saying their activities were limited ‘a little’.</w:t>
      </w:r>
    </w:p>
    <w:p w14:paraId="5429D8B8" w14:textId="651C7E96" w:rsidR="008B1005" w:rsidRDefault="008B1005" w:rsidP="001A5748"/>
    <w:p w14:paraId="11313AC7" w14:textId="4BC1A6FC" w:rsidR="008B1005" w:rsidRPr="00D86EDC" w:rsidRDefault="008B1005" w:rsidP="001A5748">
      <w:pPr>
        <w:rPr>
          <w:sz w:val="16"/>
          <w:szCs w:val="16"/>
        </w:rPr>
      </w:pPr>
      <w:r w:rsidRPr="00D86EDC">
        <w:rPr>
          <w:sz w:val="16"/>
          <w:szCs w:val="16"/>
        </w:rPr>
        <w:t xml:space="preserve">Source: Scotland’s Census 2011 – National Records of Scotland, Available at </w:t>
      </w:r>
      <w:hyperlink r:id="rId108" w:history="1">
        <w:r w:rsidRPr="00D86EDC">
          <w:rPr>
            <w:rStyle w:val="Hyperlink"/>
            <w:sz w:val="16"/>
            <w:szCs w:val="16"/>
          </w:rPr>
          <w:t>http://www.scotlandscensus.gov.uk</w:t>
        </w:r>
      </w:hyperlink>
    </w:p>
    <w:p w14:paraId="42EF4ED5" w14:textId="04AF1EB8" w:rsidR="008B1005" w:rsidRDefault="008B1005" w:rsidP="001A5748"/>
    <w:p w14:paraId="4D3A286C" w14:textId="2439C95B" w:rsidR="00D86EDC" w:rsidRDefault="00260830" w:rsidP="001A5748">
      <w:r>
        <w:t xml:space="preserve">A similar question in the </w:t>
      </w:r>
      <w:r w:rsidR="00D86EDC">
        <w:t>Scottish Health Survey</w:t>
      </w:r>
      <w:r>
        <w:t xml:space="preserve"> asked about limiting long-term illnesses.  In Aberdeen</w:t>
      </w:r>
      <w:r w:rsidR="00D86EDC">
        <w:t xml:space="preserve"> (2013-2016 combined data), 28% reported having a limiting long-term illness with a further 15% reporting having a non-limiting long</w:t>
      </w:r>
      <w:r>
        <w:t>-</w:t>
      </w:r>
      <w:r w:rsidR="00D86EDC">
        <w:t>term illness</w:t>
      </w:r>
      <w:r>
        <w:t xml:space="preserve"> (compared to 32% and 15% respectively for Scotland)</w:t>
      </w:r>
      <w:r w:rsidR="00D86EDC">
        <w:t xml:space="preserve">. </w:t>
      </w:r>
      <w:r>
        <w:t xml:space="preserve"> 57% reported having no long-term illness – higher than the rate for Scotland of 53%.</w:t>
      </w:r>
      <w:r w:rsidR="00D86EDC">
        <w:t xml:space="preserve"> </w:t>
      </w:r>
    </w:p>
    <w:p w14:paraId="28249891" w14:textId="77777777" w:rsidR="00260830" w:rsidRPr="00260830" w:rsidRDefault="00260830" w:rsidP="00260830">
      <w:pPr>
        <w:rPr>
          <w:sz w:val="16"/>
          <w:szCs w:val="16"/>
        </w:rPr>
      </w:pPr>
      <w:r w:rsidRPr="00260830">
        <w:rPr>
          <w:sz w:val="16"/>
          <w:szCs w:val="16"/>
        </w:rPr>
        <w:t xml:space="preserve">Source: Scottish Health Survey, Results for Local Areas, available at: </w:t>
      </w:r>
      <w:hyperlink r:id="rId109" w:history="1">
        <w:r w:rsidRPr="00260830">
          <w:rPr>
            <w:rStyle w:val="Hyperlink"/>
            <w:sz w:val="16"/>
            <w:szCs w:val="16"/>
          </w:rPr>
          <w:t>http://www.gov.scot/Publications/2017/10/6398/downloads</w:t>
        </w:r>
      </w:hyperlink>
      <w:r w:rsidRPr="00260830">
        <w:rPr>
          <w:sz w:val="16"/>
          <w:szCs w:val="16"/>
        </w:rPr>
        <w:t xml:space="preserve"> </w:t>
      </w:r>
    </w:p>
    <w:p w14:paraId="0CF0E9E0" w14:textId="77777777" w:rsidR="00203A56" w:rsidRDefault="00203A56" w:rsidP="00260830">
      <w:pPr>
        <w:ind w:left="0"/>
      </w:pPr>
      <w:bookmarkStart w:id="63" w:name="_Hlk517343156"/>
    </w:p>
    <w:p w14:paraId="27ABCCD0" w14:textId="531045E4" w:rsidR="0069089B" w:rsidRDefault="0069089B" w:rsidP="0069089B">
      <w:pPr>
        <w:pStyle w:val="Heading2"/>
        <w:numPr>
          <w:ilvl w:val="2"/>
          <w:numId w:val="4"/>
        </w:numPr>
        <w:spacing w:after="240"/>
      </w:pPr>
      <w:bookmarkStart w:id="64" w:name="_Toc519088596"/>
      <w:r>
        <w:t>Mental health</w:t>
      </w:r>
      <w:bookmarkEnd w:id="64"/>
    </w:p>
    <w:p w14:paraId="0AEB78A5" w14:textId="77777777" w:rsidR="00330EB8" w:rsidRDefault="009C3607" w:rsidP="009C3607">
      <w:pPr>
        <w:rPr>
          <w:lang w:val="en"/>
        </w:rPr>
      </w:pPr>
      <w:r w:rsidRPr="009C3607">
        <w:rPr>
          <w:b/>
        </w:rPr>
        <w:t xml:space="preserve">Dementia:  </w:t>
      </w:r>
      <w:r w:rsidR="004E76D2">
        <w:t>I</w:t>
      </w:r>
      <w:r w:rsidR="004E76D2" w:rsidRPr="004E76D2">
        <w:t>n 2017</w:t>
      </w:r>
      <w:r w:rsidR="004E76D2">
        <w:t xml:space="preserve"> dementia and Alzheimer’s disease accounted for 11.3% of all deaths in Scotland (the second most common cause of death).</w:t>
      </w:r>
      <w:r w:rsidR="004E76D2">
        <w:rPr>
          <w:b/>
        </w:rPr>
        <w:t xml:space="preserve">  </w:t>
      </w:r>
      <w:r w:rsidR="004E76D2" w:rsidRPr="004E76D2">
        <w:t>Between 2016 and 2017 t</w:t>
      </w:r>
      <w:r w:rsidR="004E76D2" w:rsidRPr="004E76D2">
        <w:rPr>
          <w:lang w:val="en"/>
        </w:rPr>
        <w:t>he number of deaths from dementia and Alzheimer’s disease rose by 17.6</w:t>
      </w:r>
      <w:r w:rsidR="004E76D2">
        <w:rPr>
          <w:lang w:val="en"/>
        </w:rPr>
        <w:t xml:space="preserve">% </w:t>
      </w:r>
      <w:r w:rsidR="004E76D2" w:rsidRPr="004E76D2">
        <w:rPr>
          <w:lang w:val="en"/>
        </w:rPr>
        <w:t>to 6,549 (although part of this increase will be due to a change in methodology</w:t>
      </w:r>
      <w:r w:rsidR="004E76D2">
        <w:rPr>
          <w:lang w:val="en"/>
        </w:rPr>
        <w:t>).</w:t>
      </w:r>
      <w:r w:rsidR="00330EB8">
        <w:rPr>
          <w:lang w:val="en"/>
        </w:rPr>
        <w:t xml:space="preserve">  </w:t>
      </w:r>
    </w:p>
    <w:p w14:paraId="1AC25B18" w14:textId="77777777" w:rsidR="00330EB8" w:rsidRDefault="00330EB8" w:rsidP="009C3607">
      <w:pPr>
        <w:rPr>
          <w:lang w:val="en"/>
        </w:rPr>
      </w:pPr>
    </w:p>
    <w:p w14:paraId="6B58A5AE" w14:textId="2AC03A6F" w:rsidR="004E76D2" w:rsidRPr="004E76D2" w:rsidRDefault="00330EB8" w:rsidP="009C3607">
      <w:r>
        <w:rPr>
          <w:lang w:val="en"/>
        </w:rPr>
        <w:lastRenderedPageBreak/>
        <w:t xml:space="preserve">In Aberdeen City in 2017, dementia and Alzheimer’s disease accounted for 10.4% of all deaths (221 deaths of which 150 were female and 71 were male).  </w:t>
      </w:r>
    </w:p>
    <w:p w14:paraId="3F9F8706" w14:textId="77777777" w:rsidR="004E76D2" w:rsidRDefault="004E76D2" w:rsidP="009C3607"/>
    <w:p w14:paraId="7D9904EC" w14:textId="5EEA8AF5" w:rsidR="004E5970" w:rsidRPr="009C3607" w:rsidRDefault="00B038AA" w:rsidP="009C3607">
      <w:r>
        <w:t>According to Alzheimer’s Scotland, i</w:t>
      </w:r>
      <w:r w:rsidR="009C3607" w:rsidRPr="009C3607">
        <w:t>n 201</w:t>
      </w:r>
      <w:r w:rsidR="00330EB8">
        <w:t>7</w:t>
      </w:r>
      <w:r w:rsidR="009C3607" w:rsidRPr="009C3607">
        <w:t xml:space="preserve"> there were an estimated </w:t>
      </w:r>
      <w:r w:rsidR="00330EB8">
        <w:t>3,455</w:t>
      </w:r>
      <w:r w:rsidR="009C3607" w:rsidRPr="009C3607">
        <w:t xml:space="preserve"> people with dementia in Aberdeen City</w:t>
      </w:r>
      <w:r w:rsidR="004E5970">
        <w:t xml:space="preserve"> (equivalent to 1.5% of the population)</w:t>
      </w:r>
      <w:r w:rsidR="009C3607" w:rsidRPr="009C3607">
        <w:t xml:space="preserve">. </w:t>
      </w:r>
      <w:r w:rsidR="002874E7">
        <w:t xml:space="preserve"> </w:t>
      </w:r>
      <w:r w:rsidR="001D5713">
        <w:t xml:space="preserve">Most people with dementia are 65 years or over (approximately 96% at Scotland level).   </w:t>
      </w:r>
    </w:p>
    <w:p w14:paraId="267C5D35" w14:textId="7896A311" w:rsidR="009C3607" w:rsidRDefault="009C3607" w:rsidP="009C3607"/>
    <w:p w14:paraId="45FAC613" w14:textId="3C9634E6" w:rsidR="00944119" w:rsidRDefault="00944119" w:rsidP="009C3607">
      <w:r w:rsidRPr="00944119">
        <w:t xml:space="preserve">Source: Alzheimer’s Scotland, available at:  </w:t>
      </w:r>
      <w:hyperlink r:id="rId110" w:history="1">
        <w:r w:rsidRPr="00944119">
          <w:rPr>
            <w:rStyle w:val="Hyperlink"/>
          </w:rPr>
          <w:t>https://www.alzscot.org/campaigning/statistics</w:t>
        </w:r>
      </w:hyperlink>
    </w:p>
    <w:p w14:paraId="39764DFD" w14:textId="77777777" w:rsidR="00944119" w:rsidRDefault="00944119" w:rsidP="009C3607"/>
    <w:p w14:paraId="1C2970E9" w14:textId="0BF6A306" w:rsidR="009C3607" w:rsidRDefault="002874E7" w:rsidP="009C3607">
      <w:r>
        <w:t>It is e</w:t>
      </w:r>
      <w:r w:rsidR="009C3607">
        <w:t xml:space="preserve">stimated that </w:t>
      </w:r>
      <w:r w:rsidR="00944119">
        <w:t>0.</w:t>
      </w:r>
      <w:r w:rsidR="009C3607">
        <w:t xml:space="preserve">7% of patients in QoF registered GP practices in Grampian have a diagnosis of dementia (2016).  </w:t>
      </w:r>
    </w:p>
    <w:p w14:paraId="4185D17D" w14:textId="77777777" w:rsidR="009C3607" w:rsidRPr="009C3607" w:rsidRDefault="009C3607" w:rsidP="009C3607"/>
    <w:p w14:paraId="04DD041C" w14:textId="15CEF2E1" w:rsidR="0069089B" w:rsidRDefault="009413D6" w:rsidP="0069089B">
      <w:r w:rsidRPr="009413D6">
        <w:rPr>
          <w:b/>
          <w:noProof/>
        </w:rPr>
        <mc:AlternateContent>
          <mc:Choice Requires="wps">
            <w:drawing>
              <wp:anchor distT="45720" distB="45720" distL="114300" distR="114300" simplePos="0" relativeHeight="251666432" behindDoc="0" locked="0" layoutInCell="1" allowOverlap="1" wp14:anchorId="3F486879" wp14:editId="5D14DF7E">
                <wp:simplePos x="0" y="0"/>
                <wp:positionH relativeFrom="column">
                  <wp:posOffset>3377565</wp:posOffset>
                </wp:positionH>
                <wp:positionV relativeFrom="paragraph">
                  <wp:posOffset>112395</wp:posOffset>
                </wp:positionV>
                <wp:extent cx="2630805" cy="1814830"/>
                <wp:effectExtent l="0" t="0" r="17145" b="13970"/>
                <wp:wrapSquare wrapText="bothSides"/>
                <wp:docPr id="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0805" cy="1814830"/>
                        </a:xfrm>
                        <a:prstGeom prst="rect">
                          <a:avLst/>
                        </a:prstGeom>
                        <a:solidFill>
                          <a:srgbClr val="FFFFFF"/>
                        </a:solidFill>
                        <a:ln w="9525">
                          <a:solidFill>
                            <a:srgbClr val="000000"/>
                          </a:solidFill>
                          <a:miter lim="800000"/>
                          <a:headEnd/>
                          <a:tailEnd/>
                        </a:ln>
                      </wps:spPr>
                      <wps:txbx>
                        <w:txbxContent>
                          <w:p w14:paraId="1CF526C0" w14:textId="2BFF2CEA" w:rsidR="00175103" w:rsidRPr="009413D6" w:rsidRDefault="00175103" w:rsidP="009413D6">
                            <w:pPr>
                              <w:ind w:left="0"/>
                            </w:pPr>
                            <w:r w:rsidRPr="009413D6">
                              <w:t>The 41</w:t>
                            </w:r>
                            <w:r w:rsidRPr="009413D6">
                              <w:rPr>
                                <w:vertAlign w:val="superscript"/>
                              </w:rPr>
                              <w:t>st</w:t>
                            </w:r>
                            <w:r w:rsidRPr="009413D6">
                              <w:t xml:space="preserve"> City Voice questionnaire asked panellists questions relating to mental health.  Panellists were asked how likely they would be to talk to someone if they had a mental health issue – for example a family member, a friend, or a work colleague.  </w:t>
                            </w:r>
                            <w:r>
                              <w:t>60</w:t>
                            </w:r>
                            <w:r w:rsidRPr="009413D6">
                              <w:t>% of respondents</w:t>
                            </w:r>
                            <w:r>
                              <w:t xml:space="preserve"> reported</w:t>
                            </w:r>
                            <w:r w:rsidRPr="009413D6">
                              <w:t xml:space="preserve"> were likely </w:t>
                            </w:r>
                            <w:r>
                              <w:t>or</w:t>
                            </w:r>
                            <w:r w:rsidRPr="009413D6">
                              <w:t xml:space="preserve"> very likely to talk to someone if they had mental health issues.</w:t>
                            </w:r>
                          </w:p>
                          <w:p w14:paraId="2F99E049" w14:textId="7847DF95" w:rsidR="00175103" w:rsidRDefault="0017510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486879" id="_x0000_s1030" type="#_x0000_t202" style="position:absolute;left:0;text-align:left;margin-left:265.95pt;margin-top:8.85pt;width:207.15pt;height:142.9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9RXKQIAAE4EAAAOAAAAZHJzL2Uyb0RvYy54bWysVNtu2zAMfR+wfxD0vthxky4x4hRdugwD&#10;ugvQ7gNkWY6FSaImKbG7ry8lJ1nQbS/D/CCIInVEnkN6dTNoRQ7CeQmmotNJTokwHBppdhX99rh9&#10;s6DEB2YapsCIij4JT2/Wr1+teluKAjpQjXAEQYwve1vRLgRbZpnnndDMT8AKg84WnGYBTbfLGsd6&#10;RNcqK/L8OuvBNdYBF97j6d3opOuE37aChy9t60UgqqKYW0irS2sd12y9YuXOMdtJfkyD/UMWmkmD&#10;j56h7lhgZO/kb1Bacgce2jDhoDNoW8lFqgGrmeYvqnnomBWpFiTH2zNN/v/B8s+Hr47IBrXLl5QY&#10;plGkRzEE8g4GUkR+eutLDHuwGBgGPMbYVKu398C/e2Jg0zGzE7fOQd8J1mB+03gzu7g64vgIUvef&#10;oMFn2D5AAhpapyN5SAdBdNTp6axNTIXjYXF9lS/yOSUcfdPFdLa4SuplrDxdt86HDwI0iZuKOhQ/&#10;wbPDvQ8xHVaeQuJrHpRstlKpZLhdvVGOHBg2yjZ9qYIXYcqQvqLLeTEfGfgrRJ6+P0FoGbDjldQV&#10;XZyDWBl5e2+a1I+BSTXuMWVljkRG7kYWw1APSbPZSZ8amidk1sHY4DiQuOnA/aSkx+auqP+xZ05Q&#10;oj4aVGc5nc3iNCRjNn9boOEuPfWlhxmOUBUNlIzbTUgTFHkzcIsqtjLxG+UeMzmmjE2baD8OWJyK&#10;SztF/foNrJ8BAAD//wMAUEsDBBQABgAIAAAAIQCB0rnl4QAAAAoBAAAPAAAAZHJzL2Rvd25yZXYu&#10;eG1sTI/LTsMwEEX3SPyDNUhsEHXatEkT4lQICQQ7aCvYuvE0ifAj2G4a/p5hBcvRPbr3TLWZjGYj&#10;+tA7K2A+S4ChbZzqbStgv3u8XQMLUVoltbMo4BsDbOrLi0qWyp3tG47b2DIqsaGUAroYh5Lz0HRo&#10;ZJi5AS1lR+eNjHT6lisvz1RuNF8kScaN7C0tdHLAhw6bz+3JCFgvn8eP8JK+vjfZURfxJh+fvrwQ&#10;11fT/R2wiFP8g+FXn9ShJqeDO1kVmBawSucFoRTkOTACimW2AHYQkCbpCnhd8f8v1D8AAAD//wMA&#10;UEsBAi0AFAAGAAgAAAAhALaDOJL+AAAA4QEAABMAAAAAAAAAAAAAAAAAAAAAAFtDb250ZW50X1R5&#10;cGVzXS54bWxQSwECLQAUAAYACAAAACEAOP0h/9YAAACUAQAACwAAAAAAAAAAAAAAAAAvAQAAX3Jl&#10;bHMvLnJlbHNQSwECLQAUAAYACAAAACEAAwPUVykCAABOBAAADgAAAAAAAAAAAAAAAAAuAgAAZHJz&#10;L2Uyb0RvYy54bWxQSwECLQAUAAYACAAAACEAgdK55eEAAAAKAQAADwAAAAAAAAAAAAAAAACDBAAA&#10;ZHJzL2Rvd25yZXYueG1sUEsFBgAAAAAEAAQA8wAAAJEFAAAAAA==&#10;">
                <v:textbox>
                  <w:txbxContent>
                    <w:p w14:paraId="1CF526C0" w14:textId="2BFF2CEA" w:rsidR="00175103" w:rsidRPr="009413D6" w:rsidRDefault="00175103" w:rsidP="009413D6">
                      <w:pPr>
                        <w:ind w:left="0"/>
                      </w:pPr>
                      <w:r w:rsidRPr="009413D6">
                        <w:t>The 41</w:t>
                      </w:r>
                      <w:r w:rsidRPr="009413D6">
                        <w:rPr>
                          <w:vertAlign w:val="superscript"/>
                        </w:rPr>
                        <w:t>st</w:t>
                      </w:r>
                      <w:r w:rsidRPr="009413D6">
                        <w:t xml:space="preserve"> City Voice questionnaire asked panellists questions relating to mental health.  Panellists were asked how likely they would be to talk to someone if they had a mental health issue – for example a family member, a friend, or a work colleague.  </w:t>
                      </w:r>
                      <w:r>
                        <w:t>60</w:t>
                      </w:r>
                      <w:r w:rsidRPr="009413D6">
                        <w:t>% of respondents</w:t>
                      </w:r>
                      <w:r>
                        <w:t xml:space="preserve"> reported</w:t>
                      </w:r>
                      <w:r w:rsidRPr="009413D6">
                        <w:t xml:space="preserve"> were likely </w:t>
                      </w:r>
                      <w:r>
                        <w:t>or</w:t>
                      </w:r>
                      <w:r w:rsidRPr="009413D6">
                        <w:t xml:space="preserve"> very likely to talk to someone if they had mental health issues.</w:t>
                      </w:r>
                    </w:p>
                    <w:p w14:paraId="2F99E049" w14:textId="7847DF95" w:rsidR="00175103" w:rsidRDefault="00175103"/>
                  </w:txbxContent>
                </v:textbox>
                <w10:wrap type="square"/>
              </v:shape>
            </w:pict>
          </mc:Fallback>
        </mc:AlternateContent>
      </w:r>
      <w:r w:rsidR="0069089B" w:rsidRPr="00765E99">
        <w:rPr>
          <w:b/>
        </w:rPr>
        <w:t xml:space="preserve">Prescriptions for anxiety/depression/psychosis:  </w:t>
      </w:r>
      <w:r w:rsidR="0069089B">
        <w:t>In 2016/17 (financial year) 35,342 people in Aberdeen City were prescribed drugs for anxiety, depression or psychosis.  This is equivalent to 15.4% of the population – significantly lower than the proportion for Scotland of 18.5%.  The proportion of people receiving prescriptions for these conditions has increased significantly in recent years, from 12.5% in 2009/10 to 15.4% in 2016/17.  A similar trend has been seen in Scotland.</w:t>
      </w:r>
    </w:p>
    <w:p w14:paraId="3647D684" w14:textId="6CF7E78B" w:rsidR="00772123" w:rsidRDefault="00772123" w:rsidP="0069089B"/>
    <w:p w14:paraId="6A6A167E" w14:textId="77777777" w:rsidR="0069089B" w:rsidRDefault="0069089B" w:rsidP="0069089B">
      <w:r>
        <w:rPr>
          <w:noProof/>
        </w:rPr>
        <w:drawing>
          <wp:inline distT="0" distB="0" distL="0" distR="0" wp14:anchorId="4D3FE5F6" wp14:editId="0290A9F2">
            <wp:extent cx="4572000" cy="2329732"/>
            <wp:effectExtent l="0" t="0" r="0" b="13970"/>
            <wp:docPr id="51" name="Chart 51">
              <a:extLst xmlns:a="http://schemas.openxmlformats.org/drawingml/2006/main">
                <a:ext uri="{FF2B5EF4-FFF2-40B4-BE49-F238E27FC236}">
                  <a16:creationId xmlns:a16="http://schemas.microsoft.com/office/drawing/2014/main" id="{992F6BA2-4428-459A-A7F5-C40DB0665B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02EDDB56" w14:textId="77777777" w:rsidR="0069089B" w:rsidRPr="00772123" w:rsidRDefault="0069089B" w:rsidP="0069089B">
      <w:pPr>
        <w:rPr>
          <w:sz w:val="16"/>
          <w:szCs w:val="16"/>
        </w:rPr>
      </w:pPr>
      <w:r w:rsidRPr="00772123">
        <w:rPr>
          <w:sz w:val="16"/>
          <w:szCs w:val="16"/>
        </w:rPr>
        <w:t>Source: ScotPHO Health and Wellbeing Profiles</w:t>
      </w:r>
    </w:p>
    <w:p w14:paraId="7A041382" w14:textId="77777777" w:rsidR="0069089B" w:rsidRDefault="0069089B" w:rsidP="0069089B">
      <w:r>
        <w:t xml:space="preserve"> </w:t>
      </w:r>
    </w:p>
    <w:p w14:paraId="096D54F3" w14:textId="17927A64" w:rsidR="0069089B" w:rsidRDefault="0069089B" w:rsidP="0069089B">
      <w:r>
        <w:t>The proportion of people receiving drugs for anxiety, depression or psychosis varied by Intermediate Zone, ranging from a low of 9.3% in West End South to a high of 22.0% in Mastrick.</w:t>
      </w:r>
    </w:p>
    <w:p w14:paraId="696E1116" w14:textId="77777777" w:rsidR="00026A32" w:rsidRDefault="00026A32" w:rsidP="0069089B"/>
    <w:p w14:paraId="0E640F39" w14:textId="77777777" w:rsidR="0069089B" w:rsidRDefault="0069089B" w:rsidP="0069089B">
      <w:r>
        <w:rPr>
          <w:noProof/>
        </w:rPr>
        <w:lastRenderedPageBreak/>
        <w:drawing>
          <wp:inline distT="0" distB="0" distL="0" distR="0" wp14:anchorId="0E642A15" wp14:editId="05EFC9E4">
            <wp:extent cx="5349922" cy="2743200"/>
            <wp:effectExtent l="0" t="0" r="3175" b="0"/>
            <wp:docPr id="52" name="Chart 52">
              <a:extLst xmlns:a="http://schemas.openxmlformats.org/drawingml/2006/main">
                <a:ext uri="{FF2B5EF4-FFF2-40B4-BE49-F238E27FC236}">
                  <a16:creationId xmlns:a16="http://schemas.microsoft.com/office/drawing/2014/main" id="{B99AC4D2-A736-4489-B016-BEAD052A57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2FA8AFAF" w14:textId="77777777" w:rsidR="0069089B" w:rsidRPr="00D94299" w:rsidRDefault="0069089B" w:rsidP="0069089B">
      <w:r w:rsidRPr="00D94299">
        <w:t>Source: ScotPHO Health and Wellbeing Profiles</w:t>
      </w:r>
    </w:p>
    <w:p w14:paraId="7568AC54" w14:textId="77777777" w:rsidR="0069089B" w:rsidRDefault="0069089B" w:rsidP="0069089B"/>
    <w:p w14:paraId="4BA817F6" w14:textId="7FC45F10" w:rsidR="0069089B" w:rsidRDefault="0069089B" w:rsidP="0069089B">
      <w:r w:rsidRPr="00D94299">
        <w:rPr>
          <w:b/>
        </w:rPr>
        <w:t xml:space="preserve">Patients with psychiatric hospitalisation:  </w:t>
      </w:r>
      <w:r w:rsidRPr="00D94299">
        <w:t>between 2013/14 and 2015/16</w:t>
      </w:r>
      <w:r>
        <w:rPr>
          <w:b/>
        </w:rPr>
        <w:t xml:space="preserve"> </w:t>
      </w:r>
      <w:r>
        <w:t>there were an average of 571 patients per year who were hospitalised with a mental health condition.  This is equivalent to a rate (age-sex standardised, 3-year aggregates) of 257.1 per 100,000 population – slightly lower than the rate for Scotland of 269.7 per 100,000 population.  The rate of patients with psychiatric hospitalisation has decreased over the past 10 years from 348.2 per 100,000 population in 2002/03-2004/05.</w:t>
      </w:r>
    </w:p>
    <w:p w14:paraId="2D671AB2" w14:textId="77777777" w:rsidR="00772123" w:rsidRDefault="00772123" w:rsidP="0069089B"/>
    <w:p w14:paraId="0928EB90" w14:textId="77777777" w:rsidR="0069089B" w:rsidRDefault="0069089B" w:rsidP="0069089B">
      <w:r>
        <w:rPr>
          <w:noProof/>
        </w:rPr>
        <w:drawing>
          <wp:inline distT="0" distB="0" distL="0" distR="0" wp14:anchorId="5DFAC023" wp14:editId="149C4692">
            <wp:extent cx="5398935" cy="2743200"/>
            <wp:effectExtent l="0" t="0" r="11430" b="0"/>
            <wp:docPr id="54" name="Chart 54">
              <a:extLst xmlns:a="http://schemas.openxmlformats.org/drawingml/2006/main">
                <a:ext uri="{FF2B5EF4-FFF2-40B4-BE49-F238E27FC236}">
                  <a16:creationId xmlns:a16="http://schemas.microsoft.com/office/drawing/2014/main" id="{5A5658BD-253E-4022-9A56-47AAF6C866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01E1B148" w14:textId="30A434F1" w:rsidR="0069089B" w:rsidRPr="00772123" w:rsidRDefault="0069089B" w:rsidP="0069089B">
      <w:pPr>
        <w:rPr>
          <w:sz w:val="16"/>
          <w:szCs w:val="16"/>
        </w:rPr>
      </w:pPr>
      <w:r w:rsidRPr="00772123">
        <w:rPr>
          <w:sz w:val="16"/>
          <w:szCs w:val="16"/>
        </w:rPr>
        <w:t>Source: ScotPHO Health and Wellbeing Profiles</w:t>
      </w:r>
    </w:p>
    <w:p w14:paraId="268FC2F7" w14:textId="77777777" w:rsidR="0069089B" w:rsidRPr="00DC2C57" w:rsidRDefault="0069089B" w:rsidP="0069089B"/>
    <w:p w14:paraId="4A5AD2F3" w14:textId="3689D526" w:rsidR="0069089B" w:rsidRDefault="0069089B" w:rsidP="0069089B">
      <w:r>
        <w:t xml:space="preserve">The rate of psychiatric hospitalisations varied by Intermediate Zone, ranging from a low of 92.4 per 100,000 population in Balgownie and Donmouth East to a high of 793.6 Ashgrove. </w:t>
      </w:r>
    </w:p>
    <w:p w14:paraId="60C2DE2E" w14:textId="744E78F9" w:rsidR="0069089B" w:rsidRDefault="0069089B" w:rsidP="0069089B"/>
    <w:p w14:paraId="681D40EF" w14:textId="77777777" w:rsidR="0069089B" w:rsidRDefault="0069089B" w:rsidP="0069089B">
      <w:r>
        <w:rPr>
          <w:noProof/>
        </w:rPr>
        <w:lastRenderedPageBreak/>
        <w:drawing>
          <wp:inline distT="0" distB="0" distL="0" distR="0" wp14:anchorId="4BB73C4E" wp14:editId="2AF3A03F">
            <wp:extent cx="5353050" cy="2615979"/>
            <wp:effectExtent l="0" t="0" r="0" b="13335"/>
            <wp:docPr id="53" name="Chart 53">
              <a:extLst xmlns:a="http://schemas.openxmlformats.org/drawingml/2006/main">
                <a:ext uri="{FF2B5EF4-FFF2-40B4-BE49-F238E27FC236}">
                  <a16:creationId xmlns:a16="http://schemas.microsoft.com/office/drawing/2014/main" id="{45C3309D-AAF4-4880-930B-FF3A3B12C1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41061776" w14:textId="03527570" w:rsidR="0069089B" w:rsidRDefault="0069089B" w:rsidP="0069089B">
      <w:r w:rsidRPr="00DC2C57">
        <w:t>Source: ScotPHO Health and Wellbeing Profiles</w:t>
      </w:r>
    </w:p>
    <w:p w14:paraId="0D700D20" w14:textId="77777777" w:rsidR="00026A32" w:rsidRDefault="00026A32" w:rsidP="0069089B"/>
    <w:p w14:paraId="152FB5D9" w14:textId="399BA547" w:rsidR="0069089B" w:rsidRDefault="0069089B" w:rsidP="0069089B">
      <w:r w:rsidRPr="00DC2C57">
        <w:rPr>
          <w:b/>
        </w:rPr>
        <w:t xml:space="preserve">Deaths from suicide:  </w:t>
      </w:r>
      <w:r w:rsidRPr="00116AA9">
        <w:t xml:space="preserve">between 2012 and 2016 there were an average of 31 deaths a year </w:t>
      </w:r>
      <w:r>
        <w:t xml:space="preserve">(5-year rolling average) in Aberdeen City which were </w:t>
      </w:r>
      <w:r w:rsidRPr="00116AA9">
        <w:t>classified as probable suicide.</w:t>
      </w:r>
      <w:r>
        <w:rPr>
          <w:b/>
        </w:rPr>
        <w:t xml:space="preserve">  </w:t>
      </w:r>
      <w:r>
        <w:t xml:space="preserve">The rate of </w:t>
      </w:r>
      <w:r w:rsidRPr="00116AA9">
        <w:t xml:space="preserve">13.9 per 100,000 population </w:t>
      </w:r>
      <w:r>
        <w:t xml:space="preserve">(age-sex standardised, 5-year aggregates) is the same as that for Scotland.  Overall, the rate of deaths from suicide </w:t>
      </w:r>
      <w:r w:rsidRPr="00116AA9">
        <w:t xml:space="preserve">in Aberdeen City </w:t>
      </w:r>
      <w:r>
        <w:t xml:space="preserve">has decreased </w:t>
      </w:r>
      <w:r w:rsidRPr="00116AA9">
        <w:t xml:space="preserve">over the past 10 years </w:t>
      </w:r>
      <w:r>
        <w:t>(from 17.3 per 100,000 population in 2002-2006), however there have been slight increases in the last two sets of figures.</w:t>
      </w:r>
    </w:p>
    <w:p w14:paraId="23207348" w14:textId="77777777" w:rsidR="0069089B" w:rsidRDefault="0069089B" w:rsidP="0069089B"/>
    <w:p w14:paraId="19590170" w14:textId="77777777" w:rsidR="0069089B" w:rsidRDefault="0069089B" w:rsidP="0069089B">
      <w:r>
        <w:rPr>
          <w:noProof/>
        </w:rPr>
        <w:drawing>
          <wp:inline distT="0" distB="0" distL="0" distR="0" wp14:anchorId="19022739" wp14:editId="2198355E">
            <wp:extent cx="5390515" cy="2385392"/>
            <wp:effectExtent l="0" t="0" r="635" b="15240"/>
            <wp:docPr id="55" name="Chart 55">
              <a:extLst xmlns:a="http://schemas.openxmlformats.org/drawingml/2006/main">
                <a:ext uri="{FF2B5EF4-FFF2-40B4-BE49-F238E27FC236}">
                  <a16:creationId xmlns:a16="http://schemas.microsoft.com/office/drawing/2014/main" id="{0B6E7980-858F-4779-9EC3-0ADD358241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0698F74A" w14:textId="77777777" w:rsidR="0069089B" w:rsidRPr="00116AA9" w:rsidRDefault="0069089B" w:rsidP="0069089B">
      <w:r w:rsidRPr="00116AA9">
        <w:t>Source: ScotPHO Health and Wellbeing Profiles</w:t>
      </w:r>
    </w:p>
    <w:p w14:paraId="35537DF1" w14:textId="77777777" w:rsidR="0069089B" w:rsidRDefault="0069089B" w:rsidP="0069089B"/>
    <w:p w14:paraId="5F1358E5" w14:textId="3C4704AD" w:rsidR="0069089B" w:rsidRDefault="0069089B" w:rsidP="0069089B">
      <w:r w:rsidRPr="00937AF2">
        <w:t>While local level data is not available, in Scotland in 2016 a higher number of males (517) than females (211) had deaths recorded as probable suicide.  Hanging (358) and poisoning (201) were the two most common methods recorded.  The most common age for male probable suicides was 50-54 years and for females it was 45-49 years</w:t>
      </w:r>
      <w:sdt>
        <w:sdtPr>
          <w:id w:val="-541437127"/>
          <w:citation/>
        </w:sdtPr>
        <w:sdtContent>
          <w:r w:rsidRPr="00937AF2">
            <w:fldChar w:fldCharType="begin"/>
          </w:r>
          <w:r w:rsidRPr="00937AF2">
            <w:instrText xml:space="preserve"> CITATION Nat18 \l 2057 </w:instrText>
          </w:r>
          <w:r w:rsidRPr="00937AF2">
            <w:fldChar w:fldCharType="separate"/>
          </w:r>
          <w:r w:rsidR="00D22E3D">
            <w:rPr>
              <w:noProof/>
            </w:rPr>
            <w:t xml:space="preserve"> (1)</w:t>
          </w:r>
          <w:r w:rsidRPr="00937AF2">
            <w:fldChar w:fldCharType="end"/>
          </w:r>
        </w:sdtContent>
      </w:sdt>
      <w:r w:rsidRPr="00937AF2">
        <w:t>.</w:t>
      </w:r>
      <w:r>
        <w:t xml:space="preserve">  </w:t>
      </w:r>
    </w:p>
    <w:p w14:paraId="2468302E" w14:textId="77777777" w:rsidR="00C5119B" w:rsidRDefault="00C5119B" w:rsidP="0069089B"/>
    <w:p w14:paraId="154FB253" w14:textId="1F6932A3" w:rsidR="0069089B" w:rsidRDefault="0069089B" w:rsidP="0069089B">
      <w:r>
        <w:t xml:space="preserve">In Aberdeen City the rate of deaths from probable suicide ranges from a low 0.0 per 100,000 population in both Balgownie and Donmouth East and Kingswells, to a high of 50.0 per 100,000 population in City Centre West. </w:t>
      </w:r>
    </w:p>
    <w:p w14:paraId="21C86511" w14:textId="77777777" w:rsidR="0069089B" w:rsidRDefault="0069089B" w:rsidP="0069089B"/>
    <w:p w14:paraId="129A1B71" w14:textId="77777777" w:rsidR="0069089B" w:rsidRDefault="0069089B" w:rsidP="0069089B">
      <w:r>
        <w:rPr>
          <w:noProof/>
        </w:rPr>
        <w:lastRenderedPageBreak/>
        <w:drawing>
          <wp:inline distT="0" distB="0" distL="0" distR="0" wp14:anchorId="6FDC0F4E" wp14:editId="26987447">
            <wp:extent cx="5375081" cy="2743200"/>
            <wp:effectExtent l="0" t="0" r="16510" b="0"/>
            <wp:docPr id="56" name="Chart 56">
              <a:extLst xmlns:a="http://schemas.openxmlformats.org/drawingml/2006/main">
                <a:ext uri="{FF2B5EF4-FFF2-40B4-BE49-F238E27FC236}">
                  <a16:creationId xmlns:a16="http://schemas.microsoft.com/office/drawing/2014/main" id="{77606D63-7A4B-4721-9302-20C6374647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3D1B7EF0" w14:textId="77777777" w:rsidR="0069089B" w:rsidRPr="00C5119B" w:rsidRDefault="0069089B" w:rsidP="0069089B">
      <w:pPr>
        <w:rPr>
          <w:sz w:val="16"/>
          <w:szCs w:val="16"/>
        </w:rPr>
      </w:pPr>
      <w:r w:rsidRPr="00C5119B">
        <w:rPr>
          <w:sz w:val="16"/>
          <w:szCs w:val="16"/>
        </w:rPr>
        <w:t>Source: ScotPHO Health and Wellbeing Profiles</w:t>
      </w:r>
    </w:p>
    <w:bookmarkEnd w:id="63"/>
    <w:p w14:paraId="29943942" w14:textId="77777777" w:rsidR="0069089B" w:rsidRPr="001A5748" w:rsidRDefault="0069089B" w:rsidP="001A5748"/>
    <w:p w14:paraId="4F7D3223" w14:textId="7563DA96" w:rsidR="001A5748" w:rsidRDefault="001A5748" w:rsidP="001A5748">
      <w:pPr>
        <w:pStyle w:val="Heading2"/>
        <w:numPr>
          <w:ilvl w:val="2"/>
          <w:numId w:val="4"/>
        </w:numPr>
      </w:pPr>
      <w:bookmarkStart w:id="65" w:name="_Toc519088597"/>
      <w:r>
        <w:t>Key diseases</w:t>
      </w:r>
      <w:bookmarkEnd w:id="65"/>
    </w:p>
    <w:p w14:paraId="4E786DBB" w14:textId="77777777" w:rsidR="001A5748" w:rsidRDefault="001A5748" w:rsidP="00A12C56"/>
    <w:p w14:paraId="39CE3566" w14:textId="7D0316D7" w:rsidR="003F4930" w:rsidRDefault="00A12C56" w:rsidP="00A12C56">
      <w:r w:rsidRPr="00A12C56">
        <w:t xml:space="preserve">Cancer and circulatory diseases (such as coronary heart disease and stroke) together account for over half of all causes of death in Aberdeen City.  </w:t>
      </w:r>
      <w:r>
        <w:t xml:space="preserve">In 2016, </w:t>
      </w:r>
      <w:r w:rsidR="00151605" w:rsidRPr="00151605">
        <w:t>almost a third (3</w:t>
      </w:r>
      <w:r w:rsidR="00151605">
        <w:t>1</w:t>
      </w:r>
      <w:r w:rsidR="00151605" w:rsidRPr="00151605">
        <w:t>%) of male deaths and a quarter (2</w:t>
      </w:r>
      <w:r w:rsidR="00151605">
        <w:t>5</w:t>
      </w:r>
      <w:r w:rsidR="00151605" w:rsidRPr="00151605">
        <w:t>%) of female deaths were caused by cancer, and 2</w:t>
      </w:r>
      <w:r w:rsidR="00151605">
        <w:t>7</w:t>
      </w:r>
      <w:r w:rsidR="00151605" w:rsidRPr="00151605">
        <w:t xml:space="preserve">% of male deaths and </w:t>
      </w:r>
      <w:r w:rsidR="00151605">
        <w:t>27</w:t>
      </w:r>
      <w:r w:rsidR="00151605" w:rsidRPr="00151605">
        <w:t>% of female deaths were caused by circulatory diseases</w:t>
      </w:r>
      <w:r w:rsidR="00151605">
        <w:t>.</w:t>
      </w:r>
    </w:p>
    <w:p w14:paraId="7A9041EB" w14:textId="77777777" w:rsidR="00E0467A" w:rsidRDefault="00E0467A" w:rsidP="00A12C56"/>
    <w:p w14:paraId="1F8AEC99" w14:textId="1733EECC" w:rsidR="00151605" w:rsidRDefault="00151605" w:rsidP="00A12C56">
      <w:r>
        <w:rPr>
          <w:noProof/>
        </w:rPr>
        <w:drawing>
          <wp:inline distT="0" distB="0" distL="0" distR="0" wp14:anchorId="50D2A271" wp14:editId="6F64D146">
            <wp:extent cx="4572000" cy="2743200"/>
            <wp:effectExtent l="0" t="0" r="0" b="0"/>
            <wp:docPr id="68" name="Chart 68">
              <a:extLst xmlns:a="http://schemas.openxmlformats.org/drawingml/2006/main">
                <a:ext uri="{FF2B5EF4-FFF2-40B4-BE49-F238E27FC236}">
                  <a16:creationId xmlns:a16="http://schemas.microsoft.com/office/drawing/2014/main" id="{793DD2CA-4022-4638-9BCE-0CF6BE38A8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3E5CB9B6" w14:textId="37682BE0" w:rsidR="002D19F9" w:rsidRPr="002D19F9" w:rsidRDefault="002D19F9" w:rsidP="00A12C56">
      <w:pPr>
        <w:rPr>
          <w:sz w:val="16"/>
          <w:szCs w:val="16"/>
        </w:rPr>
      </w:pPr>
      <w:r w:rsidRPr="002D19F9">
        <w:rPr>
          <w:sz w:val="16"/>
          <w:szCs w:val="16"/>
        </w:rPr>
        <w:t xml:space="preserve">Source: National Records of Scotland, Vital Events Reference Tables 2016, Section 6: Deaths – Causes, available at: </w:t>
      </w:r>
      <w:hyperlink r:id="rId118" w:history="1">
        <w:r w:rsidRPr="002D19F9">
          <w:rPr>
            <w:rStyle w:val="Hyperlink"/>
            <w:sz w:val="16"/>
            <w:szCs w:val="16"/>
          </w:rPr>
          <w:t>https://www.nrscotland.gov.uk/statistics-and-data/statistics/statistics-by-theme/vital-events/general-publications/vital-events-reference-tables/2016/section-6-death-causes</w:t>
        </w:r>
      </w:hyperlink>
      <w:r w:rsidRPr="002D19F9">
        <w:rPr>
          <w:sz w:val="16"/>
          <w:szCs w:val="16"/>
        </w:rPr>
        <w:t xml:space="preserve"> </w:t>
      </w:r>
    </w:p>
    <w:p w14:paraId="03525D95" w14:textId="2B20313F" w:rsidR="00151605" w:rsidRDefault="00151605" w:rsidP="00A12C56"/>
    <w:p w14:paraId="0D0DFA48" w14:textId="18FD4415" w:rsidR="00151605" w:rsidRDefault="00151605" w:rsidP="00A12C56">
      <w:r>
        <w:rPr>
          <w:noProof/>
        </w:rPr>
        <w:lastRenderedPageBreak/>
        <w:drawing>
          <wp:inline distT="0" distB="0" distL="0" distR="0" wp14:anchorId="2AFAC986" wp14:editId="6AEFC27D">
            <wp:extent cx="4572000" cy="2743200"/>
            <wp:effectExtent l="0" t="0" r="0" b="0"/>
            <wp:docPr id="69" name="Chart 69">
              <a:extLst xmlns:a="http://schemas.openxmlformats.org/drawingml/2006/main">
                <a:ext uri="{FF2B5EF4-FFF2-40B4-BE49-F238E27FC236}">
                  <a16:creationId xmlns:a16="http://schemas.microsoft.com/office/drawing/2014/main" id="{9ADD1AD1-D771-49AD-ABAB-AEECD587B5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4729A1C9" w14:textId="32680EF0" w:rsidR="002D19F9" w:rsidRPr="002D19F9" w:rsidRDefault="002D19F9" w:rsidP="00A12C56">
      <w:pPr>
        <w:rPr>
          <w:sz w:val="16"/>
          <w:szCs w:val="16"/>
        </w:rPr>
      </w:pPr>
      <w:r w:rsidRPr="002D19F9">
        <w:rPr>
          <w:sz w:val="16"/>
          <w:szCs w:val="16"/>
        </w:rPr>
        <w:t xml:space="preserve">Source: National Records of Scotland, Vital Events Reference Tables 2016, Section 6: Deaths – Causes, available at: </w:t>
      </w:r>
      <w:hyperlink r:id="rId120" w:history="1">
        <w:r w:rsidRPr="002D19F9">
          <w:rPr>
            <w:rStyle w:val="Hyperlink"/>
            <w:sz w:val="16"/>
            <w:szCs w:val="16"/>
          </w:rPr>
          <w:t>https://www.nrscotland.gov.uk/statistics-and-data/statistics/statistics-by-theme/vital-events/general-publications/vital-events-reference-tables/2016/section-6-death-causes</w:t>
        </w:r>
      </w:hyperlink>
    </w:p>
    <w:p w14:paraId="004DB197" w14:textId="77777777" w:rsidR="002D19F9" w:rsidRDefault="002D19F9" w:rsidP="00A12C56"/>
    <w:p w14:paraId="7A17AB63" w14:textId="1CF16753" w:rsidR="00146101" w:rsidRDefault="00146101" w:rsidP="00146101">
      <w:r w:rsidRPr="00146101">
        <w:rPr>
          <w:b/>
        </w:rPr>
        <w:t>Cancer</w:t>
      </w:r>
      <w:r w:rsidR="00D96B5F">
        <w:rPr>
          <w:b/>
        </w:rPr>
        <w:t xml:space="preserve"> – new registrations</w:t>
      </w:r>
      <w:r w:rsidRPr="00146101">
        <w:rPr>
          <w:b/>
        </w:rPr>
        <w:t>:</w:t>
      </w:r>
      <w:r>
        <w:t xml:space="preserve">  Between 2013 and 2015 there were an average of 1,192 new cancer registrations per year </w:t>
      </w:r>
      <w:r w:rsidR="00FF3101">
        <w:t xml:space="preserve">(3-year rolling average) </w:t>
      </w:r>
      <w:r>
        <w:t xml:space="preserve">in Aberdeen City.  This is equivalent to a rate (age-sex standardised) of 657.5 per 100,000 population which is higher than the equivalent rate for Scotland of 644.9. </w:t>
      </w:r>
      <w:r w:rsidR="00283266">
        <w:t xml:space="preserve"> The rate of new cancer registrations in Aberdeen increased sharply between 2012-2014 and 2013-2015, bringing the rate to its highest level for more than 10 years.</w:t>
      </w:r>
    </w:p>
    <w:p w14:paraId="7691D97E" w14:textId="77777777" w:rsidR="002D19F9" w:rsidRDefault="002D19F9" w:rsidP="00146101"/>
    <w:p w14:paraId="1D0C702C" w14:textId="67D8E108" w:rsidR="00CE443C" w:rsidRDefault="00CE443C" w:rsidP="00283266">
      <w:r>
        <w:rPr>
          <w:noProof/>
        </w:rPr>
        <w:drawing>
          <wp:inline distT="0" distB="0" distL="0" distR="0" wp14:anchorId="43D5AD51" wp14:editId="04C00033">
            <wp:extent cx="5112688" cy="2743200"/>
            <wp:effectExtent l="0" t="0" r="12065" b="0"/>
            <wp:docPr id="22" name="Chart 22">
              <a:extLst xmlns:a="http://schemas.openxmlformats.org/drawingml/2006/main">
                <a:ext uri="{FF2B5EF4-FFF2-40B4-BE49-F238E27FC236}">
                  <a16:creationId xmlns:a16="http://schemas.microsoft.com/office/drawing/2014/main" id="{7158411A-D873-4FEF-8F6C-3BC9AC4405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482575BB" w14:textId="7F022234" w:rsidR="00283266" w:rsidRDefault="00283266" w:rsidP="00283266">
      <w:pPr>
        <w:rPr>
          <w:sz w:val="16"/>
          <w:szCs w:val="16"/>
        </w:rPr>
      </w:pPr>
      <w:r w:rsidRPr="002D19F9">
        <w:rPr>
          <w:sz w:val="16"/>
          <w:szCs w:val="16"/>
        </w:rPr>
        <w:t>Source: ScotPHO Health and Wellbeing Profiles</w:t>
      </w:r>
    </w:p>
    <w:p w14:paraId="0FE71E21" w14:textId="15206262" w:rsidR="00FF3101" w:rsidRPr="002D19F9" w:rsidRDefault="00FF3101" w:rsidP="00283266">
      <w:pPr>
        <w:rPr>
          <w:sz w:val="16"/>
          <w:szCs w:val="16"/>
        </w:rPr>
      </w:pPr>
      <w:r>
        <w:rPr>
          <w:sz w:val="16"/>
          <w:szCs w:val="16"/>
        </w:rPr>
        <w:t>Rate per 100,000 population, directly age-sex standardised</w:t>
      </w:r>
    </w:p>
    <w:p w14:paraId="53725DFC" w14:textId="77777777" w:rsidR="002D19F9" w:rsidRPr="00283266" w:rsidRDefault="002D19F9" w:rsidP="00283266"/>
    <w:p w14:paraId="74FC9B70" w14:textId="5E7842D4" w:rsidR="00283266" w:rsidRDefault="00283266" w:rsidP="00146101">
      <w:r>
        <w:t xml:space="preserve">The rate of new cancer registrations varies across the City </w:t>
      </w:r>
      <w:r w:rsidR="002D19F9">
        <w:t xml:space="preserve">(Intermediate Zones) </w:t>
      </w:r>
      <w:r>
        <w:t xml:space="preserve">ranging from a low of 416.4 </w:t>
      </w:r>
      <w:r w:rsidR="002D19F9">
        <w:t xml:space="preserve">per 100,000 population in Denmore </w:t>
      </w:r>
      <w:r>
        <w:t>to a high of 1,358.6 per 100,000 population</w:t>
      </w:r>
      <w:r w:rsidR="002D19F9">
        <w:t xml:space="preserve"> in Hanover South</w:t>
      </w:r>
      <w:r>
        <w:t>.</w:t>
      </w:r>
    </w:p>
    <w:p w14:paraId="46A89974" w14:textId="77777777" w:rsidR="00C5119B" w:rsidRDefault="00C5119B" w:rsidP="00146101"/>
    <w:p w14:paraId="5803CA18" w14:textId="6C92D81B" w:rsidR="00283266" w:rsidRDefault="00283266" w:rsidP="00283266">
      <w:r>
        <w:rPr>
          <w:noProof/>
        </w:rPr>
        <w:lastRenderedPageBreak/>
        <w:drawing>
          <wp:inline distT="0" distB="0" distL="0" distR="0" wp14:anchorId="2B8AF2C2" wp14:editId="34B18B34">
            <wp:extent cx="5239909" cy="2743200"/>
            <wp:effectExtent l="0" t="0" r="18415" b="0"/>
            <wp:docPr id="58" name="Chart 58">
              <a:extLst xmlns:a="http://schemas.openxmlformats.org/drawingml/2006/main">
                <a:ext uri="{FF2B5EF4-FFF2-40B4-BE49-F238E27FC236}">
                  <a16:creationId xmlns:a16="http://schemas.microsoft.com/office/drawing/2014/main" id="{AF9155E0-3E9F-4FC7-BCFB-D2041DC295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063C3E30" w14:textId="77777777" w:rsidR="00D96B5F" w:rsidRPr="00D96B5F" w:rsidRDefault="00D96B5F" w:rsidP="00D96B5F">
      <w:pPr>
        <w:rPr>
          <w:sz w:val="16"/>
          <w:szCs w:val="16"/>
        </w:rPr>
      </w:pPr>
      <w:r w:rsidRPr="00D96B5F">
        <w:rPr>
          <w:sz w:val="16"/>
          <w:szCs w:val="16"/>
        </w:rPr>
        <w:t>Source: ScotPHO Health and Wellbeing Profiles</w:t>
      </w:r>
    </w:p>
    <w:p w14:paraId="502A7A1F" w14:textId="39EE1787" w:rsidR="00D96B5F" w:rsidRPr="00D96B5F" w:rsidRDefault="00D96B5F" w:rsidP="00D96B5F">
      <w:pPr>
        <w:rPr>
          <w:sz w:val="16"/>
          <w:szCs w:val="16"/>
        </w:rPr>
      </w:pPr>
      <w:r w:rsidRPr="00D96B5F">
        <w:rPr>
          <w:sz w:val="16"/>
          <w:szCs w:val="16"/>
        </w:rPr>
        <w:t xml:space="preserve">Rate per 100,000 population; </w:t>
      </w:r>
      <w:r w:rsidR="00FF3101">
        <w:rPr>
          <w:sz w:val="16"/>
          <w:szCs w:val="16"/>
        </w:rPr>
        <w:t>directly age-sex standardised</w:t>
      </w:r>
    </w:p>
    <w:p w14:paraId="7371ACE6" w14:textId="4DAB6A69" w:rsidR="00283266" w:rsidRDefault="00283266" w:rsidP="00146101"/>
    <w:p w14:paraId="701F09C7" w14:textId="7F0365ED" w:rsidR="00D96B5F" w:rsidRDefault="002D19F9" w:rsidP="00146101">
      <w:r w:rsidRPr="002D19F9">
        <w:rPr>
          <w:b/>
        </w:rPr>
        <w:t>Cancer – early deaths (&lt;75 years)</w:t>
      </w:r>
      <w:r>
        <w:rPr>
          <w:b/>
        </w:rPr>
        <w:t xml:space="preserve">:  </w:t>
      </w:r>
      <w:r>
        <w:t xml:space="preserve">between 2014 and 2016 there were an average of 283 early deaths </w:t>
      </w:r>
      <w:r w:rsidR="00FF3101">
        <w:t xml:space="preserve">per year (3-year rolling average) </w:t>
      </w:r>
      <w:r>
        <w:t xml:space="preserve">from cancer.  This is equivalent to a rate (age-sex standardised) of 168.3 per 100,000 population – slightly higher than the equivalent rate for Scotland of 163.8 per 100,000 population. </w:t>
      </w:r>
      <w:r w:rsidR="00D96B5F">
        <w:t xml:space="preserve"> Rates of early deaths ranged from a low of 64.1 per 100,000 population in Kingswells to a high of 420.1 per 100,000 population in City Centre East.</w:t>
      </w:r>
    </w:p>
    <w:p w14:paraId="011C30F3" w14:textId="77777777" w:rsidR="00D96B5F" w:rsidRDefault="00D96B5F" w:rsidP="00146101"/>
    <w:p w14:paraId="441E1B95" w14:textId="328FF215" w:rsidR="002D19F9" w:rsidRDefault="00D96B5F" w:rsidP="00146101">
      <w:r>
        <w:rPr>
          <w:noProof/>
        </w:rPr>
        <w:drawing>
          <wp:inline distT="0" distB="0" distL="0" distR="0" wp14:anchorId="02F448FB" wp14:editId="3E69B0E7">
            <wp:extent cx="5200153" cy="2743200"/>
            <wp:effectExtent l="0" t="0" r="635" b="0"/>
            <wp:docPr id="70" name="Chart 70">
              <a:extLst xmlns:a="http://schemas.openxmlformats.org/drawingml/2006/main">
                <a:ext uri="{FF2B5EF4-FFF2-40B4-BE49-F238E27FC236}">
                  <a16:creationId xmlns:a16="http://schemas.microsoft.com/office/drawing/2014/main" id="{1826C28A-91AF-4B9E-A6AB-9BD3D2DDA7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r w:rsidR="002D19F9">
        <w:t xml:space="preserve"> </w:t>
      </w:r>
    </w:p>
    <w:p w14:paraId="40F4F869" w14:textId="1AED5B55" w:rsidR="00D96B5F" w:rsidRPr="00D96B5F" w:rsidRDefault="00D96B5F" w:rsidP="00D96B5F">
      <w:pPr>
        <w:rPr>
          <w:sz w:val="16"/>
          <w:szCs w:val="16"/>
        </w:rPr>
      </w:pPr>
      <w:r w:rsidRPr="00D96B5F">
        <w:rPr>
          <w:sz w:val="16"/>
          <w:szCs w:val="16"/>
        </w:rPr>
        <w:t>Source: ScotPHO Health and Wellbeing Profiles</w:t>
      </w:r>
    </w:p>
    <w:p w14:paraId="51B2CCB3" w14:textId="77777777" w:rsidR="00AA1E92" w:rsidRDefault="00D96B5F" w:rsidP="00146101">
      <w:pPr>
        <w:rPr>
          <w:sz w:val="16"/>
          <w:szCs w:val="16"/>
        </w:rPr>
      </w:pPr>
      <w:r w:rsidRPr="00D96B5F">
        <w:rPr>
          <w:sz w:val="16"/>
          <w:szCs w:val="16"/>
        </w:rPr>
        <w:t xml:space="preserve">Rate per 100,000 population; </w:t>
      </w:r>
      <w:r w:rsidR="00AA1E92">
        <w:rPr>
          <w:sz w:val="16"/>
          <w:szCs w:val="16"/>
        </w:rPr>
        <w:t>directly age-sex standardised</w:t>
      </w:r>
    </w:p>
    <w:p w14:paraId="3603E171" w14:textId="77777777" w:rsidR="00AA1E92" w:rsidRDefault="00AA1E92" w:rsidP="00146101">
      <w:pPr>
        <w:rPr>
          <w:b/>
        </w:rPr>
      </w:pPr>
    </w:p>
    <w:p w14:paraId="50C8026E" w14:textId="157C5DBF" w:rsidR="00283266" w:rsidRPr="00D96B5F" w:rsidRDefault="00D96B5F" w:rsidP="00146101">
      <w:r w:rsidRPr="00D96B5F">
        <w:rPr>
          <w:b/>
        </w:rPr>
        <w:t xml:space="preserve">Coronary heart disease (CHD) – hospitalisations: </w:t>
      </w:r>
      <w:r>
        <w:t xml:space="preserve">between 2014/15 and 2016/17 there were an average of 768 patients per year </w:t>
      </w:r>
      <w:r w:rsidR="00FF3101">
        <w:t xml:space="preserve">(3-year rolling average) </w:t>
      </w:r>
      <w:r>
        <w:t>hospitalised with CHD</w:t>
      </w:r>
      <w:r w:rsidR="00AA1E92">
        <w:t xml:space="preserve"> – equivalent to a rate of 423.1 per 100,000 population</w:t>
      </w:r>
      <w:r>
        <w:t>.  This is significantly higher than the rate for Scotland of 386.9 per 100,000 population</w:t>
      </w:r>
      <w:r w:rsidR="00AA1E92">
        <w:t xml:space="preserve">.  Over the last 9 years, there have been year-on-year decreases in the rate of patients hospitalised with CHD in both Aberdeen and Scotland.  </w:t>
      </w:r>
    </w:p>
    <w:p w14:paraId="0F1B2D3F" w14:textId="04BC0619" w:rsidR="00D96B5F" w:rsidRDefault="00D96B5F" w:rsidP="00146101"/>
    <w:p w14:paraId="3C42A102" w14:textId="1F494DA4" w:rsidR="00D96B5F" w:rsidRDefault="00AA1E92" w:rsidP="00146101">
      <w:r>
        <w:rPr>
          <w:noProof/>
        </w:rPr>
        <w:drawing>
          <wp:inline distT="0" distB="0" distL="0" distR="0" wp14:anchorId="5A3449B8" wp14:editId="31DE4F04">
            <wp:extent cx="5176299" cy="2743200"/>
            <wp:effectExtent l="0" t="0" r="5715" b="0"/>
            <wp:docPr id="71" name="Chart 71">
              <a:extLst xmlns:a="http://schemas.openxmlformats.org/drawingml/2006/main">
                <a:ext uri="{FF2B5EF4-FFF2-40B4-BE49-F238E27FC236}">
                  <a16:creationId xmlns:a16="http://schemas.microsoft.com/office/drawing/2014/main" id="{66F46BE2-F12E-491A-A401-528E5E8F24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1FEB874B" w14:textId="77777777" w:rsidR="00FF3101" w:rsidRPr="00D96B5F" w:rsidRDefault="00FF3101" w:rsidP="00FF3101">
      <w:pPr>
        <w:rPr>
          <w:sz w:val="16"/>
          <w:szCs w:val="16"/>
        </w:rPr>
      </w:pPr>
      <w:r w:rsidRPr="00D96B5F">
        <w:rPr>
          <w:sz w:val="16"/>
          <w:szCs w:val="16"/>
        </w:rPr>
        <w:t>Source: ScotPHO Health and Wellbeing Profiles</w:t>
      </w:r>
    </w:p>
    <w:p w14:paraId="29B21307" w14:textId="73828A28" w:rsidR="00FF3101" w:rsidRDefault="00FF3101" w:rsidP="00FF3101">
      <w:pPr>
        <w:rPr>
          <w:sz w:val="16"/>
          <w:szCs w:val="16"/>
        </w:rPr>
      </w:pPr>
      <w:r w:rsidRPr="00D96B5F">
        <w:rPr>
          <w:sz w:val="16"/>
          <w:szCs w:val="16"/>
        </w:rPr>
        <w:t xml:space="preserve">Rate per 100,000 population; </w:t>
      </w:r>
      <w:r>
        <w:rPr>
          <w:sz w:val="16"/>
          <w:szCs w:val="16"/>
        </w:rPr>
        <w:t>directly age-sex standardised</w:t>
      </w:r>
    </w:p>
    <w:p w14:paraId="71FB1C89" w14:textId="2DBD6591" w:rsidR="00FF3101" w:rsidRDefault="00FF3101" w:rsidP="00FF3101">
      <w:pPr>
        <w:rPr>
          <w:sz w:val="16"/>
          <w:szCs w:val="16"/>
        </w:rPr>
      </w:pPr>
    </w:p>
    <w:p w14:paraId="55EE2A3D" w14:textId="223122B7" w:rsidR="00FF3101" w:rsidRPr="00FF3101" w:rsidRDefault="00FF3101" w:rsidP="00FF3101">
      <w:r>
        <w:t>The rate of patients hospitalised varied across the City (Intermediate Zone), ranging from a low of 192.0 per 100,000 population in City Centre East to a high of 609.0 per 100,000 population in Tillydrone.</w:t>
      </w:r>
    </w:p>
    <w:p w14:paraId="336CF95C" w14:textId="5692EAC8" w:rsidR="00D96B5F" w:rsidRDefault="00D96B5F" w:rsidP="00146101"/>
    <w:p w14:paraId="5D45E0C8" w14:textId="2EF9BA9E" w:rsidR="00AA1E92" w:rsidRDefault="00AA1E92" w:rsidP="00146101">
      <w:r w:rsidRPr="00AA1E92">
        <w:rPr>
          <w:b/>
        </w:rPr>
        <w:t xml:space="preserve">CHD – early deaths (&lt;75 years):  </w:t>
      </w:r>
      <w:r>
        <w:t xml:space="preserve">between 2014-2016 there were an average of 79 early deaths per year </w:t>
      </w:r>
      <w:r w:rsidR="00FF3101">
        <w:t xml:space="preserve">(3-year rolling average) </w:t>
      </w:r>
      <w:r>
        <w:t>due to CHD</w:t>
      </w:r>
      <w:r w:rsidR="00C5119B">
        <w:t xml:space="preserve"> in Aberdeen</w:t>
      </w:r>
      <w:r>
        <w:t xml:space="preserve">.  This is equivalent to a rate of 48.0 per 100,000 population which is slightly lower than the rate for Scotland of </w:t>
      </w:r>
      <w:r w:rsidR="00FF3101">
        <w:t>53.2 per 100,000 population. Overall, the rate of early deaths from CHD has fallen in the last 12 years – from 87.4 in 2002-2004 to its current level of 48.0 per 100,000.  The rate of early deaths from CHD varied across the city, ranging from a low of 0.0 per 100,000 population in West End North to a high of 139.3 per 100,000 population in Northfield.</w:t>
      </w:r>
    </w:p>
    <w:p w14:paraId="55E15928" w14:textId="6F0FEE47" w:rsidR="0069089B" w:rsidRDefault="0069089B" w:rsidP="009413D6">
      <w:pPr>
        <w:ind w:left="0"/>
      </w:pPr>
    </w:p>
    <w:p w14:paraId="5135095C" w14:textId="008BA03F" w:rsidR="0069089B" w:rsidRDefault="0069089B" w:rsidP="0069089B">
      <w:pPr>
        <w:pStyle w:val="Heading2"/>
        <w:numPr>
          <w:ilvl w:val="2"/>
          <w:numId w:val="4"/>
        </w:numPr>
      </w:pPr>
      <w:bookmarkStart w:id="66" w:name="_Toc519088598"/>
      <w:r>
        <w:t>Hospitalisations</w:t>
      </w:r>
      <w:bookmarkEnd w:id="66"/>
    </w:p>
    <w:p w14:paraId="5F6DAAA1" w14:textId="6D59664C" w:rsidR="0069089B" w:rsidRDefault="0069089B" w:rsidP="0069089B"/>
    <w:p w14:paraId="19B65B30" w14:textId="5933E252" w:rsidR="0069089B" w:rsidRDefault="00DA266E" w:rsidP="0069089B">
      <w:r>
        <w:rPr>
          <w:b/>
        </w:rPr>
        <w:t>Patients with e</w:t>
      </w:r>
      <w:r w:rsidR="0069089B" w:rsidRPr="0069089B">
        <w:rPr>
          <w:b/>
        </w:rPr>
        <w:t xml:space="preserve">mergency hospitalisations: </w:t>
      </w:r>
      <w:r w:rsidR="0069089B" w:rsidRPr="0069089B">
        <w:t xml:space="preserve">between </w:t>
      </w:r>
      <w:r w:rsidR="0069089B">
        <w:t xml:space="preserve">2014-2016 there were an average of 15,007 emergency hospitalisation per year (3-year rolling average) in Aberdeen City. </w:t>
      </w:r>
      <w:r w:rsidR="005672C9">
        <w:t xml:space="preserve"> Following a period of year-on-year decreases in rates of patients with emergency hospitalisations, the rate in Aberdeen City is </w:t>
      </w:r>
      <w:r>
        <w:t xml:space="preserve">now </w:t>
      </w:r>
      <w:r w:rsidR="005672C9">
        <w:t>lower than the rate for Scotland (7,605.0 per 100,000 population compared to 7605.9 per 100,000 population</w:t>
      </w:r>
      <w:r w:rsidR="00E74A79">
        <w:t>)</w:t>
      </w:r>
      <w:r w:rsidR="005672C9">
        <w:t>.</w:t>
      </w:r>
      <w:r>
        <w:t xml:space="preserve">  In Aberdeen City the rate ranges from a low of 4,894.9 per 100,000 population in Kingswells to a high of 10,802.7 per 100,000 population in Heathryfold and Middlefield (Intermediate Zones).</w:t>
      </w:r>
    </w:p>
    <w:p w14:paraId="367E4067" w14:textId="3A16C8A4" w:rsidR="00E74A79" w:rsidRDefault="00E74A79" w:rsidP="0069089B"/>
    <w:p w14:paraId="171BFF17" w14:textId="759B5489" w:rsidR="00E74A79" w:rsidRDefault="00E74A79" w:rsidP="0069089B">
      <w:r>
        <w:rPr>
          <w:noProof/>
        </w:rPr>
        <w:lastRenderedPageBreak/>
        <w:drawing>
          <wp:inline distT="0" distB="0" distL="0" distR="0" wp14:anchorId="6306F6D7" wp14:editId="229917C4">
            <wp:extent cx="5127955" cy="2974340"/>
            <wp:effectExtent l="0" t="0" r="15875" b="16510"/>
            <wp:docPr id="72" name="Chart 72">
              <a:extLst xmlns:a="http://schemas.openxmlformats.org/drawingml/2006/main">
                <a:ext uri="{FF2B5EF4-FFF2-40B4-BE49-F238E27FC236}">
                  <a16:creationId xmlns:a16="http://schemas.microsoft.com/office/drawing/2014/main" id="{ECB4C001-7417-465B-A795-6C9FC440C6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2920E092" w14:textId="77777777" w:rsidR="00E74A79" w:rsidRPr="00E74A79" w:rsidRDefault="00E74A79" w:rsidP="00E74A79">
      <w:pPr>
        <w:rPr>
          <w:sz w:val="16"/>
          <w:szCs w:val="16"/>
        </w:rPr>
      </w:pPr>
      <w:r w:rsidRPr="00E74A79">
        <w:rPr>
          <w:sz w:val="16"/>
          <w:szCs w:val="16"/>
        </w:rPr>
        <w:t>Source: ScotPHO Health and Wellbeing Profiles</w:t>
      </w:r>
    </w:p>
    <w:p w14:paraId="6D5401D9" w14:textId="77777777" w:rsidR="00E74A79" w:rsidRPr="00E74A79" w:rsidRDefault="00E74A79" w:rsidP="00E74A79">
      <w:pPr>
        <w:rPr>
          <w:sz w:val="16"/>
          <w:szCs w:val="16"/>
        </w:rPr>
      </w:pPr>
      <w:r w:rsidRPr="00E74A79">
        <w:rPr>
          <w:sz w:val="16"/>
          <w:szCs w:val="16"/>
        </w:rPr>
        <w:t>Rate per 100,000 population; directly age-sex standardised; 3-year aggregates</w:t>
      </w:r>
    </w:p>
    <w:p w14:paraId="03150E11" w14:textId="307A56EE" w:rsidR="002C6E18" w:rsidRDefault="002C6E18" w:rsidP="0069089B">
      <w:pPr>
        <w:rPr>
          <w:b/>
        </w:rPr>
      </w:pPr>
    </w:p>
    <w:p w14:paraId="6065B230" w14:textId="65980A91" w:rsidR="00DA266E" w:rsidRDefault="00DA266E" w:rsidP="0069089B">
      <w:r>
        <w:rPr>
          <w:b/>
        </w:rPr>
        <w:t xml:space="preserve">Patients aged 65+ years with multiple emergency hospitalisations:  </w:t>
      </w:r>
      <w:r>
        <w:t>in contrast with the declining rates for patients with emergency hospitalisations, the rate of patients aged 65+ years with multiple emergency hospitalisations has increased in Aberdeen City, from 5,092.0 per 100,000 population in 2010-12 to 5,306.6 per 100,000 population in 2014-2016.  This upward trend is consistent with trends in Scotland as a whole. In Aberdeen City the rate ranges from a low of 3,076.9 per 100,000 population in Hanover North to a high of 8,275.8 per 100,000 population in Garthdee (Intermediate Zones).</w:t>
      </w:r>
    </w:p>
    <w:p w14:paraId="14DA4428" w14:textId="2BD7F043" w:rsidR="009C3607" w:rsidRDefault="009C3607" w:rsidP="0069089B"/>
    <w:p w14:paraId="1628F8E8" w14:textId="62AB6138" w:rsidR="00E74A79" w:rsidRPr="00DA266E" w:rsidRDefault="00E74A79" w:rsidP="0069089B">
      <w:r>
        <w:rPr>
          <w:noProof/>
        </w:rPr>
        <w:drawing>
          <wp:inline distT="0" distB="0" distL="0" distR="0" wp14:anchorId="63BD99C0" wp14:editId="5CB8B998">
            <wp:extent cx="4572000" cy="2743200"/>
            <wp:effectExtent l="0" t="0" r="0" b="0"/>
            <wp:docPr id="73" name="Chart 73">
              <a:extLst xmlns:a="http://schemas.openxmlformats.org/drawingml/2006/main">
                <a:ext uri="{FF2B5EF4-FFF2-40B4-BE49-F238E27FC236}">
                  <a16:creationId xmlns:a16="http://schemas.microsoft.com/office/drawing/2014/main" id="{ED71E533-7D18-4CEC-B432-1A20C76021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1A9195DD" w14:textId="77777777" w:rsidR="005672C9" w:rsidRPr="00D96B5F" w:rsidRDefault="005672C9" w:rsidP="005672C9">
      <w:pPr>
        <w:rPr>
          <w:sz w:val="16"/>
          <w:szCs w:val="16"/>
        </w:rPr>
      </w:pPr>
      <w:r w:rsidRPr="00D96B5F">
        <w:rPr>
          <w:sz w:val="16"/>
          <w:szCs w:val="16"/>
        </w:rPr>
        <w:t>Source: ScotPHO Health and Wellbeing Profiles</w:t>
      </w:r>
    </w:p>
    <w:p w14:paraId="5E2F0052" w14:textId="5A09815A" w:rsidR="005672C9" w:rsidRDefault="005672C9" w:rsidP="005672C9">
      <w:pPr>
        <w:rPr>
          <w:sz w:val="16"/>
          <w:szCs w:val="16"/>
        </w:rPr>
      </w:pPr>
      <w:r w:rsidRPr="00D96B5F">
        <w:rPr>
          <w:sz w:val="16"/>
          <w:szCs w:val="16"/>
        </w:rPr>
        <w:t xml:space="preserve">Rate per 100,000 population; </w:t>
      </w:r>
      <w:r>
        <w:rPr>
          <w:sz w:val="16"/>
          <w:szCs w:val="16"/>
        </w:rPr>
        <w:t>directly age-sex standardised</w:t>
      </w:r>
      <w:r w:rsidR="00DA266E">
        <w:rPr>
          <w:sz w:val="16"/>
          <w:szCs w:val="16"/>
        </w:rPr>
        <w:t>; 3-year aggregates</w:t>
      </w:r>
    </w:p>
    <w:p w14:paraId="39C90A26" w14:textId="513737F0" w:rsidR="005672C9" w:rsidRDefault="005672C9" w:rsidP="0069089B">
      <w:pPr>
        <w:rPr>
          <w:b/>
        </w:rPr>
      </w:pPr>
    </w:p>
    <w:p w14:paraId="2EF5B1BB" w14:textId="77777777" w:rsidR="00AA1E92" w:rsidRDefault="00AA1E92" w:rsidP="00146101"/>
    <w:p w14:paraId="42DF60D7" w14:textId="77777777" w:rsidR="004A6195" w:rsidRDefault="004A6195" w:rsidP="004A6195"/>
    <w:p w14:paraId="0E92E164" w14:textId="33ED519E" w:rsidR="004A6195" w:rsidRDefault="004A6195" w:rsidP="00D268ED">
      <w:pPr>
        <w:pStyle w:val="Heading2"/>
        <w:numPr>
          <w:ilvl w:val="1"/>
          <w:numId w:val="4"/>
        </w:numPr>
        <w:spacing w:after="240"/>
      </w:pPr>
      <w:bookmarkStart w:id="67" w:name="_Toc519088599"/>
      <w:r>
        <w:lastRenderedPageBreak/>
        <w:t>Wellbeing</w:t>
      </w:r>
      <w:bookmarkEnd w:id="67"/>
    </w:p>
    <w:p w14:paraId="288C1AD4" w14:textId="6C1CED4E" w:rsidR="00FA5975" w:rsidRDefault="00FA5975" w:rsidP="00F22EB7">
      <w:r>
        <w:t>The Scottish Health Survey provides information on several ‘wellbeing’ indicators (2013-2016; 4</w:t>
      </w:r>
      <w:r w:rsidR="00D268ED">
        <w:t>-</w:t>
      </w:r>
      <w:r>
        <w:t xml:space="preserve">year aggregate).  </w:t>
      </w:r>
    </w:p>
    <w:p w14:paraId="4459E34A" w14:textId="4EE7D974" w:rsidR="00FA5975" w:rsidRDefault="00FA5975" w:rsidP="00F22EB7"/>
    <w:p w14:paraId="2F8E25A9" w14:textId="34B3215F" w:rsidR="00FA5975" w:rsidRDefault="00FA5975" w:rsidP="00F22EB7">
      <w:r>
        <w:t>Based on the Warwick Edinburgh Mental Wellbeing Scale (WEMWBS), the mean wellbeing score for males (50.7) and females (50.8) in Aberdeen City are similar to the respective scores for Scotland (50.0 and 49.8).</w:t>
      </w:r>
    </w:p>
    <w:p w14:paraId="57141A3E" w14:textId="63C4B35B" w:rsidR="00FA5975" w:rsidRDefault="00FA5975" w:rsidP="00F22EB7"/>
    <w:p w14:paraId="0C21A552" w14:textId="6EB76D1C" w:rsidR="00FA5975" w:rsidRDefault="00FA5975" w:rsidP="00F22EB7">
      <w:r>
        <w:t>When asked ‘how satisfied are you with life nowadays?’, the mean score for both males and females in Aberdeen City was 7.8.  Again, this was similar to the mean scores for males and females in Scotland which was 7.7.</w:t>
      </w:r>
    </w:p>
    <w:p w14:paraId="0DE1D079" w14:textId="65CA59E2" w:rsidR="00FA5975" w:rsidRDefault="00FA5975" w:rsidP="00F22EB7"/>
    <w:p w14:paraId="1EE73208" w14:textId="749B9512" w:rsidR="00FA5975" w:rsidRDefault="00FA5975" w:rsidP="00F22EB7">
      <w:r>
        <w:t>Based on responses to the General Health Questionnaire, an estimated 17.0% of females and 8.5% of males in Aberdeen City have common mental health problems.  The higher female rate is consistent with the pattern for Scotland as a whole.  While the proportion of females with common mental health problems is similar in Aberdeen City and Scotland (17.0%), the rate of males with common mental health problems is lower in Aberdeen than in Scotland (13.6%).</w:t>
      </w:r>
    </w:p>
    <w:p w14:paraId="495D3DE2" w14:textId="38D9C64C" w:rsidR="00FA5975" w:rsidRDefault="00FA5975" w:rsidP="00F22EB7"/>
    <w:p w14:paraId="46A8255E" w14:textId="4E9315F0" w:rsidR="007138D4" w:rsidRDefault="007138D4" w:rsidP="00F22EB7">
      <w:r>
        <w:rPr>
          <w:noProof/>
        </w:rPr>
        <w:drawing>
          <wp:inline distT="0" distB="0" distL="0" distR="0" wp14:anchorId="4FF72374" wp14:editId="38FF7DD2">
            <wp:extent cx="4572000" cy="3490913"/>
            <wp:effectExtent l="0" t="0" r="0" b="14605"/>
            <wp:docPr id="78" name="Chart 78">
              <a:extLst xmlns:a="http://schemas.openxmlformats.org/drawingml/2006/main">
                <a:ext uri="{FF2B5EF4-FFF2-40B4-BE49-F238E27FC236}">
                  <a16:creationId xmlns:a16="http://schemas.microsoft.com/office/drawing/2014/main" id="{8DF85971-4977-4C03-AADD-E5A43D2C5F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7BBD7565" w14:textId="3A3DD528" w:rsidR="003B0BF0" w:rsidRPr="003B0BF0" w:rsidRDefault="003B0BF0" w:rsidP="00F22EB7">
      <w:pPr>
        <w:rPr>
          <w:sz w:val="16"/>
          <w:szCs w:val="16"/>
        </w:rPr>
      </w:pPr>
      <w:r w:rsidRPr="003B0BF0">
        <w:rPr>
          <w:sz w:val="16"/>
          <w:szCs w:val="16"/>
        </w:rPr>
        <w:t xml:space="preserve">Source: ScotPHO Health and Wellbeing Profiles (Scottish Health Survey, 2013-2016; 4-year aggregate). </w:t>
      </w:r>
    </w:p>
    <w:p w14:paraId="247ECB96" w14:textId="77777777" w:rsidR="007138D4" w:rsidRDefault="007138D4" w:rsidP="00F22EB7"/>
    <w:p w14:paraId="32AF41A7" w14:textId="50B6EE7C" w:rsidR="003B0BF0" w:rsidRDefault="003B0BF0" w:rsidP="003B0BF0">
      <w:pPr>
        <w:pStyle w:val="Heading2"/>
        <w:numPr>
          <w:ilvl w:val="1"/>
          <w:numId w:val="4"/>
        </w:numPr>
      </w:pPr>
      <w:bookmarkStart w:id="68" w:name="_Toc519088600"/>
      <w:r>
        <w:t>Social care</w:t>
      </w:r>
      <w:bookmarkEnd w:id="68"/>
    </w:p>
    <w:p w14:paraId="55BB86BA" w14:textId="77777777" w:rsidR="00C5119B" w:rsidRPr="009413D6" w:rsidRDefault="00C5119B" w:rsidP="00C5119B">
      <w:pPr>
        <w:rPr>
          <w:sz w:val="16"/>
          <w:szCs w:val="16"/>
        </w:rPr>
      </w:pPr>
    </w:p>
    <w:p w14:paraId="3DC41DAE" w14:textId="73C10FD3" w:rsidR="00F22EB7" w:rsidRDefault="00F22EB7" w:rsidP="003B0BF0">
      <w:r w:rsidRPr="003B0BF0">
        <w:rPr>
          <w:b/>
        </w:rPr>
        <w:t>People aged 65 years and over with high levels of care who are looked after at home</w:t>
      </w:r>
      <w:r w:rsidR="003B0BF0">
        <w:t>: In Aberdeen, in 2017 there were 470 people aged 65+ years with high levels of care need who were cared for at home (i.e. who received 10 and more hours of home care purchased or provided by the local authority).  This equates to 26% of all people in this age group with high levels of care need – significantly lower than the Scottish average of 35.2%.</w:t>
      </w:r>
      <w:r w:rsidR="00A556F6">
        <w:t xml:space="preserve">  The </w:t>
      </w:r>
      <w:r w:rsidR="00A556F6">
        <w:lastRenderedPageBreak/>
        <w:t xml:space="preserve">proportion who were cared for at home increased slightly between 2015 and 2017 (from 24.9% in 2015). </w:t>
      </w:r>
    </w:p>
    <w:p w14:paraId="0DDC5FC2" w14:textId="45E4F1CF" w:rsidR="003B0BF0" w:rsidRPr="00B9679D" w:rsidRDefault="003B0BF0" w:rsidP="003B0BF0">
      <w:pPr>
        <w:rPr>
          <w:sz w:val="16"/>
          <w:szCs w:val="16"/>
        </w:rPr>
      </w:pPr>
      <w:r w:rsidRPr="00B9679D">
        <w:rPr>
          <w:sz w:val="16"/>
          <w:szCs w:val="16"/>
        </w:rPr>
        <w:t>Source: ScotPHO Health and Wellbeing Profiles (Scottish Government, Community Care Statistics).</w:t>
      </w:r>
    </w:p>
    <w:p w14:paraId="7B1D69DD" w14:textId="08C2A02C" w:rsidR="00C5119B" w:rsidRDefault="00C5119B" w:rsidP="003B0BF0"/>
    <w:p w14:paraId="1FD908E8" w14:textId="34A7B95D" w:rsidR="000B3D35" w:rsidRDefault="009C3607" w:rsidP="009C3607">
      <w:pPr>
        <w:pStyle w:val="Heading2"/>
        <w:numPr>
          <w:ilvl w:val="1"/>
          <w:numId w:val="4"/>
        </w:numPr>
      </w:pPr>
      <w:bookmarkStart w:id="69" w:name="_Toc519088601"/>
      <w:r>
        <w:t>Groups with special needs</w:t>
      </w:r>
      <w:bookmarkEnd w:id="69"/>
    </w:p>
    <w:p w14:paraId="5C7C3300" w14:textId="0E044143" w:rsidR="00E61B13" w:rsidRDefault="00E61B13" w:rsidP="00E61B13"/>
    <w:p w14:paraId="39F82FD6" w14:textId="328C834E" w:rsidR="009C3607" w:rsidRDefault="009413D6" w:rsidP="004A6195">
      <w:r>
        <w:t>To follow.</w:t>
      </w:r>
    </w:p>
    <w:p w14:paraId="6BFC25C8" w14:textId="7F7AFA3B" w:rsidR="00E95AF0" w:rsidRDefault="00E95AF0" w:rsidP="004A6195"/>
    <w:p w14:paraId="2BDEA8AA" w14:textId="020D0CF6" w:rsidR="00E95AF0" w:rsidRDefault="00E95AF0" w:rsidP="00E95AF0">
      <w:pPr>
        <w:pStyle w:val="Heading2"/>
        <w:numPr>
          <w:ilvl w:val="2"/>
          <w:numId w:val="4"/>
        </w:numPr>
      </w:pPr>
      <w:bookmarkStart w:id="70" w:name="_Toc519088602"/>
      <w:r>
        <w:t>Volunteering</w:t>
      </w:r>
      <w:bookmarkEnd w:id="70"/>
    </w:p>
    <w:p w14:paraId="05A3D6D9" w14:textId="4E8A6D5C" w:rsidR="00E95AF0" w:rsidRDefault="00E95AF0" w:rsidP="00E95AF0">
      <w:r>
        <w:t xml:space="preserve">In 2016, 25% of people in Aberdeen reporting providing unpaid help to an organisation or group over the last 12 months.  A higher proportion of females (29%) than males (22%) volunteered.   The proportion of people who reported volunteering has reduced in the past few years, from 29% in 2014, 36% in 2015 to 25% in 2016.  </w:t>
      </w:r>
    </w:p>
    <w:p w14:paraId="2D009E2D" w14:textId="5D11C981" w:rsidR="00E95AF0" w:rsidRPr="00E95AF0" w:rsidRDefault="00E95AF0" w:rsidP="00E95AF0">
      <w:r>
        <w:t xml:space="preserve">Source: SHS, available at: </w:t>
      </w:r>
      <w:hyperlink r:id="rId128" w:history="1">
        <w:r w:rsidRPr="00C47DD7">
          <w:rPr>
            <w:rStyle w:val="Hyperlink"/>
          </w:rPr>
          <w:t>http://www.gov.scot/Resource/0053/00531141.pdf</w:t>
        </w:r>
      </w:hyperlink>
      <w:r>
        <w:t xml:space="preserve"> </w:t>
      </w:r>
    </w:p>
    <w:p w14:paraId="26E669D0" w14:textId="183405C1" w:rsidR="00E95AF0" w:rsidRDefault="00E95AF0" w:rsidP="004A6195"/>
    <w:p w14:paraId="1ECD68B9" w14:textId="5CE76F90" w:rsidR="00EE2921" w:rsidRDefault="00EE2921" w:rsidP="00EE2921">
      <w:pPr>
        <w:pStyle w:val="Heading2"/>
        <w:numPr>
          <w:ilvl w:val="2"/>
          <w:numId w:val="4"/>
        </w:numPr>
      </w:pPr>
      <w:bookmarkStart w:id="71" w:name="_Toc519088603"/>
      <w:r>
        <w:t>Carers</w:t>
      </w:r>
      <w:bookmarkEnd w:id="71"/>
    </w:p>
    <w:p w14:paraId="0EDBEFCC" w14:textId="115C5CA5" w:rsidR="00EE2921" w:rsidRDefault="00EE2921" w:rsidP="00EE2921">
      <w:r>
        <w:t xml:space="preserve">Data from the 2011 Census indicated that in Aberdeen there were 15,571 people in the city who provided unpaid care (equivalent to </w:t>
      </w:r>
      <w:r w:rsidR="002F2FEE">
        <w:t xml:space="preserve">7% of the population in 2011).  Of these, 9,342 (60%) provided from 1-19 hours of unpaid care per week, 2,574 (17%) provided 20 to 49 hours and 3,655 (23%) provided 50 or more hours per week. </w:t>
      </w:r>
    </w:p>
    <w:p w14:paraId="1F5AE9C1" w14:textId="1E1F1276" w:rsidR="002F2FEE" w:rsidRDefault="002F2FEE" w:rsidP="00EE2921">
      <w:pPr>
        <w:rPr>
          <w:sz w:val="16"/>
          <w:szCs w:val="16"/>
        </w:rPr>
      </w:pPr>
      <w:r w:rsidRPr="002F2FEE">
        <w:rPr>
          <w:sz w:val="16"/>
          <w:szCs w:val="16"/>
        </w:rPr>
        <w:t xml:space="preserve">Source: </w:t>
      </w:r>
      <w:hyperlink r:id="rId129" w:history="1">
        <w:r w:rsidRPr="002F2FEE">
          <w:rPr>
            <w:rStyle w:val="Hyperlink"/>
            <w:sz w:val="16"/>
            <w:szCs w:val="16"/>
          </w:rPr>
          <w:t>https://www.nomisweb.co.uk/census/2011/QS301UK/view/1946157405?cols=measures</w:t>
        </w:r>
      </w:hyperlink>
      <w:r w:rsidRPr="002F2FEE">
        <w:rPr>
          <w:sz w:val="16"/>
          <w:szCs w:val="16"/>
        </w:rPr>
        <w:t xml:space="preserve"> </w:t>
      </w:r>
    </w:p>
    <w:p w14:paraId="2913EA06" w14:textId="3A7FE32F" w:rsidR="002F2FEE" w:rsidRDefault="002F2FEE" w:rsidP="00EE2921">
      <w:pPr>
        <w:rPr>
          <w:sz w:val="16"/>
          <w:szCs w:val="16"/>
        </w:rPr>
      </w:pPr>
    </w:p>
    <w:p w14:paraId="4F4C7EB8" w14:textId="0BE7B08B" w:rsidR="002F2FEE" w:rsidRDefault="009C25E0" w:rsidP="009C25E0">
      <w:pPr>
        <w:pStyle w:val="Heading2"/>
        <w:numPr>
          <w:ilvl w:val="2"/>
          <w:numId w:val="4"/>
        </w:numPr>
      </w:pPr>
      <w:bookmarkStart w:id="72" w:name="_Toc519088604"/>
      <w:r>
        <w:t>Adult learners</w:t>
      </w:r>
      <w:bookmarkEnd w:id="72"/>
    </w:p>
    <w:p w14:paraId="67C42A49" w14:textId="6CECD11E" w:rsidR="003B2C0B" w:rsidRPr="003B2C0B" w:rsidRDefault="003B2C0B" w:rsidP="003B2C0B">
      <w:r>
        <w:t xml:space="preserve">While a complete absence of reading or writing ability is not thought to be a major issue, low or insufficient literacy and numeracy abilities are believed to be more widespread than previously thought.  It is estimated that 23% of adults in Scotland </w:t>
      </w:r>
      <w:r w:rsidRPr="003B2C0B">
        <w:t xml:space="preserve">may have low </w:t>
      </w:r>
      <w:r>
        <w:t xml:space="preserve">literacy and numeracy </w:t>
      </w:r>
      <w:r w:rsidRPr="003B2C0B">
        <w:t>skills and another 30% may</w:t>
      </w:r>
      <w:r>
        <w:t xml:space="preserve"> </w:t>
      </w:r>
      <w:r w:rsidRPr="003B2C0B">
        <w:t>find their skills inadequate to meet the</w:t>
      </w:r>
      <w:r>
        <w:t xml:space="preserve"> </w:t>
      </w:r>
      <w:r w:rsidRPr="003B2C0B">
        <w:t xml:space="preserve">demands of the ‘knowledge </w:t>
      </w:r>
      <w:r>
        <w:t>s</w:t>
      </w:r>
      <w:r w:rsidRPr="003B2C0B">
        <w:t>ociety’ and the</w:t>
      </w:r>
      <w:r>
        <w:t xml:space="preserve"> </w:t>
      </w:r>
      <w:r w:rsidRPr="003B2C0B">
        <w:t>‘information age’.</w:t>
      </w:r>
      <w:r>
        <w:t xml:space="preserve">   Three factors have been identified as being</w:t>
      </w:r>
      <w:r w:rsidRPr="003B2C0B">
        <w:rPr>
          <w:rFonts w:ascii="Bembo" w:hAnsi="Bembo" w:cs="Bembo"/>
          <w:color w:val="000000"/>
        </w:rPr>
        <w:t xml:space="preserve"> </w:t>
      </w:r>
      <w:r w:rsidRPr="003B2C0B">
        <w:t>strongly associated with low</w:t>
      </w:r>
      <w:r>
        <w:t xml:space="preserve"> </w:t>
      </w:r>
      <w:r w:rsidRPr="003B2C0B">
        <w:t>literacy and numeracy skills:</w:t>
      </w:r>
    </w:p>
    <w:p w14:paraId="6B971054" w14:textId="66AD30D9" w:rsidR="003B2C0B" w:rsidRPr="003B2C0B" w:rsidRDefault="003B2C0B" w:rsidP="003B2C0B">
      <w:pPr>
        <w:pStyle w:val="ListParagraph"/>
        <w:numPr>
          <w:ilvl w:val="0"/>
          <w:numId w:val="31"/>
        </w:numPr>
      </w:pPr>
      <w:r w:rsidRPr="003B2C0B">
        <w:t>having left education at 16 or earlier</w:t>
      </w:r>
    </w:p>
    <w:p w14:paraId="1D5A503E" w14:textId="1023C3D0" w:rsidR="003B2C0B" w:rsidRPr="003B2C0B" w:rsidRDefault="003B2C0B" w:rsidP="003B2C0B">
      <w:pPr>
        <w:pStyle w:val="ListParagraph"/>
        <w:numPr>
          <w:ilvl w:val="0"/>
          <w:numId w:val="31"/>
        </w:numPr>
      </w:pPr>
      <w:r w:rsidRPr="003B2C0B">
        <w:t>being on a low income</w:t>
      </w:r>
    </w:p>
    <w:p w14:paraId="23019D95" w14:textId="2AA21C79" w:rsidR="003B2C0B" w:rsidRDefault="003B2C0B" w:rsidP="003B2C0B">
      <w:pPr>
        <w:pStyle w:val="ListParagraph"/>
        <w:numPr>
          <w:ilvl w:val="0"/>
          <w:numId w:val="31"/>
        </w:numPr>
      </w:pPr>
      <w:r w:rsidRPr="003B2C0B">
        <w:t>being in a manual social class group.</w:t>
      </w:r>
      <w:r>
        <w:t xml:space="preserve"> </w:t>
      </w:r>
    </w:p>
    <w:p w14:paraId="263043F3" w14:textId="7412A8B8" w:rsidR="003B2C0B" w:rsidRDefault="003B2C0B" w:rsidP="003B2C0B">
      <w:r>
        <w:t xml:space="preserve">Source: Scottish Government, Adult Literacy and Numeracy in Scotland, available at: </w:t>
      </w:r>
      <w:hyperlink r:id="rId130" w:history="1">
        <w:r w:rsidRPr="00752D23">
          <w:rPr>
            <w:rStyle w:val="Hyperlink"/>
          </w:rPr>
          <w:t>http://www.gov.scot/Publications/2001/07/9471/File-1</w:t>
        </w:r>
      </w:hyperlink>
      <w:r>
        <w:t xml:space="preserve"> </w:t>
      </w:r>
      <w:r w:rsidRPr="009413D6">
        <w:t>(Note: 2001 report so dated).</w:t>
      </w:r>
    </w:p>
    <w:p w14:paraId="3A6FAD96" w14:textId="32A5E33A" w:rsidR="003B2C0B" w:rsidRDefault="003B2C0B" w:rsidP="003B2C0B"/>
    <w:p w14:paraId="210AE8F6" w14:textId="77777777" w:rsidR="006147E8" w:rsidRPr="003B2C0B" w:rsidRDefault="006147E8" w:rsidP="003B2C0B"/>
    <w:tbl>
      <w:tblPr>
        <w:tblStyle w:val="TableGrid"/>
        <w:tblW w:w="6160" w:type="dxa"/>
        <w:tblInd w:w="704" w:type="dxa"/>
        <w:tblLook w:val="04A0" w:firstRow="1" w:lastRow="0" w:firstColumn="1" w:lastColumn="0" w:noHBand="0" w:noVBand="1"/>
      </w:tblPr>
      <w:tblGrid>
        <w:gridCol w:w="5576"/>
        <w:gridCol w:w="584"/>
      </w:tblGrid>
      <w:tr w:rsidR="009C25E0" w:rsidRPr="009C25E0" w14:paraId="2FEA11C2" w14:textId="77777777" w:rsidTr="003B2C0B">
        <w:trPr>
          <w:trHeight w:val="300"/>
        </w:trPr>
        <w:tc>
          <w:tcPr>
            <w:tcW w:w="6160" w:type="dxa"/>
            <w:gridSpan w:val="2"/>
            <w:noWrap/>
            <w:hideMark/>
          </w:tcPr>
          <w:p w14:paraId="492873AA" w14:textId="77777777" w:rsidR="009C25E0" w:rsidRPr="009C25E0" w:rsidRDefault="009C25E0" w:rsidP="009C25E0">
            <w:pPr>
              <w:ind w:left="0"/>
              <w:rPr>
                <w:rFonts w:eastAsia="Times New Roman" w:cs="Arial"/>
                <w:b/>
                <w:bCs/>
                <w:color w:val="000000"/>
                <w:sz w:val="20"/>
                <w:szCs w:val="20"/>
                <w:lang w:eastAsia="en-GB"/>
              </w:rPr>
            </w:pPr>
            <w:r w:rsidRPr="009C25E0">
              <w:rPr>
                <w:rFonts w:eastAsia="Times New Roman" w:cs="Arial"/>
                <w:b/>
                <w:bCs/>
                <w:color w:val="000000"/>
                <w:sz w:val="20"/>
                <w:szCs w:val="20"/>
                <w:lang w:eastAsia="en-GB"/>
              </w:rPr>
              <w:t>Adult learners in Aberdeen City, January to December 2017</w:t>
            </w:r>
          </w:p>
        </w:tc>
      </w:tr>
      <w:tr w:rsidR="009C25E0" w:rsidRPr="009C25E0" w14:paraId="11385EF7" w14:textId="77777777" w:rsidTr="003B2C0B">
        <w:trPr>
          <w:trHeight w:val="315"/>
        </w:trPr>
        <w:tc>
          <w:tcPr>
            <w:tcW w:w="5576" w:type="dxa"/>
            <w:noWrap/>
            <w:hideMark/>
          </w:tcPr>
          <w:p w14:paraId="58A44F11" w14:textId="77777777" w:rsidR="009C25E0" w:rsidRPr="009C25E0" w:rsidRDefault="009C25E0" w:rsidP="009C25E0">
            <w:pPr>
              <w:ind w:left="0"/>
              <w:rPr>
                <w:rFonts w:eastAsia="Times New Roman" w:cs="Arial"/>
                <w:color w:val="000000"/>
                <w:sz w:val="20"/>
                <w:szCs w:val="20"/>
                <w:lang w:eastAsia="en-GB"/>
              </w:rPr>
            </w:pPr>
            <w:r w:rsidRPr="009C25E0">
              <w:rPr>
                <w:rFonts w:eastAsia="Times New Roman" w:cs="Arial"/>
                <w:color w:val="000000"/>
                <w:sz w:val="20"/>
                <w:szCs w:val="20"/>
                <w:lang w:eastAsia="en-GB"/>
              </w:rPr>
              <w:t>Number of adult enrolments on activities</w:t>
            </w:r>
          </w:p>
        </w:tc>
        <w:tc>
          <w:tcPr>
            <w:tcW w:w="584" w:type="dxa"/>
            <w:noWrap/>
            <w:hideMark/>
          </w:tcPr>
          <w:p w14:paraId="327A19B1" w14:textId="77777777" w:rsidR="009C25E0" w:rsidRPr="009C25E0" w:rsidRDefault="009C25E0" w:rsidP="009C25E0">
            <w:pPr>
              <w:ind w:left="0"/>
              <w:jc w:val="right"/>
              <w:rPr>
                <w:rFonts w:eastAsia="Times New Roman" w:cs="Arial"/>
                <w:b/>
                <w:bCs/>
                <w:color w:val="1F497D"/>
                <w:sz w:val="20"/>
                <w:szCs w:val="20"/>
                <w:lang w:eastAsia="en-GB"/>
              </w:rPr>
            </w:pPr>
            <w:r w:rsidRPr="009C25E0">
              <w:rPr>
                <w:rFonts w:eastAsia="Times New Roman" w:cs="Arial"/>
                <w:b/>
                <w:bCs/>
                <w:color w:val="1F497D"/>
                <w:sz w:val="20"/>
                <w:szCs w:val="20"/>
                <w:lang w:eastAsia="en-GB"/>
              </w:rPr>
              <w:t>971</w:t>
            </w:r>
          </w:p>
        </w:tc>
      </w:tr>
      <w:tr w:rsidR="009C25E0" w:rsidRPr="009C25E0" w14:paraId="343AE949" w14:textId="77777777" w:rsidTr="003B2C0B">
        <w:trPr>
          <w:trHeight w:val="315"/>
        </w:trPr>
        <w:tc>
          <w:tcPr>
            <w:tcW w:w="5576" w:type="dxa"/>
            <w:noWrap/>
            <w:hideMark/>
          </w:tcPr>
          <w:p w14:paraId="3A9FDE08" w14:textId="77777777" w:rsidR="009C25E0" w:rsidRPr="009C25E0" w:rsidRDefault="009C25E0" w:rsidP="009C25E0">
            <w:pPr>
              <w:ind w:left="0"/>
              <w:rPr>
                <w:rFonts w:eastAsia="Times New Roman" w:cs="Arial"/>
                <w:color w:val="000000"/>
                <w:sz w:val="20"/>
                <w:szCs w:val="20"/>
                <w:lang w:eastAsia="en-GB"/>
              </w:rPr>
            </w:pPr>
            <w:r w:rsidRPr="009C25E0">
              <w:rPr>
                <w:rFonts w:eastAsia="Times New Roman" w:cs="Arial"/>
                <w:color w:val="000000"/>
                <w:sz w:val="20"/>
                <w:szCs w:val="20"/>
                <w:lang w:eastAsia="en-GB"/>
              </w:rPr>
              <w:t>Number of individual adult participants</w:t>
            </w:r>
          </w:p>
        </w:tc>
        <w:tc>
          <w:tcPr>
            <w:tcW w:w="584" w:type="dxa"/>
            <w:noWrap/>
            <w:hideMark/>
          </w:tcPr>
          <w:p w14:paraId="2215AA81" w14:textId="77777777" w:rsidR="009C25E0" w:rsidRPr="009C25E0" w:rsidRDefault="009C25E0" w:rsidP="009C25E0">
            <w:pPr>
              <w:ind w:left="0"/>
              <w:jc w:val="right"/>
              <w:rPr>
                <w:rFonts w:eastAsia="Times New Roman" w:cs="Arial"/>
                <w:b/>
                <w:bCs/>
                <w:color w:val="1F497D"/>
                <w:sz w:val="20"/>
                <w:szCs w:val="20"/>
                <w:lang w:eastAsia="en-GB"/>
              </w:rPr>
            </w:pPr>
            <w:r w:rsidRPr="009C25E0">
              <w:rPr>
                <w:rFonts w:eastAsia="Times New Roman" w:cs="Arial"/>
                <w:b/>
                <w:bCs/>
                <w:color w:val="1F497D"/>
                <w:sz w:val="20"/>
                <w:szCs w:val="20"/>
                <w:lang w:eastAsia="en-GB"/>
              </w:rPr>
              <w:t>517</w:t>
            </w:r>
          </w:p>
        </w:tc>
      </w:tr>
      <w:tr w:rsidR="009C25E0" w:rsidRPr="009C25E0" w14:paraId="75398B0A" w14:textId="77777777" w:rsidTr="003B2C0B">
        <w:trPr>
          <w:trHeight w:val="585"/>
        </w:trPr>
        <w:tc>
          <w:tcPr>
            <w:tcW w:w="5576" w:type="dxa"/>
            <w:hideMark/>
          </w:tcPr>
          <w:p w14:paraId="531467DD" w14:textId="77777777" w:rsidR="009C25E0" w:rsidRPr="009C25E0" w:rsidRDefault="009C25E0" w:rsidP="003B2C0B">
            <w:pPr>
              <w:ind w:left="0"/>
              <w:rPr>
                <w:rFonts w:eastAsia="Times New Roman" w:cs="Arial"/>
                <w:color w:val="000000"/>
                <w:sz w:val="20"/>
                <w:szCs w:val="20"/>
                <w:lang w:eastAsia="en-GB"/>
              </w:rPr>
            </w:pPr>
            <w:r w:rsidRPr="009C25E0">
              <w:rPr>
                <w:rFonts w:eastAsia="Times New Roman" w:cs="Arial"/>
                <w:color w:val="000000"/>
                <w:sz w:val="20"/>
                <w:szCs w:val="20"/>
                <w:lang w:eastAsia="en-GB"/>
              </w:rPr>
              <w:t>Number of participants from the 15% most deprived areas</w:t>
            </w:r>
          </w:p>
        </w:tc>
        <w:tc>
          <w:tcPr>
            <w:tcW w:w="584" w:type="dxa"/>
            <w:noWrap/>
            <w:hideMark/>
          </w:tcPr>
          <w:p w14:paraId="50E17B07" w14:textId="77777777" w:rsidR="009C25E0" w:rsidRPr="009C25E0" w:rsidRDefault="009C25E0" w:rsidP="003B2C0B">
            <w:pPr>
              <w:ind w:left="0"/>
              <w:jc w:val="right"/>
              <w:rPr>
                <w:rFonts w:eastAsia="Times New Roman" w:cs="Arial"/>
                <w:b/>
                <w:bCs/>
                <w:color w:val="1F497D"/>
                <w:sz w:val="20"/>
                <w:szCs w:val="20"/>
                <w:lang w:eastAsia="en-GB"/>
              </w:rPr>
            </w:pPr>
            <w:r w:rsidRPr="009C25E0">
              <w:rPr>
                <w:rFonts w:eastAsia="Times New Roman" w:cs="Arial"/>
                <w:b/>
                <w:bCs/>
                <w:color w:val="1F497D"/>
                <w:sz w:val="20"/>
                <w:szCs w:val="20"/>
                <w:lang w:eastAsia="en-GB"/>
              </w:rPr>
              <w:t>60</w:t>
            </w:r>
          </w:p>
        </w:tc>
      </w:tr>
    </w:tbl>
    <w:p w14:paraId="077A75F3" w14:textId="1063122F" w:rsidR="009C25E0" w:rsidRPr="00EA1BC3" w:rsidRDefault="003B2C0B" w:rsidP="003B2C0B">
      <w:pPr>
        <w:rPr>
          <w:sz w:val="16"/>
          <w:szCs w:val="16"/>
        </w:rPr>
      </w:pPr>
      <w:r w:rsidRPr="00EA1BC3">
        <w:rPr>
          <w:sz w:val="16"/>
          <w:szCs w:val="16"/>
        </w:rPr>
        <w:t>Source: Aberdeen City Council</w:t>
      </w:r>
    </w:p>
    <w:p w14:paraId="66744FEE" w14:textId="77777777" w:rsidR="009C25E0" w:rsidRDefault="009C25E0" w:rsidP="004A6195"/>
    <w:p w14:paraId="00235331" w14:textId="7B144AE1" w:rsidR="009C25E0" w:rsidRDefault="009C25E0" w:rsidP="004A6195"/>
    <w:p w14:paraId="4F79D153" w14:textId="77777777" w:rsidR="00E9286A" w:rsidRDefault="00E9286A" w:rsidP="00E9286A">
      <w:pPr>
        <w:ind w:left="0"/>
      </w:pPr>
    </w:p>
    <w:p w14:paraId="6C7C2082" w14:textId="3FF73A6D" w:rsidR="00E9286A" w:rsidRDefault="00E9286A" w:rsidP="00D268ED"/>
    <w:p w14:paraId="531F6C40" w14:textId="0CCFC251" w:rsidR="002C7FC9" w:rsidRDefault="002C7FC9">
      <w:r>
        <w:br w:type="page"/>
      </w:r>
    </w:p>
    <w:p w14:paraId="607A35AD" w14:textId="188BCCB9" w:rsidR="004A6195" w:rsidRDefault="004A6195" w:rsidP="004A6195">
      <w:pPr>
        <w:pStyle w:val="Heading1"/>
        <w:numPr>
          <w:ilvl w:val="0"/>
          <w:numId w:val="4"/>
        </w:numPr>
        <w:spacing w:after="240"/>
      </w:pPr>
      <w:bookmarkStart w:id="73" w:name="_Toc519088605"/>
      <w:r w:rsidRPr="009413D6">
        <w:rPr>
          <w:sz w:val="36"/>
          <w:szCs w:val="36"/>
        </w:rPr>
        <w:lastRenderedPageBreak/>
        <w:t>Place</w:t>
      </w:r>
      <w:bookmarkEnd w:id="73"/>
    </w:p>
    <w:p w14:paraId="4B6A22E3" w14:textId="7DECFD4E" w:rsidR="004A6195" w:rsidRDefault="004A6195" w:rsidP="004A6195">
      <w:pPr>
        <w:pStyle w:val="Heading2"/>
        <w:numPr>
          <w:ilvl w:val="1"/>
          <w:numId w:val="4"/>
        </w:numPr>
      </w:pPr>
      <w:bookmarkStart w:id="74" w:name="_Toc519088606"/>
      <w:r>
        <w:t>Geography of Aberdeen</w:t>
      </w:r>
      <w:bookmarkEnd w:id="74"/>
    </w:p>
    <w:p w14:paraId="69319668" w14:textId="781206CA" w:rsidR="00D80F88" w:rsidRDefault="00D80F88" w:rsidP="00D80F88"/>
    <w:p w14:paraId="669B7E00" w14:textId="4513975F" w:rsidR="00D80F88" w:rsidRDefault="000C625A" w:rsidP="00D80F88">
      <w:r>
        <w:t xml:space="preserve">The city of Aberdeen covers an area of 186 square kilometres and has a population density of 1,232 persons per square kilometre. </w:t>
      </w:r>
    </w:p>
    <w:p w14:paraId="5548C365" w14:textId="1F4AFD94" w:rsidR="000C625A" w:rsidRDefault="000C625A" w:rsidP="00D80F88"/>
    <w:p w14:paraId="1AEEE598" w14:textId="56EE1BFE" w:rsidR="000C625A" w:rsidRDefault="000C625A" w:rsidP="00D80F88">
      <w:r>
        <w:t xml:space="preserve">In terms of </w:t>
      </w:r>
      <w:r w:rsidR="00B80A4B">
        <w:t xml:space="preserve">population </w:t>
      </w:r>
      <w:r>
        <w:t>size</w:t>
      </w:r>
      <w:r w:rsidR="00B80A4B">
        <w:t>,</w:t>
      </w:r>
      <w:r>
        <w:t xml:space="preserve"> it is the 8 largest local authority in Scotland.</w:t>
      </w:r>
    </w:p>
    <w:p w14:paraId="42BC3423" w14:textId="69802BB8" w:rsidR="000C625A" w:rsidRDefault="000C625A" w:rsidP="00D80F88"/>
    <w:p w14:paraId="0FB9526D" w14:textId="77777777" w:rsidR="00C06D58" w:rsidRPr="00C06D58" w:rsidRDefault="00C06D58" w:rsidP="00C06D58">
      <w:r w:rsidRPr="00C06D58">
        <w:t xml:space="preserve">Dwellings per hectare:  Aberdeen City has an average of 6.25 dwellings per hectare.  The number of dwellings per hectare varies considerably by local authority with large city authorities such as Glasgow City (17.60), Dundee City (12.42) and City of Edinburgh (9.32) having the highest number of dwellings per hectare.   In Scotland as a whole the average is 0.33 dwellings per hectare.  </w:t>
      </w:r>
    </w:p>
    <w:p w14:paraId="539BD65F" w14:textId="77777777" w:rsidR="00C06D58" w:rsidRPr="00C06D58" w:rsidRDefault="00C06D58" w:rsidP="00C06D58"/>
    <w:p w14:paraId="3B648FF0" w14:textId="6E88F05E" w:rsidR="007B5950" w:rsidRDefault="007B5950" w:rsidP="00C06D58">
      <w:pPr>
        <w:pStyle w:val="Heading2"/>
        <w:numPr>
          <w:ilvl w:val="2"/>
          <w:numId w:val="4"/>
        </w:numPr>
      </w:pPr>
      <w:bookmarkStart w:id="75" w:name="_Toc519088607"/>
      <w:r>
        <w:t>Communities</w:t>
      </w:r>
      <w:bookmarkEnd w:id="75"/>
    </w:p>
    <w:p w14:paraId="4471014E" w14:textId="77777777" w:rsidR="007B5950" w:rsidRDefault="007B5950" w:rsidP="00D80F88"/>
    <w:p w14:paraId="751A1F63" w14:textId="78A19E30" w:rsidR="000C625A" w:rsidRDefault="00EF7933" w:rsidP="00D80F88">
      <w:r>
        <w:rPr>
          <w:b/>
        </w:rPr>
        <w:t>Ne</w:t>
      </w:r>
      <w:r w:rsidR="00C06D58" w:rsidRPr="00D268ED">
        <w:rPr>
          <w:b/>
        </w:rPr>
        <w:t>ighbourhoods:</w:t>
      </w:r>
      <w:r w:rsidR="00C06D58">
        <w:t xml:space="preserve">  </w:t>
      </w:r>
      <w:r w:rsidR="000C625A">
        <w:t xml:space="preserve">The City contains 37 neighbourhoods – small area geographies that are used (by Community Planning) to </w:t>
      </w:r>
      <w:r w:rsidR="006E0301">
        <w:t>differentiate</w:t>
      </w:r>
      <w:r w:rsidR="00D268ED">
        <w:t xml:space="preserve"> (plan services?)</w:t>
      </w:r>
      <w:r w:rsidR="006E0301">
        <w:t xml:space="preserve"> between different areas of the City. </w:t>
      </w:r>
      <w:r w:rsidR="000C625A">
        <w:t xml:space="preserve">    (Note: the neighbourhood boundaries do not match official administrative data boundaries.  As a result, official data may not be available at neighbourhood level.  Intermediate Zones approximate neighbourhood </w:t>
      </w:r>
      <w:r w:rsidR="006E0301">
        <w:t>boundaries).</w:t>
      </w:r>
    </w:p>
    <w:p w14:paraId="2572D676" w14:textId="77777777" w:rsidR="00D268ED" w:rsidRDefault="00D268ED" w:rsidP="00D80F88"/>
    <w:p w14:paraId="6EA8446C" w14:textId="04261152" w:rsidR="007B5950" w:rsidRDefault="00C06D58" w:rsidP="00D80F88">
      <w:r w:rsidRPr="00805026">
        <w:rPr>
          <w:b/>
        </w:rPr>
        <w:t>Priority localities:</w:t>
      </w:r>
      <w:r w:rsidRPr="00805026">
        <w:t xml:space="preserve">  </w:t>
      </w:r>
      <w:r w:rsidR="00805026">
        <w:t>The Scottish Index of Multiple Deprivations (SIMD) is the Scottish Government’s official tool for identifying small area concentrations of multiple deprivation across Scotland.  Eight of Aberdeen’s neighbourhoods are recognised as deprived on this basis: Torry, Tillydrone, Seaton, Woodside, Middlefield, Cummings Park, Northfield and Mastrick.</w:t>
      </w:r>
    </w:p>
    <w:p w14:paraId="6C4FD66E" w14:textId="451479E9" w:rsidR="00356D21" w:rsidRDefault="00356D21" w:rsidP="000B1DFC"/>
    <w:p w14:paraId="3BAB850D" w14:textId="77777777" w:rsidR="009413D6" w:rsidRPr="009413D6" w:rsidRDefault="009413D6" w:rsidP="009413D6">
      <w:pPr>
        <w:rPr>
          <w:b/>
        </w:rPr>
      </w:pPr>
      <w:r w:rsidRPr="009413D6">
        <w:rPr>
          <w:b/>
        </w:rPr>
        <w:t xml:space="preserve">Wards:  </w:t>
      </w:r>
      <w:r w:rsidRPr="009413D6">
        <w:t>There are 13 multi-member wards in the City.</w:t>
      </w:r>
      <w:r w:rsidRPr="009413D6">
        <w:rPr>
          <w:b/>
        </w:rPr>
        <w:t xml:space="preserve"> </w:t>
      </w:r>
    </w:p>
    <w:p w14:paraId="3D95C58C" w14:textId="00B4DFDD" w:rsidR="009413D6" w:rsidRPr="009413D6" w:rsidRDefault="009413D6" w:rsidP="000B1DFC">
      <w:pPr>
        <w:rPr>
          <w:b/>
        </w:rPr>
      </w:pPr>
    </w:p>
    <w:p w14:paraId="35FCD2BD" w14:textId="77777777" w:rsidR="009413D6" w:rsidRDefault="009413D6" w:rsidP="000B1DFC"/>
    <w:p w14:paraId="3972126E" w14:textId="08F29621" w:rsidR="000B1DFC" w:rsidRDefault="00332762" w:rsidP="00D80F88">
      <w:pPr>
        <w:pStyle w:val="Heading2"/>
        <w:numPr>
          <w:ilvl w:val="1"/>
          <w:numId w:val="4"/>
        </w:numPr>
        <w:spacing w:after="240"/>
      </w:pPr>
      <w:bookmarkStart w:id="76" w:name="_Toc519088608"/>
      <w:r>
        <w:t>Dwellings</w:t>
      </w:r>
      <w:r w:rsidR="00605EBC">
        <w:rPr>
          <w:rStyle w:val="FootnoteReference"/>
        </w:rPr>
        <w:footnoteReference w:id="1"/>
      </w:r>
      <w:bookmarkEnd w:id="76"/>
    </w:p>
    <w:p w14:paraId="191A66BB" w14:textId="028ACA90" w:rsidR="00926859" w:rsidRDefault="00926859" w:rsidP="000B1DFC">
      <w:r w:rsidRPr="00926859">
        <w:t xml:space="preserve">In </w:t>
      </w:r>
      <w:r w:rsidR="00186A71">
        <w:t>2017</w:t>
      </w:r>
      <w:r w:rsidRPr="00926859">
        <w:t xml:space="preserve"> there were </w:t>
      </w:r>
      <w:r w:rsidRPr="00926859">
        <w:rPr>
          <w:b/>
        </w:rPr>
        <w:t>11</w:t>
      </w:r>
      <w:r w:rsidR="00186A71">
        <w:rPr>
          <w:b/>
        </w:rPr>
        <w:t>6</w:t>
      </w:r>
      <w:r w:rsidRPr="00926859">
        <w:rPr>
          <w:b/>
        </w:rPr>
        <w:t>,</w:t>
      </w:r>
      <w:r w:rsidR="00186A71">
        <w:rPr>
          <w:b/>
        </w:rPr>
        <w:t>821</w:t>
      </w:r>
      <w:r w:rsidRPr="00926859">
        <w:t xml:space="preserve"> dwellings in Aberdeen City.  This was an increase of </w:t>
      </w:r>
      <w:r w:rsidR="00186A71">
        <w:t>1,741</w:t>
      </w:r>
      <w:r w:rsidRPr="00926859">
        <w:t xml:space="preserve"> (</w:t>
      </w:r>
      <w:r w:rsidR="00186A71">
        <w:t>1.5</w:t>
      </w:r>
      <w:r w:rsidRPr="00926859">
        <w:t>%) on the number of dwellings in 201</w:t>
      </w:r>
      <w:r w:rsidR="00186A71">
        <w:t>6</w:t>
      </w:r>
      <w:r w:rsidRPr="00926859">
        <w:t xml:space="preserve">.  </w:t>
      </w:r>
      <w:r>
        <w:t>Between 200</w:t>
      </w:r>
      <w:r w:rsidR="009E2C3B">
        <w:t>7</w:t>
      </w:r>
      <w:r>
        <w:t xml:space="preserve"> and 201</w:t>
      </w:r>
      <w:r w:rsidR="00186A71">
        <w:t>7</w:t>
      </w:r>
      <w:r>
        <w:t xml:space="preserve">, the number of dwellings in the City increased by </w:t>
      </w:r>
      <w:r w:rsidR="009E2C3B">
        <w:t>6.8</w:t>
      </w:r>
      <w:r w:rsidR="00186A71">
        <w:t>% (</w:t>
      </w:r>
      <w:r w:rsidR="009E2C3B">
        <w:t>7,396</w:t>
      </w:r>
      <w:r w:rsidR="00186A71">
        <w:t xml:space="preserve"> dwellings)</w:t>
      </w:r>
      <w:r>
        <w:t xml:space="preserve"> – </w:t>
      </w:r>
      <w:r w:rsidR="00186A71">
        <w:t xml:space="preserve">slightly </w:t>
      </w:r>
      <w:r w:rsidR="009E2C3B">
        <w:t>higher</w:t>
      </w:r>
      <w:r>
        <w:t xml:space="preserve"> than the increase seen in Scotland of </w:t>
      </w:r>
      <w:r w:rsidR="009E2C3B">
        <w:t>6.3</w:t>
      </w:r>
      <w:r>
        <w:t>%.</w:t>
      </w:r>
      <w:r w:rsidR="00757208">
        <w:t xml:space="preserve">  </w:t>
      </w:r>
    </w:p>
    <w:p w14:paraId="03C6AC43" w14:textId="77777777" w:rsidR="00CE497D" w:rsidRDefault="00CE497D" w:rsidP="000B1DFC">
      <w:pPr>
        <w:rPr>
          <w:highlight w:val="yellow"/>
        </w:rPr>
      </w:pPr>
    </w:p>
    <w:p w14:paraId="0751480E" w14:textId="26A42AF2" w:rsidR="00CA5389" w:rsidRDefault="00CA5389" w:rsidP="00CA5389">
      <w:r w:rsidRPr="00356D21">
        <w:rPr>
          <w:b/>
        </w:rPr>
        <w:t>Dwellings by neighbourhood</w:t>
      </w:r>
      <w:r>
        <w:rPr>
          <w:b/>
        </w:rPr>
        <w:t xml:space="preserve"> (2016)</w:t>
      </w:r>
      <w:r>
        <w:t>:</w:t>
      </w:r>
      <w:r w:rsidRPr="00356D21">
        <w:t xml:space="preserve"> The total number of dwellings </w:t>
      </w:r>
      <w:r w:rsidR="00B23B62">
        <w:t>within each neighbourhood ranges</w:t>
      </w:r>
      <w:r w:rsidR="00605EBC">
        <w:t xml:space="preserve"> </w:t>
      </w:r>
      <w:r w:rsidRPr="00356D21">
        <w:t>from a low of 737 dwellings in Cummings Park to a high of 6,664 dwellings in Braeside, Mannofield, Broomhill &amp; Seafield</w:t>
      </w:r>
      <w:r>
        <w:t>.</w:t>
      </w:r>
    </w:p>
    <w:p w14:paraId="3A19E1F6" w14:textId="77777777" w:rsidR="00CE497D" w:rsidRDefault="00CE497D" w:rsidP="00CA5389"/>
    <w:p w14:paraId="77BF4ED0" w14:textId="77777777" w:rsidR="00CA5389" w:rsidRDefault="00CA5389" w:rsidP="00CA5389">
      <w:r>
        <w:rPr>
          <w:noProof/>
          <w:lang w:eastAsia="en-GB"/>
        </w:rPr>
        <w:drawing>
          <wp:inline distT="0" distB="0" distL="0" distR="0" wp14:anchorId="6CDDD21B" wp14:editId="4CF6AA4B">
            <wp:extent cx="5003596" cy="2559685"/>
            <wp:effectExtent l="0" t="0" r="6985" b="12065"/>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013F70E9" w14:textId="0E6C3C2C" w:rsidR="00CA5389" w:rsidRDefault="00CA5389" w:rsidP="00CA5389">
      <w:pPr>
        <w:rPr>
          <w:sz w:val="16"/>
          <w:szCs w:val="16"/>
        </w:rPr>
      </w:pPr>
      <w:r w:rsidRPr="00F72CF5">
        <w:rPr>
          <w:sz w:val="16"/>
          <w:szCs w:val="16"/>
        </w:rPr>
        <w:t xml:space="preserve">Source: National Records of Scotland, Small area statistics on households and dwellings, available at: </w:t>
      </w:r>
      <w:hyperlink r:id="rId132" w:history="1">
        <w:r w:rsidRPr="00F72CF5">
          <w:rPr>
            <w:rStyle w:val="Hyperlink"/>
            <w:sz w:val="16"/>
            <w:szCs w:val="16"/>
          </w:rPr>
          <w:t>https://www.nrscotland.gov.uk/statistics-and-data/statistics/statistics-by-theme/housholds/household-estimates</w:t>
        </w:r>
      </w:hyperlink>
      <w:r w:rsidRPr="00F72CF5">
        <w:rPr>
          <w:sz w:val="16"/>
          <w:szCs w:val="16"/>
        </w:rPr>
        <w:t xml:space="preserve"> </w:t>
      </w:r>
    </w:p>
    <w:p w14:paraId="79DB4B1F" w14:textId="2C2AFEF3" w:rsidR="00CA5389" w:rsidRDefault="00CA5389" w:rsidP="00CA5389">
      <w:pPr>
        <w:rPr>
          <w:sz w:val="16"/>
          <w:szCs w:val="16"/>
        </w:rPr>
      </w:pPr>
      <w:r>
        <w:rPr>
          <w:sz w:val="16"/>
          <w:szCs w:val="16"/>
        </w:rPr>
        <w:t>*Braeside, Mannofield, Broomhill and Seafield</w:t>
      </w:r>
      <w:r w:rsidRPr="00F72CF5">
        <w:rPr>
          <w:sz w:val="16"/>
          <w:szCs w:val="16"/>
        </w:rPr>
        <w:t xml:space="preserve"> </w:t>
      </w:r>
    </w:p>
    <w:p w14:paraId="08837CC8" w14:textId="77777777" w:rsidR="003B0BF0" w:rsidRPr="00F72CF5" w:rsidRDefault="003B0BF0" w:rsidP="00CA5389">
      <w:pPr>
        <w:rPr>
          <w:sz w:val="16"/>
          <w:szCs w:val="16"/>
        </w:rPr>
      </w:pPr>
    </w:p>
    <w:p w14:paraId="52DB1764" w14:textId="5D7BA551" w:rsidR="00EF7933" w:rsidRDefault="00757208" w:rsidP="00EF7933">
      <w:pPr>
        <w:pStyle w:val="Heading2"/>
        <w:numPr>
          <w:ilvl w:val="2"/>
          <w:numId w:val="4"/>
        </w:numPr>
        <w:spacing w:after="240"/>
      </w:pPr>
      <w:bookmarkStart w:id="77" w:name="_Toc519088609"/>
      <w:r w:rsidRPr="00845A47">
        <w:t>Council tax band</w:t>
      </w:r>
      <w:bookmarkEnd w:id="77"/>
    </w:p>
    <w:p w14:paraId="06DE65D6" w14:textId="39678160" w:rsidR="00CA5389" w:rsidRPr="00EF7933" w:rsidRDefault="00757208" w:rsidP="009163B1">
      <w:r w:rsidRPr="00EF7933">
        <w:t xml:space="preserve">Dwellings are placed in one of eight Council Tax bands A-H with band H being the most expensive.  Most dwellings in Aberdeen City (60%) are in bands A-C, with 25% being in bands D-E and 15% being in bands G-H.  </w:t>
      </w:r>
      <w:r w:rsidR="00D27BEC" w:rsidRPr="00EF7933">
        <w:t xml:space="preserve">The proportion in each category </w:t>
      </w:r>
      <w:r w:rsidR="00CE497D" w:rsidRPr="00EF7933">
        <w:t>is</w:t>
      </w:r>
      <w:r w:rsidR="00D27BEC" w:rsidRPr="00EF7933">
        <w:t xml:space="preserve"> similar to </w:t>
      </w:r>
      <w:r w:rsidR="00CA5389" w:rsidRPr="00EF7933">
        <w:t xml:space="preserve">respective proportions in </w:t>
      </w:r>
      <w:r w:rsidR="00D27BEC" w:rsidRPr="00EF7933">
        <w:t>Scotland as a whole</w:t>
      </w:r>
      <w:r w:rsidR="00CA5389" w:rsidRPr="00EF7933">
        <w:t xml:space="preserve"> (60%, 27% and 13% respectively)</w:t>
      </w:r>
      <w:r w:rsidR="00D27BEC" w:rsidRPr="00EF7933">
        <w:t>.</w:t>
      </w:r>
      <w:r w:rsidR="00CA5389" w:rsidRPr="00EF7933">
        <w:t xml:space="preserve">  However, the proportion of dwellings within each council tax band varies substantially by neighbourhood.  For example, the proportion of dwellings in bands A-C ranges from a low of 7.5% in Kingswells to a high of 99.7% in Middlefield. </w:t>
      </w:r>
    </w:p>
    <w:p w14:paraId="43929DFC" w14:textId="77777777" w:rsidR="00CE497D" w:rsidRPr="006335CC" w:rsidRDefault="00CE497D" w:rsidP="00CA5389">
      <w:pPr>
        <w:spacing w:line="240" w:lineRule="auto"/>
      </w:pPr>
    </w:p>
    <w:p w14:paraId="1C05CD67" w14:textId="25A5ADF4" w:rsidR="00513CEA" w:rsidRPr="0056601B" w:rsidRDefault="00513CEA" w:rsidP="00CE497D">
      <w:pPr>
        <w:spacing w:line="240" w:lineRule="auto"/>
        <w:ind w:left="0" w:firstLine="720"/>
        <w:rPr>
          <w:b/>
        </w:rPr>
      </w:pPr>
      <w:r>
        <w:rPr>
          <w:noProof/>
        </w:rPr>
        <w:drawing>
          <wp:inline distT="0" distB="0" distL="0" distR="0" wp14:anchorId="600F32B2" wp14:editId="05559E04">
            <wp:extent cx="5200650" cy="3143250"/>
            <wp:effectExtent l="0" t="0" r="0" b="0"/>
            <wp:docPr id="42" name="Chart 42">
              <a:extLst xmlns:a="http://schemas.openxmlformats.org/drawingml/2006/main">
                <a:ext uri="{FF2B5EF4-FFF2-40B4-BE49-F238E27FC236}">
                  <a16:creationId xmlns:a16="http://schemas.microsoft.com/office/drawing/2014/main" id="{876D5A9A-33F7-4765-918C-95394649D2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5B3FD3E5" w14:textId="694D2372" w:rsidR="00CA5389" w:rsidRDefault="00CA5389" w:rsidP="00CA5389">
      <w:pPr>
        <w:spacing w:line="240" w:lineRule="auto"/>
        <w:rPr>
          <w:rStyle w:val="Hyperlink"/>
          <w:sz w:val="16"/>
          <w:szCs w:val="16"/>
        </w:rPr>
      </w:pPr>
      <w:r w:rsidRPr="00F72CF5">
        <w:rPr>
          <w:sz w:val="16"/>
          <w:szCs w:val="16"/>
        </w:rPr>
        <w:t xml:space="preserve">Source: National Records of Scotland, Small area statistics on households and dwellings, available at: </w:t>
      </w:r>
      <w:hyperlink r:id="rId134" w:history="1">
        <w:r w:rsidRPr="00F72CF5">
          <w:rPr>
            <w:rStyle w:val="Hyperlink"/>
            <w:sz w:val="16"/>
            <w:szCs w:val="16"/>
          </w:rPr>
          <w:t>https://www.nrscotland.gov.uk/statistics-and-data/statistics/statistics-by-theme/housholds/household-estimates</w:t>
        </w:r>
      </w:hyperlink>
    </w:p>
    <w:p w14:paraId="3AB0DA20" w14:textId="77777777" w:rsidR="00CA5389" w:rsidRDefault="00CA5389" w:rsidP="00CE497D">
      <w:pPr>
        <w:spacing w:line="240" w:lineRule="auto"/>
        <w:rPr>
          <w:sz w:val="16"/>
          <w:szCs w:val="16"/>
        </w:rPr>
      </w:pPr>
      <w:r>
        <w:rPr>
          <w:sz w:val="16"/>
          <w:szCs w:val="16"/>
        </w:rPr>
        <w:t>*Braeside, Mannofield, Broomhill and Seafield</w:t>
      </w:r>
      <w:r w:rsidRPr="00F72CF5">
        <w:rPr>
          <w:sz w:val="16"/>
          <w:szCs w:val="16"/>
        </w:rPr>
        <w:t xml:space="preserve"> </w:t>
      </w:r>
    </w:p>
    <w:p w14:paraId="1B58A27C" w14:textId="77777777" w:rsidR="008B0376" w:rsidRDefault="008B0376" w:rsidP="0089036C">
      <w:pPr>
        <w:rPr>
          <w:rFonts w:cstheme="minorHAnsi"/>
          <w:b/>
        </w:rPr>
      </w:pPr>
    </w:p>
    <w:p w14:paraId="1CEEA667" w14:textId="4513956F" w:rsidR="0089036C" w:rsidRDefault="0089036C" w:rsidP="0089036C">
      <w:pPr>
        <w:rPr>
          <w:rFonts w:cstheme="minorHAnsi"/>
        </w:rPr>
      </w:pPr>
      <w:r>
        <w:rPr>
          <w:rFonts w:cstheme="minorHAnsi"/>
          <w:b/>
        </w:rPr>
        <w:lastRenderedPageBreak/>
        <w:t>Single adult discount</w:t>
      </w:r>
      <w:r w:rsidRPr="00C0140B">
        <w:rPr>
          <w:rFonts w:cstheme="minorHAnsi"/>
          <w:b/>
        </w:rPr>
        <w:t>:</w:t>
      </w:r>
      <w:r>
        <w:rPr>
          <w:rFonts w:cstheme="minorHAnsi"/>
          <w:b/>
        </w:rPr>
        <w:t xml:space="preserve">  </w:t>
      </w:r>
      <w:r>
        <w:rPr>
          <w:rFonts w:cstheme="minorHAnsi"/>
        </w:rPr>
        <w:t xml:space="preserve">Single adult discounts are given to dwellings where one adult lives alone, with children or with another adult who is exempt from paying Council Tax (e.g. student).  </w:t>
      </w:r>
      <w:r w:rsidRPr="00C0140B">
        <w:rPr>
          <w:rFonts w:cstheme="minorHAnsi"/>
        </w:rPr>
        <w:t>Of the 115,080</w:t>
      </w:r>
      <w:r>
        <w:rPr>
          <w:rFonts w:cstheme="minorHAnsi"/>
          <w:b/>
        </w:rPr>
        <w:t xml:space="preserve"> </w:t>
      </w:r>
      <w:r>
        <w:rPr>
          <w:rFonts w:cstheme="minorHAnsi"/>
        </w:rPr>
        <w:t xml:space="preserve">dwellings in Aberdeen City, 42,903 (37.3%) have a single adult discount.  At a neighbourhood level, the </w:t>
      </w:r>
      <w:r w:rsidRPr="00356D21">
        <w:rPr>
          <w:rFonts w:cstheme="minorHAnsi"/>
        </w:rPr>
        <w:t>proportion of dwellings with a single adult Council Tax discount ranged from a low of 22.3% in Kingswells to a high of 49.9% in Woodside</w:t>
      </w:r>
      <w:r>
        <w:rPr>
          <w:rFonts w:cstheme="minorHAnsi"/>
        </w:rPr>
        <w:t>.</w:t>
      </w:r>
    </w:p>
    <w:p w14:paraId="0A726E80" w14:textId="77777777" w:rsidR="0089036C" w:rsidRDefault="0089036C" w:rsidP="0089036C">
      <w:pPr>
        <w:rPr>
          <w:rFonts w:cstheme="minorHAnsi"/>
        </w:rPr>
      </w:pPr>
    </w:p>
    <w:p w14:paraId="6305D700" w14:textId="77777777" w:rsidR="0089036C" w:rsidRDefault="0089036C" w:rsidP="0089036C">
      <w:pPr>
        <w:rPr>
          <w:rFonts w:cstheme="minorHAnsi"/>
        </w:rPr>
      </w:pPr>
      <w:r>
        <w:rPr>
          <w:noProof/>
        </w:rPr>
        <w:drawing>
          <wp:inline distT="0" distB="0" distL="0" distR="0" wp14:anchorId="7AE56909" wp14:editId="4DFB6B24">
            <wp:extent cx="5054600" cy="2640788"/>
            <wp:effectExtent l="0" t="0" r="12700" b="7620"/>
            <wp:docPr id="32" name="Chart 32">
              <a:extLst xmlns:a="http://schemas.openxmlformats.org/drawingml/2006/main">
                <a:ext uri="{FF2B5EF4-FFF2-40B4-BE49-F238E27FC236}">
                  <a16:creationId xmlns:a16="http://schemas.microsoft.com/office/drawing/2014/main" id="{00000000-0008-0000-09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7216052C" w14:textId="4F55C6D9" w:rsidR="0089036C" w:rsidRDefault="0089036C" w:rsidP="0089036C">
      <w:pPr>
        <w:rPr>
          <w:rStyle w:val="Hyperlink"/>
          <w:sz w:val="16"/>
          <w:szCs w:val="16"/>
        </w:rPr>
      </w:pPr>
      <w:r w:rsidRPr="00F72CF5">
        <w:rPr>
          <w:sz w:val="16"/>
          <w:szCs w:val="16"/>
        </w:rPr>
        <w:t xml:space="preserve">Source: National Records of Scotland, Small area statistics on households and dwellings, available at: </w:t>
      </w:r>
      <w:hyperlink r:id="rId136" w:history="1">
        <w:r w:rsidRPr="00F72CF5">
          <w:rPr>
            <w:rStyle w:val="Hyperlink"/>
            <w:sz w:val="16"/>
            <w:szCs w:val="16"/>
          </w:rPr>
          <w:t>https://www.nrscotland.gov.uk/statistics-and-data/statistics/statistics-by-theme/housholds/household-estimates</w:t>
        </w:r>
      </w:hyperlink>
    </w:p>
    <w:p w14:paraId="51D15195" w14:textId="77777777" w:rsidR="0089036C" w:rsidRDefault="0089036C" w:rsidP="0089036C">
      <w:pPr>
        <w:rPr>
          <w:sz w:val="16"/>
          <w:szCs w:val="16"/>
        </w:rPr>
      </w:pPr>
      <w:r>
        <w:rPr>
          <w:sz w:val="16"/>
          <w:szCs w:val="16"/>
        </w:rPr>
        <w:t>*Braeside, Mannofield, Broomhill and Seafield</w:t>
      </w:r>
      <w:r w:rsidRPr="00F72CF5">
        <w:rPr>
          <w:sz w:val="16"/>
          <w:szCs w:val="16"/>
        </w:rPr>
        <w:t xml:space="preserve"> </w:t>
      </w:r>
    </w:p>
    <w:p w14:paraId="6633B0D8" w14:textId="77777777" w:rsidR="0089036C" w:rsidRDefault="0089036C" w:rsidP="0089036C">
      <w:pPr>
        <w:rPr>
          <w:sz w:val="16"/>
          <w:szCs w:val="16"/>
        </w:rPr>
      </w:pPr>
    </w:p>
    <w:p w14:paraId="68144800" w14:textId="77777777" w:rsidR="0089036C" w:rsidRDefault="0089036C" w:rsidP="0089036C">
      <w:pPr>
        <w:rPr>
          <w:rFonts w:cstheme="minorHAnsi"/>
        </w:rPr>
      </w:pPr>
      <w:r w:rsidRPr="00860EAD">
        <w:rPr>
          <w:rFonts w:cstheme="minorHAnsi"/>
          <w:b/>
        </w:rPr>
        <w:t>‘Occupied exemptions’:</w:t>
      </w:r>
      <w:r>
        <w:rPr>
          <w:rFonts w:cstheme="minorHAnsi"/>
        </w:rPr>
        <w:t xml:space="preserve"> ‘Occupied exemptions’ relate to dwellings which are occupied but the occupants are exempt from paying Council Tax.  Most of these are all-student households, although other types of dwelling such as armed forces accommodation are included in this category.    In Aberdeen City, 6,857 (6.0%) dwellings had ‘occupied exemptions’.  While this rate is relatively high compared to Scotland (2.9%), it is consistent with the rate in other council areas which have major universities including; Dundee City (7.1%), Glasgow City (6.7%), City of Edinburgh (6.5%) and Stirling (4.2%).  For most other local authorities, the rate of ‘occupied exemptions’ is around 1%.  I</w:t>
      </w:r>
      <w:r w:rsidRPr="00AD0D8A">
        <w:rPr>
          <w:rFonts w:cstheme="minorHAnsi"/>
        </w:rPr>
        <w:t xml:space="preserve">n most neighbourhoods </w:t>
      </w:r>
      <w:r>
        <w:rPr>
          <w:rFonts w:cstheme="minorHAnsi"/>
        </w:rPr>
        <w:t xml:space="preserve">of the City </w:t>
      </w:r>
      <w:r w:rsidRPr="00AD0D8A">
        <w:rPr>
          <w:rFonts w:cstheme="minorHAnsi"/>
        </w:rPr>
        <w:t>the proportion of dwellings exempt from paying Council Tax is relatively low and considerably less than the average for Aberdeen City of 6%.  However, there are</w:t>
      </w:r>
      <w:r>
        <w:rPr>
          <w:rFonts w:cstheme="minorHAnsi"/>
        </w:rPr>
        <w:t xml:space="preserve"> several</w:t>
      </w:r>
      <w:r w:rsidRPr="00AD0D8A">
        <w:rPr>
          <w:rFonts w:cstheme="minorHAnsi"/>
        </w:rPr>
        <w:t xml:space="preserve"> neighbourhoods where the proportion is much higher than the average rate for the City.  In particular, Old Aberdeen (32.7%) and Froghall, Powis &amp; Sunnybank (23.3%) have a high proportion of exempt dwellings.  </w:t>
      </w:r>
    </w:p>
    <w:p w14:paraId="6D1B19AA" w14:textId="77777777" w:rsidR="0089036C" w:rsidRDefault="0089036C" w:rsidP="0089036C">
      <w:pPr>
        <w:rPr>
          <w:rFonts w:cstheme="minorHAnsi"/>
        </w:rPr>
      </w:pPr>
    </w:p>
    <w:p w14:paraId="43B47DA7" w14:textId="77777777" w:rsidR="0089036C" w:rsidRDefault="0089036C" w:rsidP="0089036C">
      <w:r>
        <w:rPr>
          <w:noProof/>
          <w:lang w:eastAsia="en-GB"/>
        </w:rPr>
        <w:lastRenderedPageBreak/>
        <w:drawing>
          <wp:inline distT="0" distB="0" distL="0" distR="0" wp14:anchorId="414A1B12" wp14:editId="52FD56F5">
            <wp:extent cx="5438140" cy="2384755"/>
            <wp:effectExtent l="0" t="0" r="10160" b="1587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7E4542E9" w14:textId="28BA4508" w:rsidR="0089036C" w:rsidRDefault="0089036C" w:rsidP="0089036C">
      <w:pPr>
        <w:spacing w:line="240" w:lineRule="auto"/>
        <w:rPr>
          <w:rStyle w:val="Hyperlink"/>
          <w:sz w:val="16"/>
          <w:szCs w:val="16"/>
        </w:rPr>
      </w:pPr>
      <w:r w:rsidRPr="00F72CF5">
        <w:rPr>
          <w:sz w:val="16"/>
          <w:szCs w:val="16"/>
        </w:rPr>
        <w:t xml:space="preserve">Source: National Records of Scotland, Small area statistics on households and dwellings, available at: </w:t>
      </w:r>
      <w:hyperlink r:id="rId138" w:history="1">
        <w:r w:rsidRPr="00F72CF5">
          <w:rPr>
            <w:rStyle w:val="Hyperlink"/>
            <w:sz w:val="16"/>
            <w:szCs w:val="16"/>
          </w:rPr>
          <w:t>https://www.nrscotland.gov.uk/statistics-and-data/statistics/statistics-by-theme/housholds/household-estimates</w:t>
        </w:r>
      </w:hyperlink>
    </w:p>
    <w:p w14:paraId="4224DD47" w14:textId="77777777" w:rsidR="0089036C" w:rsidRDefault="0089036C" w:rsidP="0089036C">
      <w:pPr>
        <w:spacing w:line="240" w:lineRule="auto"/>
        <w:rPr>
          <w:sz w:val="16"/>
          <w:szCs w:val="16"/>
        </w:rPr>
      </w:pPr>
      <w:r>
        <w:rPr>
          <w:sz w:val="16"/>
          <w:szCs w:val="16"/>
        </w:rPr>
        <w:t>*Braeside, Mannofield, Broomhill and Seafield</w:t>
      </w:r>
      <w:r w:rsidRPr="00F72CF5">
        <w:rPr>
          <w:sz w:val="16"/>
          <w:szCs w:val="16"/>
        </w:rPr>
        <w:t xml:space="preserve"> </w:t>
      </w:r>
    </w:p>
    <w:p w14:paraId="1B49D7B8" w14:textId="77777777" w:rsidR="0089036C" w:rsidRDefault="0089036C" w:rsidP="0089036C"/>
    <w:p w14:paraId="47F1EE2D" w14:textId="2523ECF3" w:rsidR="00757208" w:rsidRDefault="00757208" w:rsidP="000B1DFC"/>
    <w:p w14:paraId="2573CA24" w14:textId="7F5D3564" w:rsidR="00845A47" w:rsidRPr="00845A47" w:rsidRDefault="00757208" w:rsidP="00845A47">
      <w:pPr>
        <w:pStyle w:val="Heading2"/>
        <w:numPr>
          <w:ilvl w:val="2"/>
          <w:numId w:val="4"/>
        </w:numPr>
        <w:spacing w:after="240"/>
      </w:pPr>
      <w:bookmarkStart w:id="78" w:name="_Toc519088610"/>
      <w:r w:rsidRPr="00845A47">
        <w:t>Dwelling type</w:t>
      </w:r>
      <w:bookmarkEnd w:id="78"/>
      <w:r w:rsidRPr="00845A47">
        <w:t xml:space="preserve"> </w:t>
      </w:r>
    </w:p>
    <w:p w14:paraId="1ECB31FC" w14:textId="201374C7" w:rsidR="004A6195" w:rsidRDefault="00757208" w:rsidP="00757208">
      <w:pPr>
        <w:rPr>
          <w:rFonts w:ascii="Calibri" w:eastAsia="Calibri" w:hAnsi="Calibri" w:cs="Times New Roman"/>
        </w:rPr>
      </w:pPr>
      <w:r w:rsidRPr="00757208">
        <w:rPr>
          <w:rFonts w:ascii="Calibri" w:eastAsia="Calibri" w:hAnsi="Calibri" w:cs="Times New Roman"/>
        </w:rPr>
        <w:t>Flats are the most common dwelling type in Aberdeen City, making up 55% of all dwellings compared to 38% for Scotland.  Terraced (18%) and semi-detached (1</w:t>
      </w:r>
      <w:r w:rsidR="001A7FD2">
        <w:rPr>
          <w:rFonts w:ascii="Calibri" w:eastAsia="Calibri" w:hAnsi="Calibri" w:cs="Times New Roman"/>
        </w:rPr>
        <w:t>6</w:t>
      </w:r>
      <w:r w:rsidRPr="00757208">
        <w:rPr>
          <w:rFonts w:ascii="Calibri" w:eastAsia="Calibri" w:hAnsi="Calibri" w:cs="Times New Roman"/>
        </w:rPr>
        <w:t xml:space="preserve">%) dwellings are the next most common, with detached houses (11%) making up the smallest proportion of the City’s dwellings.    </w:t>
      </w:r>
    </w:p>
    <w:p w14:paraId="0E32183B" w14:textId="77777777" w:rsidR="00CE497D" w:rsidRDefault="00CE497D" w:rsidP="00757208">
      <w:pPr>
        <w:rPr>
          <w:rFonts w:ascii="Calibri" w:eastAsia="Calibri" w:hAnsi="Calibri" w:cs="Times New Roman"/>
        </w:rPr>
      </w:pPr>
    </w:p>
    <w:p w14:paraId="1FDC6B71" w14:textId="16A40E3D" w:rsidR="00757208" w:rsidRDefault="001A7FD2" w:rsidP="001A7FD2">
      <w:pPr>
        <w:rPr>
          <w:b/>
        </w:rPr>
      </w:pPr>
      <w:r>
        <w:rPr>
          <w:noProof/>
        </w:rPr>
        <w:drawing>
          <wp:inline distT="0" distB="0" distL="0" distR="0" wp14:anchorId="0A109F81" wp14:editId="72D8E039">
            <wp:extent cx="5149850" cy="2128723"/>
            <wp:effectExtent l="0" t="0" r="12700" b="5080"/>
            <wp:docPr id="39" name="Chart 39">
              <a:extLst xmlns:a="http://schemas.openxmlformats.org/drawingml/2006/main">
                <a:ext uri="{FF2B5EF4-FFF2-40B4-BE49-F238E27FC236}">
                  <a16:creationId xmlns:a16="http://schemas.microsoft.com/office/drawing/2014/main" id="{B172B2FF-B609-462A-B27B-7F73A3EF61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2EC30996" w14:textId="499D6AA4" w:rsidR="001A7FD2" w:rsidRPr="001A7FD2" w:rsidRDefault="001A7FD2" w:rsidP="00605EBC">
      <w:pPr>
        <w:spacing w:after="360"/>
        <w:rPr>
          <w:sz w:val="16"/>
          <w:szCs w:val="16"/>
        </w:rPr>
      </w:pPr>
      <w:r w:rsidRPr="001A7FD2">
        <w:rPr>
          <w:sz w:val="16"/>
          <w:szCs w:val="16"/>
        </w:rPr>
        <w:t xml:space="preserve">Source: National Records of Scotland, </w:t>
      </w:r>
      <w:r w:rsidRPr="001A7FD2">
        <w:rPr>
          <w:sz w:val="16"/>
          <w:szCs w:val="16"/>
          <w:lang w:val="en"/>
        </w:rPr>
        <w:t>Estimates of Households and Dwellings in Scotland, 2017</w:t>
      </w:r>
    </w:p>
    <w:p w14:paraId="53ECECC3" w14:textId="138A2E58" w:rsidR="00B23B62" w:rsidRDefault="00605EBC" w:rsidP="00B23B62">
      <w:r>
        <w:t xml:space="preserve">While flats are the most common dwelling type overall in the City, there are differences depending on where you live.  </w:t>
      </w:r>
      <w:r w:rsidR="00CA5389">
        <w:t>For example</w:t>
      </w:r>
      <w:r w:rsidR="00513CEA">
        <w:t>,</w:t>
      </w:r>
      <w:r w:rsidR="00CA5389">
        <w:t xml:space="preserve"> in Kingswells (64.8%) and Cults, Bieldside and Milltimber (58.6%) most of the dwellings are detached properties, while in Sheddocksley (67.5%), Northfield (64.5%), Heathryfold (62.2%) and Mastrick (59.3%) most dwellings are terraced houses.  </w:t>
      </w:r>
    </w:p>
    <w:p w14:paraId="3720A92E" w14:textId="77777777" w:rsidR="00CE497D" w:rsidRDefault="00CE497D" w:rsidP="00B23B62"/>
    <w:p w14:paraId="6800E26F" w14:textId="6A6061D0" w:rsidR="0046532D" w:rsidRPr="00605EBC" w:rsidRDefault="0046532D" w:rsidP="00B23B62">
      <w:pPr>
        <w:rPr>
          <w:b/>
        </w:rPr>
      </w:pPr>
      <w:r>
        <w:rPr>
          <w:noProof/>
        </w:rPr>
        <w:lastRenderedPageBreak/>
        <w:drawing>
          <wp:inline distT="0" distB="0" distL="0" distR="0" wp14:anchorId="4F466D85" wp14:editId="5CB5496A">
            <wp:extent cx="5029200" cy="3640455"/>
            <wp:effectExtent l="0" t="0" r="0" b="17145"/>
            <wp:docPr id="40" name="Chart 40">
              <a:extLst xmlns:a="http://schemas.openxmlformats.org/drawingml/2006/main">
                <a:ext uri="{FF2B5EF4-FFF2-40B4-BE49-F238E27FC236}">
                  <a16:creationId xmlns:a16="http://schemas.microsoft.com/office/drawing/2014/main" id="{B8E061C1-72F8-4B0F-AC20-487ADFAA74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6D9EED4B" w14:textId="0CF7015A" w:rsidR="00CA5389" w:rsidRDefault="00CA5389" w:rsidP="00CA5389">
      <w:pPr>
        <w:rPr>
          <w:rStyle w:val="Hyperlink"/>
          <w:sz w:val="16"/>
          <w:szCs w:val="16"/>
        </w:rPr>
      </w:pPr>
      <w:r w:rsidRPr="00F72CF5">
        <w:rPr>
          <w:sz w:val="16"/>
          <w:szCs w:val="16"/>
        </w:rPr>
        <w:t xml:space="preserve">Source: National Records of Scotland, Small area statistics on households and dwellings, available at: </w:t>
      </w:r>
      <w:hyperlink r:id="rId141" w:history="1">
        <w:r w:rsidRPr="00F72CF5">
          <w:rPr>
            <w:rStyle w:val="Hyperlink"/>
            <w:sz w:val="16"/>
            <w:szCs w:val="16"/>
          </w:rPr>
          <w:t>https://www.nrscotland.gov.uk/statistics-and-data/statistics/statistics-by-theme/housholds/household-estimates</w:t>
        </w:r>
      </w:hyperlink>
    </w:p>
    <w:p w14:paraId="42A1EF38" w14:textId="77777777" w:rsidR="00CA5389" w:rsidRDefault="00CA5389" w:rsidP="00CA5389">
      <w:pPr>
        <w:spacing w:line="240" w:lineRule="auto"/>
        <w:ind w:firstLine="720"/>
        <w:rPr>
          <w:sz w:val="16"/>
          <w:szCs w:val="16"/>
        </w:rPr>
      </w:pPr>
      <w:r>
        <w:rPr>
          <w:sz w:val="16"/>
          <w:szCs w:val="16"/>
        </w:rPr>
        <w:t>*Braeside, Mannofield, Broomhill and Seafield</w:t>
      </w:r>
      <w:r w:rsidRPr="00F72CF5">
        <w:rPr>
          <w:sz w:val="16"/>
          <w:szCs w:val="16"/>
        </w:rPr>
        <w:t xml:space="preserve"> </w:t>
      </w:r>
    </w:p>
    <w:p w14:paraId="24913B9F" w14:textId="77777777" w:rsidR="00605EBC" w:rsidRDefault="00605EBC" w:rsidP="00605EBC"/>
    <w:p w14:paraId="45361FAD" w14:textId="16C717D0" w:rsidR="00CA5389" w:rsidRDefault="00605EBC" w:rsidP="00605EBC">
      <w:r w:rsidRPr="00605EBC">
        <w:rPr>
          <w:b/>
        </w:rPr>
        <w:t>Dwellings by occupancy</w:t>
      </w:r>
      <w:r>
        <w:t>:  Ninety-five percent of the City’s dwellings are occupied (compared to 96% for Scotland).  Of those that are not occupied, almost 80% (4,544) are classified as vacant and 20% (1,175) are classified as second homes</w:t>
      </w:r>
      <w:r w:rsidRPr="009413D6">
        <w:t xml:space="preserve">. </w:t>
      </w:r>
      <w:r w:rsidR="009413D6" w:rsidRPr="009413D6">
        <w:t>Over</w:t>
      </w:r>
      <w:r w:rsidRPr="009413D6">
        <w:t xml:space="preserve"> the past year there has been a sharp increase (30%) in the number of vacant dwellings from 3,484 in 2016.  </w:t>
      </w:r>
      <w:r>
        <w:t xml:space="preserve">The proportion of </w:t>
      </w:r>
      <w:r w:rsidR="009413D6">
        <w:t>un</w:t>
      </w:r>
      <w:r>
        <w:t xml:space="preserve">occupied dwellings varies by neighbourhood.  </w:t>
      </w:r>
      <w:r w:rsidRPr="00605EBC">
        <w:t xml:space="preserve">The neighbourhood with the </w:t>
      </w:r>
      <w:r>
        <w:t>highest</w:t>
      </w:r>
      <w:r w:rsidRPr="00605EBC">
        <w:t xml:space="preserve"> percentage of </w:t>
      </w:r>
      <w:r>
        <w:t>un</w:t>
      </w:r>
      <w:r w:rsidRPr="00605EBC">
        <w:t>occupied dwellings is Middlefield (9</w:t>
      </w:r>
      <w:r>
        <w:t>.8</w:t>
      </w:r>
      <w:r w:rsidRPr="00605EBC">
        <w:t xml:space="preserve">%), while the neighbourhood with the </w:t>
      </w:r>
      <w:r>
        <w:t>lowest</w:t>
      </w:r>
      <w:r w:rsidRPr="00605EBC">
        <w:t xml:space="preserve"> percentage of </w:t>
      </w:r>
      <w:r>
        <w:t>un</w:t>
      </w:r>
      <w:r w:rsidRPr="00605EBC">
        <w:t>occupied dwellings is Northfield (</w:t>
      </w:r>
      <w:r>
        <w:t>1.3</w:t>
      </w:r>
      <w:r w:rsidRPr="00605EBC">
        <w:t>%).</w:t>
      </w:r>
    </w:p>
    <w:p w14:paraId="67701C6C" w14:textId="77777777" w:rsidR="00CE497D" w:rsidRPr="00CA5389" w:rsidRDefault="00CE497D" w:rsidP="00605EBC"/>
    <w:p w14:paraId="74494080" w14:textId="5184000C" w:rsidR="004A6195" w:rsidRDefault="004A6195" w:rsidP="004A6195">
      <w:pPr>
        <w:pStyle w:val="Heading2"/>
        <w:numPr>
          <w:ilvl w:val="1"/>
          <w:numId w:val="4"/>
        </w:numPr>
      </w:pPr>
      <w:bookmarkStart w:id="79" w:name="_Toc519088611"/>
      <w:r>
        <w:t>Hous</w:t>
      </w:r>
      <w:r w:rsidR="00813483">
        <w:t>ehold</w:t>
      </w:r>
      <w:r>
        <w:t xml:space="preserve"> tenure</w:t>
      </w:r>
      <w:bookmarkEnd w:id="79"/>
    </w:p>
    <w:p w14:paraId="42747530" w14:textId="1E878E02" w:rsidR="00813483" w:rsidRDefault="00813483" w:rsidP="00813483"/>
    <w:p w14:paraId="515FB5F9" w14:textId="3F6B866E" w:rsidR="00813483" w:rsidRDefault="00813483" w:rsidP="00813483">
      <w:r>
        <w:t xml:space="preserve">At the time of the 2011 Census, 57.3% of households were owned, 24.2% were socially rented, 17.0% were privately rented and 1.4% were rent-free.  Compared to Scotland, Aberdeen had a lower proportion of owned </w:t>
      </w:r>
      <w:r w:rsidR="009D7E23">
        <w:t>households</w:t>
      </w:r>
      <w:r>
        <w:t xml:space="preserve"> (</w:t>
      </w:r>
      <w:r w:rsidR="0044559A">
        <w:t>62.0% in Scotland) and a higher proportion of privately rented</w:t>
      </w:r>
      <w:r w:rsidR="009D7E23">
        <w:t xml:space="preserve"> households (12.4% in Scotland).  The proportion of social rented households was similar (24.3% in Scotland).</w:t>
      </w:r>
    </w:p>
    <w:p w14:paraId="6D3847AC" w14:textId="49E5AFD3" w:rsidR="009D7E23" w:rsidRDefault="009D7E23" w:rsidP="00813483"/>
    <w:p w14:paraId="0B97111D" w14:textId="4DA43316" w:rsidR="009D7E23" w:rsidRDefault="009D7E23" w:rsidP="00813483">
      <w:r>
        <w:t xml:space="preserve">Household tenure varied by neighbourhood.  For example, in Oldmacher, Cove and Kingswells almost 90% of households were ‘owned’ whereas over three-quarters (78.5%) Middlefield were socially rented.  Almost half (47.1%) of households in the City Centre were privately rented.  </w:t>
      </w:r>
    </w:p>
    <w:p w14:paraId="470C2248" w14:textId="77777777" w:rsidR="009D7E23" w:rsidRDefault="009D7E23" w:rsidP="00813483"/>
    <w:p w14:paraId="1209A580" w14:textId="071975B7" w:rsidR="00813483" w:rsidRPr="00813483" w:rsidRDefault="00813483" w:rsidP="00813483">
      <w:r>
        <w:rPr>
          <w:noProof/>
        </w:rPr>
        <w:lastRenderedPageBreak/>
        <w:drawing>
          <wp:inline distT="0" distB="0" distL="0" distR="0" wp14:anchorId="76C59424" wp14:editId="1B9910B6">
            <wp:extent cx="5244465" cy="3159457"/>
            <wp:effectExtent l="0" t="0" r="13335" b="3175"/>
            <wp:docPr id="75" name="Chart 75">
              <a:extLst xmlns:a="http://schemas.openxmlformats.org/drawingml/2006/main">
                <a:ext uri="{FF2B5EF4-FFF2-40B4-BE49-F238E27FC236}">
                  <a16:creationId xmlns:a16="http://schemas.microsoft.com/office/drawing/2014/main" id="{21A1063C-BAF9-42C4-903A-E81A566FDE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6FBBFC35" w14:textId="2C5116C8" w:rsidR="00CE497D" w:rsidRDefault="009D7E23" w:rsidP="00CE497D">
      <w:pPr>
        <w:rPr>
          <w:sz w:val="16"/>
          <w:szCs w:val="16"/>
        </w:rPr>
      </w:pPr>
      <w:r w:rsidRPr="009D7E23">
        <w:rPr>
          <w:sz w:val="16"/>
          <w:szCs w:val="16"/>
        </w:rPr>
        <w:t>Source: Scotland’s Census, 2011</w:t>
      </w:r>
    </w:p>
    <w:p w14:paraId="3DE3B2D3" w14:textId="77777777" w:rsidR="0045629F" w:rsidRPr="009D7E23" w:rsidRDefault="0045629F" w:rsidP="00CE497D">
      <w:pPr>
        <w:rPr>
          <w:sz w:val="16"/>
          <w:szCs w:val="16"/>
        </w:rPr>
      </w:pPr>
    </w:p>
    <w:p w14:paraId="10B714BA" w14:textId="793CD0B1" w:rsidR="00394DA2" w:rsidRDefault="004A7EA0" w:rsidP="00B85E06">
      <w:pPr>
        <w:pStyle w:val="Heading2"/>
        <w:numPr>
          <w:ilvl w:val="1"/>
          <w:numId w:val="4"/>
        </w:numPr>
      </w:pPr>
      <w:bookmarkStart w:id="80" w:name="_Toc519088612"/>
      <w:r>
        <w:t>Social</w:t>
      </w:r>
      <w:r w:rsidR="008F723A">
        <w:t xml:space="preserve"> h</w:t>
      </w:r>
      <w:r w:rsidR="00B85E06">
        <w:t>ousing</w:t>
      </w:r>
      <w:bookmarkEnd w:id="80"/>
      <w:r w:rsidR="00B85E06">
        <w:t xml:space="preserve"> </w:t>
      </w:r>
    </w:p>
    <w:p w14:paraId="01F99E65" w14:textId="55235365" w:rsidR="009D7E23" w:rsidRDefault="009D7E23" w:rsidP="009D7E23"/>
    <w:p w14:paraId="59A112EC" w14:textId="214AAF38" w:rsidR="004A7EA0" w:rsidRDefault="008F723A" w:rsidP="009D7E23">
      <w:r w:rsidRPr="008F723A">
        <w:rPr>
          <w:b/>
        </w:rPr>
        <w:t>Housing stock:</w:t>
      </w:r>
      <w:r>
        <w:t xml:space="preserve">  </w:t>
      </w:r>
      <w:r w:rsidR="00CD1DC1">
        <w:t xml:space="preserve">In Aberdeen City in 2017 </w:t>
      </w:r>
      <w:r w:rsidR="004A7EA0">
        <w:t xml:space="preserve">the Local Authority’s housing stock totalled </w:t>
      </w:r>
      <w:r w:rsidR="00CD1DC1">
        <w:t>22,041 dwellings</w:t>
      </w:r>
      <w:r w:rsidR="004A7EA0">
        <w:t xml:space="preserve"> – equivalent to 83% of all social housing stock in the City (based on 2016 data with the Housing Association managing the remaining 17% of social housing in the City)</w:t>
      </w:r>
      <w:r w:rsidR="00D268ED">
        <w:t xml:space="preserve"> and to 18.9% of all dwellings in the City</w:t>
      </w:r>
      <w:r w:rsidR="00CD1DC1">
        <w:t xml:space="preserve">.  </w:t>
      </w:r>
    </w:p>
    <w:p w14:paraId="419E5153" w14:textId="77777777" w:rsidR="004A7EA0" w:rsidRDefault="004A7EA0" w:rsidP="009D7E23"/>
    <w:p w14:paraId="11B2B1BA" w14:textId="7138E346" w:rsidR="008F723A" w:rsidRDefault="00CD1DC1" w:rsidP="009D7E23">
      <w:r>
        <w:t xml:space="preserve">Of </w:t>
      </w:r>
      <w:r w:rsidR="004A7EA0">
        <w:t>the Council stock</w:t>
      </w:r>
      <w:r>
        <w:t xml:space="preserve">, </w:t>
      </w:r>
      <w:r w:rsidR="008F723A">
        <w:t xml:space="preserve">three-quarters (75.8%) were flats and a quarter (24.2%) were houses.  Since 1998, the </w:t>
      </w:r>
      <w:r w:rsidR="003245FE">
        <w:t xml:space="preserve">total </w:t>
      </w:r>
      <w:r w:rsidR="008F723A">
        <w:t xml:space="preserve">housing stock </w:t>
      </w:r>
      <w:r w:rsidR="004A7EA0">
        <w:t xml:space="preserve">owned by the Council </w:t>
      </w:r>
      <w:r w:rsidR="008F723A">
        <w:t>has decreased by 25.1% - from 29,442 in 1998.  The number of houses has decreased more than the number of flats (-38.2% compared to -19.7%).</w:t>
      </w:r>
    </w:p>
    <w:p w14:paraId="3D0C14A5" w14:textId="41BCC3DE" w:rsidR="008F723A" w:rsidRDefault="008F723A" w:rsidP="009D7E23"/>
    <w:p w14:paraId="01B2FC16" w14:textId="4C56898C" w:rsidR="008F723A" w:rsidRDefault="008F723A" w:rsidP="009D7E23">
      <w:r>
        <w:rPr>
          <w:noProof/>
        </w:rPr>
        <w:drawing>
          <wp:inline distT="0" distB="0" distL="0" distR="0" wp14:anchorId="2EE79F18" wp14:editId="0746ED1B">
            <wp:extent cx="4900930" cy="2633472"/>
            <wp:effectExtent l="0" t="0" r="13970" b="14605"/>
            <wp:docPr id="79" name="Chart 79">
              <a:extLst xmlns:a="http://schemas.openxmlformats.org/drawingml/2006/main">
                <a:ext uri="{FF2B5EF4-FFF2-40B4-BE49-F238E27FC236}">
                  <a16:creationId xmlns:a16="http://schemas.microsoft.com/office/drawing/2014/main" id="{23DF0127-67C9-4B22-AD6B-3EC34C4E25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381A1D31" w14:textId="7AFB8B12" w:rsidR="008F723A" w:rsidRPr="008F723A" w:rsidRDefault="008F723A" w:rsidP="009D7E23">
      <w:pPr>
        <w:rPr>
          <w:sz w:val="16"/>
          <w:szCs w:val="16"/>
        </w:rPr>
      </w:pPr>
      <w:r w:rsidRPr="008F723A">
        <w:rPr>
          <w:sz w:val="16"/>
          <w:szCs w:val="16"/>
        </w:rPr>
        <w:t xml:space="preserve">Source:  Scottish Government, Housing Statistics annual Key Trends, available at: </w:t>
      </w:r>
      <w:hyperlink r:id="rId144" w:history="1">
        <w:r w:rsidRPr="008F723A">
          <w:rPr>
            <w:rStyle w:val="Hyperlink"/>
            <w:sz w:val="16"/>
            <w:szCs w:val="16"/>
          </w:rPr>
          <w:t>http://www.gov.scot/Topics/Statistics/Browse/Housing-Regeneration?utm_source=website&amp;utm_medium=navigation&amp;utm_campaign=statistics-topics</w:t>
        </w:r>
      </w:hyperlink>
      <w:r w:rsidRPr="008F723A">
        <w:rPr>
          <w:sz w:val="16"/>
          <w:szCs w:val="16"/>
        </w:rPr>
        <w:t xml:space="preserve"> </w:t>
      </w:r>
    </w:p>
    <w:p w14:paraId="37A032B7" w14:textId="71E09817" w:rsidR="009D3E22" w:rsidRDefault="009D3E22" w:rsidP="009D7E23">
      <w:r>
        <w:lastRenderedPageBreak/>
        <w:t>In the year to 31</w:t>
      </w:r>
      <w:r w:rsidRPr="009D3E22">
        <w:rPr>
          <w:vertAlign w:val="superscript"/>
        </w:rPr>
        <w:t>st</w:t>
      </w:r>
      <w:r>
        <w:t xml:space="preserve"> March 2017, </w:t>
      </w:r>
      <w:r w:rsidR="004A7EA0">
        <w:t xml:space="preserve">there were </w:t>
      </w:r>
      <w:r>
        <w:t xml:space="preserve">1,774 vacancies </w:t>
      </w:r>
      <w:r w:rsidR="00D268ED">
        <w:t xml:space="preserve">of </w:t>
      </w:r>
      <w:r>
        <w:t xml:space="preserve">which 1,696 were re-let. Of those which were re-let, 698 (41%) </w:t>
      </w:r>
      <w:r w:rsidR="004A7EA0">
        <w:t>w</w:t>
      </w:r>
      <w:r>
        <w:t xml:space="preserve">ere </w:t>
      </w:r>
      <w:r w:rsidR="004A7EA0">
        <w:t xml:space="preserve">let </w:t>
      </w:r>
      <w:r>
        <w:t xml:space="preserve">to homeless households.  </w:t>
      </w:r>
    </w:p>
    <w:p w14:paraId="085F47AC" w14:textId="36F0F9B0" w:rsidR="009D3E22" w:rsidRDefault="009D3E22" w:rsidP="009D7E23"/>
    <w:p w14:paraId="55A7A915" w14:textId="7E453EF9" w:rsidR="009D3E22" w:rsidRDefault="009D3E22" w:rsidP="009D7E23">
      <w:r>
        <w:t>At 31</w:t>
      </w:r>
      <w:r w:rsidRPr="009D3E22">
        <w:rPr>
          <w:vertAlign w:val="superscript"/>
        </w:rPr>
        <w:t>st</w:t>
      </w:r>
      <w:r>
        <w:t xml:space="preserve"> March 2017 there were a total 6,631 applicants on the housing register – a decrease of 209 from end March 2016.  Of those on the register 4,360 (65.8%) were on the waiting list and 2,271 (34.2%) were on the transfer list.  </w:t>
      </w:r>
    </w:p>
    <w:p w14:paraId="418DCBDF" w14:textId="77777777" w:rsidR="00C5119B" w:rsidRDefault="00C5119B" w:rsidP="009D7E23"/>
    <w:p w14:paraId="6053DFDF" w14:textId="1F132648" w:rsidR="009D3E22" w:rsidRDefault="009D3E22" w:rsidP="009D7E23">
      <w:pPr>
        <w:rPr>
          <w:sz w:val="16"/>
          <w:szCs w:val="16"/>
        </w:rPr>
      </w:pPr>
      <w:r w:rsidRPr="009D3E22">
        <w:rPr>
          <w:sz w:val="16"/>
          <w:szCs w:val="16"/>
        </w:rPr>
        <w:t xml:space="preserve">Source: Scottish Government, Housing Statistics for Scotland, Housing Lists, available at: </w:t>
      </w:r>
      <w:hyperlink r:id="rId145" w:history="1">
        <w:r w:rsidRPr="009D3E22">
          <w:rPr>
            <w:rStyle w:val="Hyperlink"/>
            <w:sz w:val="16"/>
            <w:szCs w:val="16"/>
          </w:rPr>
          <w:t>http://www.gov.scot/Topics/Statistics/Browse/Housing-Regeneration</w:t>
        </w:r>
      </w:hyperlink>
      <w:r w:rsidRPr="009D3E22">
        <w:rPr>
          <w:sz w:val="16"/>
          <w:szCs w:val="16"/>
        </w:rPr>
        <w:t xml:space="preserve"> </w:t>
      </w:r>
    </w:p>
    <w:p w14:paraId="2372FA3B" w14:textId="0B21EA0E" w:rsidR="00D80F88" w:rsidRDefault="00D80F88" w:rsidP="009D7E23"/>
    <w:p w14:paraId="7D3D70C7" w14:textId="77777777" w:rsidR="00883A8A" w:rsidRDefault="00883A8A" w:rsidP="009D7E23"/>
    <w:p w14:paraId="36938A99" w14:textId="18DF1F86" w:rsidR="00C06D58" w:rsidRDefault="00C06D58" w:rsidP="00C06D58">
      <w:pPr>
        <w:pStyle w:val="Heading2"/>
        <w:numPr>
          <w:ilvl w:val="1"/>
          <w:numId w:val="4"/>
        </w:numPr>
      </w:pPr>
      <w:bookmarkStart w:id="81" w:name="_Toc519088613"/>
      <w:r>
        <w:t>Affordable housing/shortage of housing?</w:t>
      </w:r>
      <w:bookmarkEnd w:id="81"/>
    </w:p>
    <w:p w14:paraId="4B7CB7CC" w14:textId="4A3B8BB6" w:rsidR="00D268ED" w:rsidRPr="00D268ED" w:rsidRDefault="009413D6" w:rsidP="00D268ED">
      <w:r>
        <w:t>To follow.</w:t>
      </w:r>
    </w:p>
    <w:p w14:paraId="5CF10703" w14:textId="77777777" w:rsidR="00C06D58" w:rsidRPr="00C06D58" w:rsidRDefault="00C06D58" w:rsidP="00C06D58"/>
    <w:p w14:paraId="1597783E" w14:textId="3DCA5847" w:rsidR="006E0301" w:rsidRDefault="006E0301" w:rsidP="00C06D58">
      <w:pPr>
        <w:pStyle w:val="Heading2"/>
        <w:numPr>
          <w:ilvl w:val="1"/>
          <w:numId w:val="4"/>
        </w:numPr>
        <w:spacing w:after="240"/>
      </w:pPr>
      <w:bookmarkStart w:id="82" w:name="_Toc519088614"/>
      <w:r>
        <w:t>Supported housing and care homes</w:t>
      </w:r>
      <w:bookmarkEnd w:id="82"/>
    </w:p>
    <w:p w14:paraId="3ABBAB16" w14:textId="3AF7CFEA" w:rsidR="006E0301" w:rsidRDefault="006E0301" w:rsidP="006E0301">
      <w:pPr>
        <w:pStyle w:val="Heading2"/>
        <w:numPr>
          <w:ilvl w:val="2"/>
          <w:numId w:val="4"/>
        </w:numPr>
      </w:pPr>
      <w:bookmarkStart w:id="83" w:name="_Toc519088615"/>
      <w:r>
        <w:t>Supported housing</w:t>
      </w:r>
      <w:bookmarkEnd w:id="83"/>
    </w:p>
    <w:p w14:paraId="4C9F32D9" w14:textId="77777777" w:rsidR="006E0301" w:rsidRDefault="006E0301" w:rsidP="006E0301"/>
    <w:p w14:paraId="126E9018" w14:textId="77777777" w:rsidR="006E0301" w:rsidRDefault="006E0301" w:rsidP="006E0301">
      <w:r>
        <w:t xml:space="preserve">A range of supported housing is provided by the Local Authority.  </w:t>
      </w:r>
    </w:p>
    <w:p w14:paraId="369A935B" w14:textId="5BC86162" w:rsidR="006E0301" w:rsidRDefault="006E0301" w:rsidP="006E0301"/>
    <w:p w14:paraId="6313CB18" w14:textId="77777777" w:rsidR="006E0301" w:rsidRPr="00154056" w:rsidRDefault="006E0301" w:rsidP="006E0301">
      <w:pPr>
        <w:rPr>
          <w:b/>
        </w:rPr>
      </w:pPr>
      <w:r w:rsidRPr="00154056">
        <w:rPr>
          <w:b/>
        </w:rPr>
        <w:t>Local Authority provision of supported housing, Aberdeen City, 31</w:t>
      </w:r>
      <w:r w:rsidRPr="00154056">
        <w:rPr>
          <w:b/>
          <w:vertAlign w:val="superscript"/>
        </w:rPr>
        <w:t>st</w:t>
      </w:r>
      <w:r w:rsidRPr="00154056">
        <w:rPr>
          <w:b/>
        </w:rPr>
        <w:t xml:space="preserve"> March 2017</w:t>
      </w:r>
    </w:p>
    <w:tbl>
      <w:tblPr>
        <w:tblStyle w:val="TableGrid"/>
        <w:tblW w:w="8199" w:type="dxa"/>
        <w:tblInd w:w="704" w:type="dxa"/>
        <w:tblLook w:val="04A0" w:firstRow="1" w:lastRow="0" w:firstColumn="1" w:lastColumn="0" w:noHBand="0" w:noVBand="1"/>
      </w:tblPr>
      <w:tblGrid>
        <w:gridCol w:w="2154"/>
        <w:gridCol w:w="2934"/>
        <w:gridCol w:w="1432"/>
        <w:gridCol w:w="1679"/>
      </w:tblGrid>
      <w:tr w:rsidR="006E0301" w:rsidRPr="00154056" w14:paraId="720C7055" w14:textId="77777777" w:rsidTr="00315341">
        <w:trPr>
          <w:trHeight w:val="624"/>
        </w:trPr>
        <w:tc>
          <w:tcPr>
            <w:tcW w:w="2154" w:type="dxa"/>
            <w:vAlign w:val="center"/>
          </w:tcPr>
          <w:p w14:paraId="09634B09" w14:textId="77777777" w:rsidR="006E0301" w:rsidRPr="00154056" w:rsidRDefault="006E0301" w:rsidP="00B80A4B">
            <w:pPr>
              <w:ind w:left="0"/>
              <w:rPr>
                <w:sz w:val="20"/>
                <w:szCs w:val="20"/>
              </w:rPr>
            </w:pPr>
          </w:p>
        </w:tc>
        <w:tc>
          <w:tcPr>
            <w:tcW w:w="2934" w:type="dxa"/>
            <w:vAlign w:val="center"/>
          </w:tcPr>
          <w:p w14:paraId="414260A7" w14:textId="77777777" w:rsidR="006E0301" w:rsidRPr="00154056" w:rsidRDefault="006E0301" w:rsidP="00B80A4B">
            <w:pPr>
              <w:ind w:left="0"/>
              <w:rPr>
                <w:b/>
                <w:sz w:val="20"/>
                <w:szCs w:val="20"/>
              </w:rPr>
            </w:pPr>
          </w:p>
        </w:tc>
        <w:tc>
          <w:tcPr>
            <w:tcW w:w="3111" w:type="dxa"/>
            <w:gridSpan w:val="2"/>
            <w:vAlign w:val="center"/>
          </w:tcPr>
          <w:p w14:paraId="2A82ABFA" w14:textId="77777777" w:rsidR="006E0301" w:rsidRPr="00154056" w:rsidRDefault="006E0301" w:rsidP="00B80A4B">
            <w:pPr>
              <w:ind w:left="0"/>
              <w:jc w:val="center"/>
              <w:rPr>
                <w:b/>
                <w:sz w:val="20"/>
                <w:szCs w:val="20"/>
              </w:rPr>
            </w:pPr>
            <w:r w:rsidRPr="00D04C87">
              <w:rPr>
                <w:b/>
                <w:sz w:val="20"/>
                <w:szCs w:val="20"/>
              </w:rPr>
              <w:t>No. of dwellings</w:t>
            </w:r>
          </w:p>
        </w:tc>
      </w:tr>
      <w:tr w:rsidR="006E0301" w:rsidRPr="00154056" w14:paraId="71A21AD2" w14:textId="77777777" w:rsidTr="00315341">
        <w:trPr>
          <w:trHeight w:val="624"/>
        </w:trPr>
        <w:tc>
          <w:tcPr>
            <w:tcW w:w="2154" w:type="dxa"/>
            <w:vAlign w:val="center"/>
          </w:tcPr>
          <w:p w14:paraId="623E56E7" w14:textId="77777777" w:rsidR="006E0301" w:rsidRPr="00154056" w:rsidRDefault="006E0301" w:rsidP="00B80A4B">
            <w:pPr>
              <w:ind w:left="0"/>
              <w:rPr>
                <w:sz w:val="20"/>
                <w:szCs w:val="20"/>
              </w:rPr>
            </w:pPr>
          </w:p>
        </w:tc>
        <w:tc>
          <w:tcPr>
            <w:tcW w:w="2934" w:type="dxa"/>
            <w:vAlign w:val="center"/>
          </w:tcPr>
          <w:p w14:paraId="0C98B6A9" w14:textId="77777777" w:rsidR="006E0301" w:rsidRPr="00154056" w:rsidRDefault="006E0301" w:rsidP="00B80A4B">
            <w:pPr>
              <w:ind w:left="0"/>
              <w:rPr>
                <w:b/>
                <w:sz w:val="20"/>
                <w:szCs w:val="20"/>
              </w:rPr>
            </w:pPr>
            <w:r w:rsidRPr="00154056">
              <w:rPr>
                <w:b/>
                <w:sz w:val="20"/>
                <w:szCs w:val="20"/>
              </w:rPr>
              <w:t>Type of housing</w:t>
            </w:r>
          </w:p>
        </w:tc>
        <w:tc>
          <w:tcPr>
            <w:tcW w:w="1432" w:type="dxa"/>
            <w:vAlign w:val="center"/>
          </w:tcPr>
          <w:p w14:paraId="59A42398" w14:textId="77777777" w:rsidR="006E0301" w:rsidRPr="00154056" w:rsidRDefault="006E0301" w:rsidP="00B80A4B">
            <w:pPr>
              <w:ind w:left="0"/>
              <w:jc w:val="center"/>
              <w:rPr>
                <w:b/>
                <w:sz w:val="20"/>
                <w:szCs w:val="20"/>
              </w:rPr>
            </w:pPr>
            <w:r>
              <w:rPr>
                <w:b/>
                <w:sz w:val="20"/>
                <w:szCs w:val="20"/>
              </w:rPr>
              <w:t>2007</w:t>
            </w:r>
          </w:p>
        </w:tc>
        <w:tc>
          <w:tcPr>
            <w:tcW w:w="1679" w:type="dxa"/>
            <w:vAlign w:val="center"/>
          </w:tcPr>
          <w:p w14:paraId="08F672E3" w14:textId="77777777" w:rsidR="006E0301" w:rsidRPr="00154056" w:rsidRDefault="006E0301" w:rsidP="00B80A4B">
            <w:pPr>
              <w:ind w:left="0"/>
              <w:jc w:val="center"/>
              <w:rPr>
                <w:b/>
                <w:sz w:val="20"/>
                <w:szCs w:val="20"/>
              </w:rPr>
            </w:pPr>
            <w:r>
              <w:rPr>
                <w:b/>
                <w:sz w:val="20"/>
                <w:szCs w:val="20"/>
              </w:rPr>
              <w:t>2017</w:t>
            </w:r>
          </w:p>
        </w:tc>
      </w:tr>
      <w:tr w:rsidR="006E0301" w:rsidRPr="00154056" w14:paraId="66703141" w14:textId="77777777" w:rsidTr="00315341">
        <w:tc>
          <w:tcPr>
            <w:tcW w:w="2154" w:type="dxa"/>
            <w:vMerge w:val="restart"/>
            <w:vAlign w:val="center"/>
          </w:tcPr>
          <w:p w14:paraId="72EBD881" w14:textId="77777777" w:rsidR="006E0301" w:rsidRPr="00154056" w:rsidRDefault="006E0301" w:rsidP="00B80A4B">
            <w:pPr>
              <w:ind w:left="0"/>
              <w:rPr>
                <w:b/>
                <w:sz w:val="20"/>
                <w:szCs w:val="20"/>
              </w:rPr>
            </w:pPr>
            <w:r w:rsidRPr="00154056">
              <w:rPr>
                <w:b/>
                <w:sz w:val="20"/>
                <w:szCs w:val="20"/>
              </w:rPr>
              <w:t>Housing for older people</w:t>
            </w:r>
          </w:p>
        </w:tc>
        <w:tc>
          <w:tcPr>
            <w:tcW w:w="2934" w:type="dxa"/>
            <w:vAlign w:val="center"/>
          </w:tcPr>
          <w:p w14:paraId="5CDDD48F" w14:textId="77777777" w:rsidR="006E0301" w:rsidRPr="00154056" w:rsidRDefault="006E0301" w:rsidP="00B80A4B">
            <w:pPr>
              <w:ind w:left="0"/>
              <w:rPr>
                <w:sz w:val="20"/>
                <w:szCs w:val="20"/>
              </w:rPr>
            </w:pPr>
            <w:r w:rsidRPr="00154056">
              <w:rPr>
                <w:sz w:val="20"/>
                <w:szCs w:val="20"/>
              </w:rPr>
              <w:t>Sheltered housing</w:t>
            </w:r>
          </w:p>
          <w:p w14:paraId="453049FD" w14:textId="77777777" w:rsidR="006E0301" w:rsidRPr="00154056" w:rsidRDefault="006E0301" w:rsidP="00B80A4B">
            <w:pPr>
              <w:ind w:left="0"/>
              <w:rPr>
                <w:i/>
                <w:sz w:val="20"/>
                <w:szCs w:val="20"/>
              </w:rPr>
            </w:pPr>
            <w:r w:rsidRPr="00154056">
              <w:rPr>
                <w:sz w:val="20"/>
                <w:szCs w:val="20"/>
              </w:rPr>
              <w:t xml:space="preserve">  </w:t>
            </w:r>
            <w:r w:rsidRPr="00154056">
              <w:rPr>
                <w:i/>
                <w:sz w:val="20"/>
                <w:szCs w:val="20"/>
              </w:rPr>
              <w:t>(of which are wheelchair adapted)</w:t>
            </w:r>
          </w:p>
        </w:tc>
        <w:tc>
          <w:tcPr>
            <w:tcW w:w="1432" w:type="dxa"/>
            <w:vAlign w:val="center"/>
          </w:tcPr>
          <w:p w14:paraId="68935928" w14:textId="77777777" w:rsidR="006E0301" w:rsidRDefault="006E0301" w:rsidP="00B80A4B">
            <w:pPr>
              <w:ind w:left="0"/>
              <w:jc w:val="center"/>
              <w:rPr>
                <w:sz w:val="20"/>
                <w:szCs w:val="20"/>
              </w:rPr>
            </w:pPr>
            <w:r>
              <w:rPr>
                <w:sz w:val="20"/>
                <w:szCs w:val="20"/>
              </w:rPr>
              <w:t>2,161</w:t>
            </w:r>
          </w:p>
          <w:p w14:paraId="77D04319" w14:textId="77777777" w:rsidR="006E0301" w:rsidRPr="00D04C87" w:rsidRDefault="006E0301" w:rsidP="00B80A4B">
            <w:pPr>
              <w:ind w:left="0"/>
              <w:jc w:val="center"/>
              <w:rPr>
                <w:i/>
                <w:sz w:val="20"/>
                <w:szCs w:val="20"/>
              </w:rPr>
            </w:pPr>
            <w:r w:rsidRPr="00D04C87">
              <w:rPr>
                <w:i/>
                <w:sz w:val="20"/>
                <w:szCs w:val="20"/>
              </w:rPr>
              <w:t>(37)</w:t>
            </w:r>
          </w:p>
        </w:tc>
        <w:tc>
          <w:tcPr>
            <w:tcW w:w="1679" w:type="dxa"/>
            <w:vAlign w:val="center"/>
          </w:tcPr>
          <w:p w14:paraId="0BAB01AF" w14:textId="77777777" w:rsidR="006E0301" w:rsidRPr="00154056" w:rsidRDefault="006E0301" w:rsidP="00B80A4B">
            <w:pPr>
              <w:ind w:left="0"/>
              <w:jc w:val="center"/>
              <w:rPr>
                <w:sz w:val="20"/>
                <w:szCs w:val="20"/>
              </w:rPr>
            </w:pPr>
            <w:r w:rsidRPr="00154056">
              <w:rPr>
                <w:sz w:val="20"/>
                <w:szCs w:val="20"/>
              </w:rPr>
              <w:t>1,939</w:t>
            </w:r>
          </w:p>
          <w:p w14:paraId="3A6C43C2" w14:textId="77777777" w:rsidR="006E0301" w:rsidRPr="00154056" w:rsidRDefault="006E0301" w:rsidP="00B80A4B">
            <w:pPr>
              <w:ind w:left="0"/>
              <w:jc w:val="center"/>
              <w:rPr>
                <w:i/>
                <w:sz w:val="20"/>
                <w:szCs w:val="20"/>
              </w:rPr>
            </w:pPr>
            <w:r w:rsidRPr="00154056">
              <w:rPr>
                <w:i/>
                <w:sz w:val="20"/>
                <w:szCs w:val="20"/>
              </w:rPr>
              <w:t>(223)</w:t>
            </w:r>
          </w:p>
        </w:tc>
      </w:tr>
      <w:tr w:rsidR="006E0301" w:rsidRPr="00154056" w14:paraId="4E82C68A" w14:textId="77777777" w:rsidTr="00315341">
        <w:tc>
          <w:tcPr>
            <w:tcW w:w="2154" w:type="dxa"/>
            <w:vMerge/>
            <w:vAlign w:val="center"/>
          </w:tcPr>
          <w:p w14:paraId="791E8B43" w14:textId="77777777" w:rsidR="006E0301" w:rsidRPr="00154056" w:rsidRDefault="006E0301" w:rsidP="00B80A4B">
            <w:pPr>
              <w:ind w:left="0"/>
              <w:rPr>
                <w:sz w:val="20"/>
                <w:szCs w:val="20"/>
              </w:rPr>
            </w:pPr>
          </w:p>
        </w:tc>
        <w:tc>
          <w:tcPr>
            <w:tcW w:w="2934" w:type="dxa"/>
            <w:vAlign w:val="center"/>
          </w:tcPr>
          <w:p w14:paraId="23D184D3" w14:textId="77777777" w:rsidR="006E0301" w:rsidRPr="00154056" w:rsidRDefault="006E0301" w:rsidP="00B80A4B">
            <w:pPr>
              <w:ind w:left="0"/>
              <w:rPr>
                <w:sz w:val="20"/>
                <w:szCs w:val="20"/>
              </w:rPr>
            </w:pPr>
            <w:r w:rsidRPr="00154056">
              <w:rPr>
                <w:sz w:val="20"/>
                <w:szCs w:val="20"/>
              </w:rPr>
              <w:t>Very sheltered housing</w:t>
            </w:r>
          </w:p>
        </w:tc>
        <w:tc>
          <w:tcPr>
            <w:tcW w:w="1432" w:type="dxa"/>
            <w:vAlign w:val="center"/>
          </w:tcPr>
          <w:p w14:paraId="37E15351" w14:textId="77777777" w:rsidR="006E0301" w:rsidRPr="00154056" w:rsidRDefault="006E0301" w:rsidP="00B80A4B">
            <w:pPr>
              <w:ind w:left="0"/>
              <w:jc w:val="center"/>
              <w:rPr>
                <w:sz w:val="20"/>
                <w:szCs w:val="20"/>
              </w:rPr>
            </w:pPr>
            <w:r>
              <w:rPr>
                <w:sz w:val="20"/>
                <w:szCs w:val="20"/>
              </w:rPr>
              <w:t>103</w:t>
            </w:r>
          </w:p>
        </w:tc>
        <w:tc>
          <w:tcPr>
            <w:tcW w:w="1679" w:type="dxa"/>
            <w:vAlign w:val="center"/>
          </w:tcPr>
          <w:p w14:paraId="5A461AE6" w14:textId="77777777" w:rsidR="006E0301" w:rsidRPr="00154056" w:rsidRDefault="006E0301" w:rsidP="00B80A4B">
            <w:pPr>
              <w:ind w:left="0"/>
              <w:jc w:val="center"/>
              <w:rPr>
                <w:sz w:val="20"/>
                <w:szCs w:val="20"/>
              </w:rPr>
            </w:pPr>
            <w:r w:rsidRPr="00154056">
              <w:rPr>
                <w:sz w:val="20"/>
                <w:szCs w:val="20"/>
              </w:rPr>
              <w:t>110</w:t>
            </w:r>
          </w:p>
        </w:tc>
      </w:tr>
      <w:tr w:rsidR="006E0301" w:rsidRPr="00154056" w14:paraId="6855FF94" w14:textId="77777777" w:rsidTr="00315341">
        <w:tc>
          <w:tcPr>
            <w:tcW w:w="2154" w:type="dxa"/>
            <w:vMerge/>
            <w:vAlign w:val="center"/>
          </w:tcPr>
          <w:p w14:paraId="0A0785EF" w14:textId="77777777" w:rsidR="006E0301" w:rsidRPr="00154056" w:rsidRDefault="006E0301" w:rsidP="00B80A4B">
            <w:pPr>
              <w:ind w:left="0"/>
              <w:rPr>
                <w:sz w:val="20"/>
                <w:szCs w:val="20"/>
              </w:rPr>
            </w:pPr>
          </w:p>
        </w:tc>
        <w:tc>
          <w:tcPr>
            <w:tcW w:w="2934" w:type="dxa"/>
            <w:vAlign w:val="center"/>
          </w:tcPr>
          <w:p w14:paraId="5DA9E795" w14:textId="77777777" w:rsidR="006E0301" w:rsidRPr="00154056" w:rsidRDefault="006E0301" w:rsidP="00B80A4B">
            <w:pPr>
              <w:ind w:left="0"/>
              <w:rPr>
                <w:sz w:val="20"/>
                <w:szCs w:val="20"/>
              </w:rPr>
            </w:pPr>
            <w:r w:rsidRPr="00154056">
              <w:rPr>
                <w:sz w:val="20"/>
                <w:szCs w:val="20"/>
              </w:rPr>
              <w:t>Amenity/medium dependency housing</w:t>
            </w:r>
          </w:p>
        </w:tc>
        <w:tc>
          <w:tcPr>
            <w:tcW w:w="1432" w:type="dxa"/>
            <w:vAlign w:val="center"/>
          </w:tcPr>
          <w:p w14:paraId="5A261D16" w14:textId="77777777" w:rsidR="006E0301" w:rsidRPr="00154056" w:rsidRDefault="006E0301" w:rsidP="00B80A4B">
            <w:pPr>
              <w:ind w:left="0"/>
              <w:jc w:val="center"/>
              <w:rPr>
                <w:sz w:val="20"/>
                <w:szCs w:val="20"/>
              </w:rPr>
            </w:pPr>
            <w:r>
              <w:rPr>
                <w:sz w:val="20"/>
                <w:szCs w:val="20"/>
              </w:rPr>
              <w:t>277</w:t>
            </w:r>
          </w:p>
        </w:tc>
        <w:tc>
          <w:tcPr>
            <w:tcW w:w="1679" w:type="dxa"/>
            <w:vAlign w:val="center"/>
          </w:tcPr>
          <w:p w14:paraId="0336CCA8" w14:textId="77777777" w:rsidR="006E0301" w:rsidRPr="00154056" w:rsidRDefault="006E0301" w:rsidP="00B80A4B">
            <w:pPr>
              <w:ind w:left="0"/>
              <w:jc w:val="center"/>
              <w:rPr>
                <w:sz w:val="20"/>
                <w:szCs w:val="20"/>
              </w:rPr>
            </w:pPr>
            <w:r w:rsidRPr="00154056">
              <w:rPr>
                <w:sz w:val="20"/>
                <w:szCs w:val="20"/>
              </w:rPr>
              <w:t>1,261</w:t>
            </w:r>
          </w:p>
        </w:tc>
      </w:tr>
      <w:tr w:rsidR="006E0301" w:rsidRPr="00154056" w14:paraId="49A716C5" w14:textId="77777777" w:rsidTr="00315341">
        <w:tc>
          <w:tcPr>
            <w:tcW w:w="2154" w:type="dxa"/>
            <w:vMerge/>
            <w:vAlign w:val="center"/>
          </w:tcPr>
          <w:p w14:paraId="463AB399" w14:textId="77777777" w:rsidR="006E0301" w:rsidRPr="00154056" w:rsidRDefault="006E0301" w:rsidP="00B80A4B">
            <w:pPr>
              <w:ind w:left="0"/>
              <w:rPr>
                <w:sz w:val="20"/>
                <w:szCs w:val="20"/>
              </w:rPr>
            </w:pPr>
          </w:p>
        </w:tc>
        <w:tc>
          <w:tcPr>
            <w:tcW w:w="2934" w:type="dxa"/>
            <w:vAlign w:val="center"/>
          </w:tcPr>
          <w:p w14:paraId="5508D577" w14:textId="77777777" w:rsidR="006E0301" w:rsidRPr="00154056" w:rsidRDefault="006E0301" w:rsidP="00B80A4B">
            <w:pPr>
              <w:ind w:left="0"/>
              <w:rPr>
                <w:sz w:val="20"/>
                <w:szCs w:val="20"/>
              </w:rPr>
            </w:pPr>
            <w:r w:rsidRPr="00154056">
              <w:rPr>
                <w:sz w:val="20"/>
                <w:szCs w:val="20"/>
              </w:rPr>
              <w:t>Dwellings with a community alarm</w:t>
            </w:r>
          </w:p>
        </w:tc>
        <w:tc>
          <w:tcPr>
            <w:tcW w:w="1432" w:type="dxa"/>
            <w:vAlign w:val="center"/>
          </w:tcPr>
          <w:p w14:paraId="4EF20AC0" w14:textId="77777777" w:rsidR="006E0301" w:rsidRPr="00154056" w:rsidRDefault="006E0301" w:rsidP="00B80A4B">
            <w:pPr>
              <w:ind w:left="0"/>
              <w:jc w:val="center"/>
              <w:rPr>
                <w:sz w:val="20"/>
                <w:szCs w:val="20"/>
              </w:rPr>
            </w:pPr>
            <w:r>
              <w:rPr>
                <w:sz w:val="20"/>
                <w:szCs w:val="20"/>
              </w:rPr>
              <w:t>1,076</w:t>
            </w:r>
          </w:p>
        </w:tc>
        <w:tc>
          <w:tcPr>
            <w:tcW w:w="1679" w:type="dxa"/>
            <w:vAlign w:val="center"/>
          </w:tcPr>
          <w:p w14:paraId="36933D65" w14:textId="77777777" w:rsidR="006E0301" w:rsidRPr="00154056" w:rsidRDefault="006E0301" w:rsidP="00B80A4B">
            <w:pPr>
              <w:ind w:left="0"/>
              <w:jc w:val="center"/>
              <w:rPr>
                <w:sz w:val="20"/>
                <w:szCs w:val="20"/>
              </w:rPr>
            </w:pPr>
            <w:r w:rsidRPr="00154056">
              <w:rPr>
                <w:sz w:val="20"/>
                <w:szCs w:val="20"/>
              </w:rPr>
              <w:t>2,573</w:t>
            </w:r>
          </w:p>
        </w:tc>
      </w:tr>
      <w:tr w:rsidR="006E0301" w:rsidRPr="00154056" w14:paraId="20681758" w14:textId="77777777" w:rsidTr="00315341">
        <w:tc>
          <w:tcPr>
            <w:tcW w:w="2154" w:type="dxa"/>
            <w:vAlign w:val="center"/>
          </w:tcPr>
          <w:p w14:paraId="2A215D8F" w14:textId="77777777" w:rsidR="006E0301" w:rsidRPr="00154056" w:rsidRDefault="006E0301" w:rsidP="00B80A4B">
            <w:pPr>
              <w:ind w:left="0"/>
              <w:rPr>
                <w:sz w:val="20"/>
                <w:szCs w:val="20"/>
              </w:rPr>
            </w:pPr>
          </w:p>
        </w:tc>
        <w:tc>
          <w:tcPr>
            <w:tcW w:w="2934" w:type="dxa"/>
            <w:vAlign w:val="center"/>
          </w:tcPr>
          <w:p w14:paraId="5D0EF031" w14:textId="77777777" w:rsidR="006E0301" w:rsidRPr="00154056" w:rsidRDefault="006E0301" w:rsidP="00B80A4B">
            <w:pPr>
              <w:ind w:left="0"/>
              <w:rPr>
                <w:sz w:val="20"/>
                <w:szCs w:val="20"/>
              </w:rPr>
            </w:pPr>
          </w:p>
        </w:tc>
        <w:tc>
          <w:tcPr>
            <w:tcW w:w="1432" w:type="dxa"/>
            <w:vAlign w:val="center"/>
          </w:tcPr>
          <w:p w14:paraId="21217F50" w14:textId="77777777" w:rsidR="006E0301" w:rsidRPr="00154056" w:rsidRDefault="006E0301" w:rsidP="00B80A4B">
            <w:pPr>
              <w:ind w:left="0"/>
              <w:jc w:val="center"/>
              <w:rPr>
                <w:sz w:val="20"/>
                <w:szCs w:val="20"/>
              </w:rPr>
            </w:pPr>
          </w:p>
        </w:tc>
        <w:tc>
          <w:tcPr>
            <w:tcW w:w="1679" w:type="dxa"/>
            <w:vAlign w:val="center"/>
          </w:tcPr>
          <w:p w14:paraId="1D1DEF0A" w14:textId="77777777" w:rsidR="006E0301" w:rsidRPr="00154056" w:rsidRDefault="006E0301" w:rsidP="00B80A4B">
            <w:pPr>
              <w:ind w:left="0"/>
              <w:jc w:val="center"/>
              <w:rPr>
                <w:sz w:val="20"/>
                <w:szCs w:val="20"/>
              </w:rPr>
            </w:pPr>
          </w:p>
        </w:tc>
      </w:tr>
      <w:tr w:rsidR="006E0301" w:rsidRPr="00154056" w14:paraId="110E4969" w14:textId="77777777" w:rsidTr="00315341">
        <w:tc>
          <w:tcPr>
            <w:tcW w:w="2154" w:type="dxa"/>
            <w:vMerge w:val="restart"/>
            <w:vAlign w:val="center"/>
          </w:tcPr>
          <w:p w14:paraId="54545419" w14:textId="77777777" w:rsidR="006E0301" w:rsidRPr="00154056" w:rsidRDefault="006E0301" w:rsidP="00B80A4B">
            <w:pPr>
              <w:ind w:left="0"/>
              <w:rPr>
                <w:b/>
                <w:sz w:val="20"/>
                <w:szCs w:val="20"/>
              </w:rPr>
            </w:pPr>
            <w:r w:rsidRPr="00154056">
              <w:rPr>
                <w:b/>
                <w:sz w:val="20"/>
                <w:szCs w:val="20"/>
              </w:rPr>
              <w:t xml:space="preserve">Housing for people with physical disabilities </w:t>
            </w:r>
          </w:p>
        </w:tc>
        <w:tc>
          <w:tcPr>
            <w:tcW w:w="2934" w:type="dxa"/>
            <w:vAlign w:val="center"/>
          </w:tcPr>
          <w:p w14:paraId="422B27B6" w14:textId="77777777" w:rsidR="006E0301" w:rsidRPr="00154056" w:rsidRDefault="006E0301" w:rsidP="00B80A4B">
            <w:pPr>
              <w:ind w:left="0"/>
              <w:rPr>
                <w:sz w:val="20"/>
                <w:szCs w:val="20"/>
              </w:rPr>
            </w:pPr>
            <w:r w:rsidRPr="00154056">
              <w:rPr>
                <w:sz w:val="20"/>
                <w:szCs w:val="20"/>
              </w:rPr>
              <w:t>Adapted for wheelchair use</w:t>
            </w:r>
          </w:p>
        </w:tc>
        <w:tc>
          <w:tcPr>
            <w:tcW w:w="1432" w:type="dxa"/>
            <w:vAlign w:val="center"/>
          </w:tcPr>
          <w:p w14:paraId="0C9F48C9" w14:textId="77777777" w:rsidR="006E0301" w:rsidRPr="00154056" w:rsidRDefault="006E0301" w:rsidP="00B80A4B">
            <w:pPr>
              <w:ind w:left="0"/>
              <w:jc w:val="center"/>
              <w:rPr>
                <w:sz w:val="20"/>
                <w:szCs w:val="20"/>
              </w:rPr>
            </w:pPr>
            <w:r>
              <w:rPr>
                <w:sz w:val="20"/>
                <w:szCs w:val="20"/>
              </w:rPr>
              <w:t>-</w:t>
            </w:r>
          </w:p>
        </w:tc>
        <w:tc>
          <w:tcPr>
            <w:tcW w:w="1679" w:type="dxa"/>
            <w:vAlign w:val="center"/>
          </w:tcPr>
          <w:p w14:paraId="55B80E6D" w14:textId="77777777" w:rsidR="006E0301" w:rsidRPr="00154056" w:rsidRDefault="006E0301" w:rsidP="00B80A4B">
            <w:pPr>
              <w:ind w:left="0"/>
              <w:jc w:val="center"/>
              <w:rPr>
                <w:sz w:val="20"/>
                <w:szCs w:val="20"/>
              </w:rPr>
            </w:pPr>
            <w:r w:rsidRPr="00154056">
              <w:rPr>
                <w:sz w:val="20"/>
                <w:szCs w:val="20"/>
              </w:rPr>
              <w:t>293</w:t>
            </w:r>
          </w:p>
        </w:tc>
      </w:tr>
      <w:tr w:rsidR="006E0301" w:rsidRPr="00154056" w14:paraId="1E692BAB" w14:textId="77777777" w:rsidTr="00315341">
        <w:tc>
          <w:tcPr>
            <w:tcW w:w="2154" w:type="dxa"/>
            <w:vMerge/>
            <w:vAlign w:val="center"/>
          </w:tcPr>
          <w:p w14:paraId="6C230481" w14:textId="77777777" w:rsidR="006E0301" w:rsidRPr="00154056" w:rsidRDefault="006E0301" w:rsidP="00B80A4B">
            <w:pPr>
              <w:ind w:left="0"/>
              <w:rPr>
                <w:sz w:val="20"/>
                <w:szCs w:val="20"/>
              </w:rPr>
            </w:pPr>
          </w:p>
        </w:tc>
        <w:tc>
          <w:tcPr>
            <w:tcW w:w="2934" w:type="dxa"/>
            <w:vAlign w:val="center"/>
          </w:tcPr>
          <w:p w14:paraId="1670AE05" w14:textId="77777777" w:rsidR="006E0301" w:rsidRPr="00154056" w:rsidRDefault="006E0301" w:rsidP="00B80A4B">
            <w:pPr>
              <w:ind w:left="0"/>
              <w:rPr>
                <w:sz w:val="20"/>
                <w:szCs w:val="20"/>
              </w:rPr>
            </w:pPr>
            <w:r w:rsidRPr="00154056">
              <w:rPr>
                <w:sz w:val="20"/>
                <w:szCs w:val="20"/>
              </w:rPr>
              <w:t xml:space="preserve">Ambulant disabled </w:t>
            </w:r>
          </w:p>
        </w:tc>
        <w:tc>
          <w:tcPr>
            <w:tcW w:w="1432" w:type="dxa"/>
            <w:vAlign w:val="center"/>
          </w:tcPr>
          <w:p w14:paraId="7BD0B1AE" w14:textId="77777777" w:rsidR="006E0301" w:rsidRPr="00154056" w:rsidRDefault="006E0301" w:rsidP="00B80A4B">
            <w:pPr>
              <w:ind w:left="0"/>
              <w:jc w:val="center"/>
              <w:rPr>
                <w:sz w:val="20"/>
                <w:szCs w:val="20"/>
              </w:rPr>
            </w:pPr>
            <w:r>
              <w:rPr>
                <w:sz w:val="20"/>
                <w:szCs w:val="20"/>
              </w:rPr>
              <w:t>-</w:t>
            </w:r>
          </w:p>
        </w:tc>
        <w:tc>
          <w:tcPr>
            <w:tcW w:w="1679" w:type="dxa"/>
            <w:vAlign w:val="center"/>
          </w:tcPr>
          <w:p w14:paraId="103D6570" w14:textId="77777777" w:rsidR="006E0301" w:rsidRPr="00154056" w:rsidRDefault="006E0301" w:rsidP="00B80A4B">
            <w:pPr>
              <w:ind w:left="0"/>
              <w:jc w:val="center"/>
              <w:rPr>
                <w:sz w:val="20"/>
                <w:szCs w:val="20"/>
              </w:rPr>
            </w:pPr>
            <w:r w:rsidRPr="00154056">
              <w:rPr>
                <w:sz w:val="20"/>
                <w:szCs w:val="20"/>
              </w:rPr>
              <w:t>86</w:t>
            </w:r>
          </w:p>
        </w:tc>
      </w:tr>
      <w:tr w:rsidR="006E0301" w:rsidRPr="00154056" w14:paraId="767462C1" w14:textId="77777777" w:rsidTr="00315341">
        <w:tc>
          <w:tcPr>
            <w:tcW w:w="2154" w:type="dxa"/>
            <w:vMerge/>
            <w:vAlign w:val="center"/>
          </w:tcPr>
          <w:p w14:paraId="43BCF884" w14:textId="77777777" w:rsidR="006E0301" w:rsidRPr="00154056" w:rsidRDefault="006E0301" w:rsidP="00B80A4B">
            <w:pPr>
              <w:ind w:left="0"/>
              <w:rPr>
                <w:sz w:val="20"/>
                <w:szCs w:val="20"/>
              </w:rPr>
            </w:pPr>
          </w:p>
        </w:tc>
        <w:tc>
          <w:tcPr>
            <w:tcW w:w="2934" w:type="dxa"/>
            <w:vAlign w:val="center"/>
          </w:tcPr>
          <w:p w14:paraId="4396BF0A" w14:textId="77777777" w:rsidR="006E0301" w:rsidRPr="00154056" w:rsidRDefault="006E0301" w:rsidP="00B80A4B">
            <w:pPr>
              <w:ind w:left="0"/>
              <w:rPr>
                <w:sz w:val="20"/>
                <w:szCs w:val="20"/>
              </w:rPr>
            </w:pPr>
            <w:r w:rsidRPr="00154056">
              <w:rPr>
                <w:sz w:val="20"/>
                <w:szCs w:val="20"/>
              </w:rPr>
              <w:t>Other adapted</w:t>
            </w:r>
          </w:p>
        </w:tc>
        <w:tc>
          <w:tcPr>
            <w:tcW w:w="1432" w:type="dxa"/>
            <w:vAlign w:val="center"/>
          </w:tcPr>
          <w:p w14:paraId="092BA95E" w14:textId="77777777" w:rsidR="006E0301" w:rsidRPr="00154056" w:rsidRDefault="006E0301" w:rsidP="00B80A4B">
            <w:pPr>
              <w:ind w:left="0"/>
              <w:jc w:val="center"/>
              <w:rPr>
                <w:sz w:val="20"/>
                <w:szCs w:val="20"/>
              </w:rPr>
            </w:pPr>
            <w:r>
              <w:rPr>
                <w:sz w:val="20"/>
                <w:szCs w:val="20"/>
              </w:rPr>
              <w:t>-</w:t>
            </w:r>
          </w:p>
        </w:tc>
        <w:tc>
          <w:tcPr>
            <w:tcW w:w="1679" w:type="dxa"/>
            <w:vAlign w:val="center"/>
          </w:tcPr>
          <w:p w14:paraId="6B0D409B" w14:textId="77777777" w:rsidR="006E0301" w:rsidRPr="00154056" w:rsidRDefault="006E0301" w:rsidP="00B80A4B">
            <w:pPr>
              <w:ind w:left="0"/>
              <w:jc w:val="center"/>
              <w:rPr>
                <w:sz w:val="20"/>
                <w:szCs w:val="20"/>
              </w:rPr>
            </w:pPr>
            <w:r w:rsidRPr="00154056">
              <w:rPr>
                <w:sz w:val="20"/>
                <w:szCs w:val="20"/>
              </w:rPr>
              <w:t>1,900</w:t>
            </w:r>
          </w:p>
        </w:tc>
      </w:tr>
    </w:tbl>
    <w:p w14:paraId="69FD8E68" w14:textId="3CB04BA2" w:rsidR="006E0301" w:rsidRPr="00154056" w:rsidRDefault="006E0301" w:rsidP="006E0301">
      <w:pPr>
        <w:rPr>
          <w:sz w:val="16"/>
          <w:szCs w:val="16"/>
        </w:rPr>
      </w:pPr>
      <w:r w:rsidRPr="00154056">
        <w:rPr>
          <w:sz w:val="16"/>
          <w:szCs w:val="16"/>
        </w:rPr>
        <w:t xml:space="preserve">Source: Scottish Government, Housing for Older People and those with disabilities, available at: </w:t>
      </w:r>
      <w:hyperlink r:id="rId146" w:history="1">
        <w:r w:rsidRPr="00154056">
          <w:rPr>
            <w:rStyle w:val="Hyperlink"/>
            <w:sz w:val="16"/>
            <w:szCs w:val="16"/>
          </w:rPr>
          <w:t>http://www.gov.scot/Topics/Statistics/Browse/Housing-Regeneration/HSfS/SpecialNeeds</w:t>
        </w:r>
      </w:hyperlink>
      <w:r w:rsidRPr="00154056">
        <w:rPr>
          <w:sz w:val="16"/>
          <w:szCs w:val="16"/>
        </w:rPr>
        <w:t xml:space="preserve"> </w:t>
      </w:r>
    </w:p>
    <w:p w14:paraId="3F4D1535" w14:textId="77777777" w:rsidR="006E0301" w:rsidRDefault="006E0301" w:rsidP="006E0301">
      <w:pPr>
        <w:ind w:left="0"/>
      </w:pPr>
    </w:p>
    <w:p w14:paraId="4C4B62F9" w14:textId="1669713D" w:rsidR="006E0301" w:rsidRDefault="006E0301" w:rsidP="00315341">
      <w:pPr>
        <w:pStyle w:val="Heading2"/>
        <w:numPr>
          <w:ilvl w:val="2"/>
          <w:numId w:val="4"/>
        </w:numPr>
        <w:rPr>
          <w:lang w:val="en"/>
        </w:rPr>
      </w:pPr>
      <w:bookmarkStart w:id="84" w:name="_Toc519088616"/>
      <w:r>
        <w:rPr>
          <w:lang w:val="en"/>
        </w:rPr>
        <w:t>Adult care homes</w:t>
      </w:r>
      <w:bookmarkEnd w:id="84"/>
    </w:p>
    <w:p w14:paraId="0320B9E3" w14:textId="77777777" w:rsidR="006E0301" w:rsidRPr="009413D6" w:rsidRDefault="006E0301" w:rsidP="006E0301">
      <w:pPr>
        <w:rPr>
          <w:sz w:val="16"/>
          <w:szCs w:val="16"/>
          <w:lang w:val="en"/>
        </w:rPr>
      </w:pPr>
    </w:p>
    <w:p w14:paraId="1987DB43" w14:textId="145EE777" w:rsidR="006E0301" w:rsidRDefault="006E0301" w:rsidP="006E0301">
      <w:r>
        <w:t xml:space="preserve">In Aberdeen City in 2016 there were 64 </w:t>
      </w:r>
      <w:r w:rsidR="00D268ED">
        <w:t>adult c</w:t>
      </w:r>
      <w:r>
        <w:t xml:space="preserve">are </w:t>
      </w:r>
      <w:r w:rsidR="00D268ED">
        <w:t>h</w:t>
      </w:r>
      <w:r>
        <w:t xml:space="preserve">omes – 32 of which are run by the private sector and 32 of which are run by the voluntary sector.  No care homes in the City are run by the </w:t>
      </w:r>
      <w:r w:rsidR="00C5119B">
        <w:t>local authority/NHS</w:t>
      </w:r>
      <w:r>
        <w:t xml:space="preserve">.  </w:t>
      </w:r>
      <w:r w:rsidRPr="0059288F">
        <w:t xml:space="preserve">Almost half of the care homes in the City are for Older people (31 care homes) with the next largest number of care homes being for adults with learning difficulties (18 care homes).  There are 8 care homes for adults with mental health problems, 4 care homes for adults with physical difficulties and 4 care homes for ‘other’ groups.   </w:t>
      </w:r>
    </w:p>
    <w:p w14:paraId="0F60FBE8" w14:textId="002DE23C" w:rsidR="006E0301" w:rsidRDefault="006E0301" w:rsidP="006E0301">
      <w:r>
        <w:lastRenderedPageBreak/>
        <w:t>In 2016 there were a total of 1,789 registered places in adult care home</w:t>
      </w:r>
      <w:r w:rsidR="003F2DE0">
        <w:t>s</w:t>
      </w:r>
      <w:r>
        <w:t xml:space="preserve"> – 80% of which were in care homes for older people.  The total number of residents was 1,627 (occupancy rate of 91%).  </w:t>
      </w:r>
    </w:p>
    <w:p w14:paraId="16ACACC1" w14:textId="77777777" w:rsidR="006E0301" w:rsidRDefault="006E0301" w:rsidP="006E0301"/>
    <w:p w14:paraId="796C27CD" w14:textId="77777777" w:rsidR="006E0301" w:rsidRDefault="006E0301" w:rsidP="006E0301">
      <w:r>
        <w:t xml:space="preserve">Since 2006 the number of adult care homes has decreased by a third (from 96 in 2006) with the number of registered places decreasing by 14% in the same period.  The largest proportionate decrease in number of registered places has been in care homes for the adults with learning disabilities (-48%) and ‘other’ (-47%).  Registered places in care homes for adults with mental health problems have decreased by 39% and places for older people have decreased by 5%.  The number of places for adults with physical disabilities has increased by 22%.  </w:t>
      </w:r>
    </w:p>
    <w:p w14:paraId="453FCC72" w14:textId="77777777" w:rsidR="006E0301" w:rsidRDefault="006E0301" w:rsidP="006E0301"/>
    <w:p w14:paraId="3B931DB0" w14:textId="77777777" w:rsidR="006E0301" w:rsidRDefault="006E0301" w:rsidP="006E0301">
      <w:r>
        <w:rPr>
          <w:noProof/>
        </w:rPr>
        <w:drawing>
          <wp:inline distT="0" distB="0" distL="0" distR="0" wp14:anchorId="4DC02103" wp14:editId="0D4DBC62">
            <wp:extent cx="5200650" cy="2483893"/>
            <wp:effectExtent l="0" t="0" r="0" b="12065"/>
            <wp:docPr id="76" name="Chart 76">
              <a:extLst xmlns:a="http://schemas.openxmlformats.org/drawingml/2006/main">
                <a:ext uri="{FF2B5EF4-FFF2-40B4-BE49-F238E27FC236}">
                  <a16:creationId xmlns:a16="http://schemas.microsoft.com/office/drawing/2014/main" id="{BAB2F729-01C4-460E-BFE1-03A42F364B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15E6AE79" w14:textId="52525786" w:rsidR="006E0301" w:rsidRPr="008D0EB4" w:rsidRDefault="006E0301" w:rsidP="006E0301">
      <w:pPr>
        <w:rPr>
          <w:sz w:val="16"/>
          <w:szCs w:val="16"/>
        </w:rPr>
      </w:pPr>
      <w:r w:rsidRPr="008D0EB4">
        <w:rPr>
          <w:sz w:val="16"/>
          <w:szCs w:val="16"/>
        </w:rPr>
        <w:t xml:space="preserve">Source:  ISD Scotland, Care Home Census for Adults in Scotland, available at: </w:t>
      </w:r>
      <w:hyperlink r:id="rId148" w:history="1">
        <w:r w:rsidRPr="008D0EB4">
          <w:rPr>
            <w:rStyle w:val="Hyperlink"/>
            <w:sz w:val="16"/>
            <w:szCs w:val="16"/>
          </w:rPr>
          <w:t>https://www.isdscotland.org/Health-Topics/Health-and-Social-Community-Care/Publications/2016-10-25/2016-10-25-CHCensus-Report.pdf</w:t>
        </w:r>
      </w:hyperlink>
      <w:r w:rsidRPr="008D0EB4">
        <w:rPr>
          <w:sz w:val="16"/>
          <w:szCs w:val="16"/>
        </w:rPr>
        <w:t xml:space="preserve"> </w:t>
      </w:r>
    </w:p>
    <w:p w14:paraId="00484AE1" w14:textId="77777777" w:rsidR="00D268ED" w:rsidRDefault="00D268ED" w:rsidP="009D7E23"/>
    <w:p w14:paraId="6DCC9E78" w14:textId="4383FDE4" w:rsidR="006E0301" w:rsidRDefault="006E0301" w:rsidP="006E0301">
      <w:pPr>
        <w:pStyle w:val="Heading2"/>
        <w:numPr>
          <w:ilvl w:val="1"/>
          <w:numId w:val="4"/>
        </w:numPr>
        <w:spacing w:after="240"/>
      </w:pPr>
      <w:bookmarkStart w:id="85" w:name="_Toc519088617"/>
      <w:r>
        <w:t>Private rented sector</w:t>
      </w:r>
      <w:bookmarkEnd w:id="85"/>
    </w:p>
    <w:p w14:paraId="6585E3E1" w14:textId="15213B7D" w:rsidR="001E5337" w:rsidRDefault="00A72F57" w:rsidP="001E5337">
      <w:r>
        <w:t>Almost half (49%) of rental properties in Aberdeen City are two-bedroom flats with 1</w:t>
      </w:r>
      <w:r w:rsidR="00186331">
        <w:t>-</w:t>
      </w:r>
      <w:r>
        <w:t xml:space="preserve"> bedroom flats being the next most common (36%).  </w:t>
      </w:r>
      <w:r w:rsidR="001E5337">
        <w:t xml:space="preserve">The average </w:t>
      </w:r>
      <w:r w:rsidR="002905FA">
        <w:t xml:space="preserve">monthly </w:t>
      </w:r>
      <w:r w:rsidR="001E5337">
        <w:t xml:space="preserve">rent for privately-rented properties in Aberdeen City has dropped from a high of £1,110 per month in Q4 of 2014 to a low of £736 in Q1 of 2018 – a drop </w:t>
      </w:r>
      <w:r w:rsidR="002905FA">
        <w:t>of 33.7% in the period.  This contrasts with the continuing upwards trends for monthly rent seen in other cities.  Prior to the downturn at the end of 2014, the average monthly rent in Aberdeen was the highest in Scotland.  Average rental prices in Aberdeen City are now slightly lower than those for Scotland as a whole. In the same period the average time to let increased from 22 days to 58 days.</w:t>
      </w:r>
    </w:p>
    <w:p w14:paraId="47D9C9C6" w14:textId="34A2959F" w:rsidR="002905FA" w:rsidRDefault="002905FA" w:rsidP="001E5337"/>
    <w:p w14:paraId="7B501339" w14:textId="77777777" w:rsidR="009413D6" w:rsidRDefault="009413D6">
      <w:pPr>
        <w:rPr>
          <w:b/>
        </w:rPr>
      </w:pPr>
      <w:r>
        <w:rPr>
          <w:b/>
        </w:rPr>
        <w:br w:type="page"/>
      </w:r>
    </w:p>
    <w:p w14:paraId="5C52D7AA" w14:textId="54DE9D94" w:rsidR="002905FA" w:rsidRPr="002905FA" w:rsidRDefault="002905FA" w:rsidP="001E5337">
      <w:pPr>
        <w:rPr>
          <w:b/>
        </w:rPr>
      </w:pPr>
      <w:r w:rsidRPr="002905FA">
        <w:rPr>
          <w:b/>
        </w:rPr>
        <w:lastRenderedPageBreak/>
        <w:t>Average monthly rent by city, 2007 to 2018</w:t>
      </w:r>
    </w:p>
    <w:p w14:paraId="4EA919A2" w14:textId="2F02E858" w:rsidR="006E0301" w:rsidRDefault="001E5337" w:rsidP="009D7E23">
      <w:r>
        <w:rPr>
          <w:noProof/>
        </w:rPr>
        <w:drawing>
          <wp:inline distT="0" distB="0" distL="0" distR="0" wp14:anchorId="5CBABC4F" wp14:editId="3D974992">
            <wp:extent cx="5729920" cy="2947916"/>
            <wp:effectExtent l="0" t="0" r="4445"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40477" cy="2953347"/>
                    </a:xfrm>
                    <a:prstGeom prst="rect">
                      <a:avLst/>
                    </a:prstGeom>
                    <a:noFill/>
                    <a:ln>
                      <a:noFill/>
                    </a:ln>
                  </pic:spPr>
                </pic:pic>
              </a:graphicData>
            </a:graphic>
          </wp:inline>
        </w:drawing>
      </w:r>
    </w:p>
    <w:p w14:paraId="1D9846DF" w14:textId="3BF48912" w:rsidR="002905FA" w:rsidRDefault="002905FA" w:rsidP="009D7E23">
      <w:pPr>
        <w:rPr>
          <w:sz w:val="16"/>
          <w:szCs w:val="16"/>
        </w:rPr>
      </w:pPr>
      <w:r w:rsidRPr="00A72F57">
        <w:rPr>
          <w:sz w:val="16"/>
          <w:szCs w:val="16"/>
        </w:rPr>
        <w:t xml:space="preserve">Source: Citylets Datahub, available at: </w:t>
      </w:r>
      <w:hyperlink r:id="rId150" w:history="1">
        <w:r w:rsidRPr="00A72F57">
          <w:rPr>
            <w:rStyle w:val="Hyperlink"/>
            <w:sz w:val="16"/>
            <w:szCs w:val="16"/>
          </w:rPr>
          <w:t>https://www.citylets.co.uk/research/datahub/</w:t>
        </w:r>
      </w:hyperlink>
      <w:r w:rsidRPr="00A72F57">
        <w:rPr>
          <w:sz w:val="16"/>
          <w:szCs w:val="16"/>
        </w:rPr>
        <w:t xml:space="preserve"> </w:t>
      </w:r>
    </w:p>
    <w:p w14:paraId="4337DEB5" w14:textId="77777777" w:rsidR="009413D6" w:rsidRDefault="009413D6" w:rsidP="00FF23A9">
      <w:pPr>
        <w:rPr>
          <w:highlight w:val="yellow"/>
        </w:rPr>
      </w:pPr>
    </w:p>
    <w:p w14:paraId="783F9089" w14:textId="77777777" w:rsidR="00FF23A9" w:rsidRPr="00A72F57" w:rsidRDefault="00FF23A9" w:rsidP="009D7E23">
      <w:pPr>
        <w:rPr>
          <w:sz w:val="16"/>
          <w:szCs w:val="16"/>
        </w:rPr>
      </w:pPr>
    </w:p>
    <w:p w14:paraId="0CAC61F9" w14:textId="0F76863B" w:rsidR="006E0301" w:rsidRDefault="004704AF" w:rsidP="006E0301">
      <w:pPr>
        <w:pStyle w:val="Heading2"/>
        <w:numPr>
          <w:ilvl w:val="1"/>
          <w:numId w:val="4"/>
        </w:numPr>
        <w:spacing w:after="240"/>
      </w:pPr>
      <w:bookmarkStart w:id="86" w:name="_Toc519088618"/>
      <w:r>
        <w:t>House sales</w:t>
      </w:r>
      <w:bookmarkEnd w:id="86"/>
    </w:p>
    <w:p w14:paraId="21069113" w14:textId="046183FE" w:rsidR="004704AF" w:rsidRDefault="00815770" w:rsidP="004704AF">
      <w:r>
        <w:t xml:space="preserve">Both the number of properties sold and the average price per property have decreased in the last two years.  </w:t>
      </w:r>
      <w:r w:rsidR="004704AF">
        <w:t>In 2017</w:t>
      </w:r>
      <w:r w:rsidR="006C6C9A">
        <w:t xml:space="preserve">, the average purchase price for a residential property in Aberdeen City was £200,983 – higher than the average price for Scotland of £172,779 and sixth highest of all local authorities.  </w:t>
      </w:r>
      <w:r>
        <w:t>However, s</w:t>
      </w:r>
      <w:r w:rsidR="006C6C9A">
        <w:t>ince peaking at £220,786 in 2015, the average purchase price in Aberdeen City has decreased by 9%.</w:t>
      </w:r>
      <w:r>
        <w:t xml:space="preserve">  There were 3,991 properties sold in 2017 – down almost 9% from the number of properties sold in 2015</w:t>
      </w:r>
      <w:r w:rsidR="00186331">
        <w:t>, but up slightly from the number sold in 2016</w:t>
      </w:r>
      <w:r>
        <w:t>.</w:t>
      </w:r>
    </w:p>
    <w:p w14:paraId="297CE5D0" w14:textId="77777777" w:rsidR="00815770" w:rsidRPr="004704AF" w:rsidRDefault="00815770" w:rsidP="004704AF"/>
    <w:p w14:paraId="319D66A7" w14:textId="534627CB" w:rsidR="002905FA" w:rsidRDefault="00815770" w:rsidP="002905FA">
      <w:r>
        <w:rPr>
          <w:noProof/>
        </w:rPr>
        <w:drawing>
          <wp:inline distT="0" distB="0" distL="0" distR="0" wp14:anchorId="53167E87" wp14:editId="3E367007">
            <wp:extent cx="5464454" cy="2743200"/>
            <wp:effectExtent l="0" t="0" r="3175" b="0"/>
            <wp:docPr id="81" name="Chart 81">
              <a:extLst xmlns:a="http://schemas.openxmlformats.org/drawingml/2006/main">
                <a:ext uri="{FF2B5EF4-FFF2-40B4-BE49-F238E27FC236}">
                  <a16:creationId xmlns:a16="http://schemas.microsoft.com/office/drawing/2014/main" id="{6615A79D-E903-4616-BE65-CE9DA2CF47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4571857D" w14:textId="2F3B45C4" w:rsidR="00815770" w:rsidRPr="00815770" w:rsidRDefault="00815770" w:rsidP="002905FA">
      <w:pPr>
        <w:rPr>
          <w:sz w:val="16"/>
          <w:szCs w:val="16"/>
        </w:rPr>
      </w:pPr>
      <w:r w:rsidRPr="00815770">
        <w:rPr>
          <w:sz w:val="16"/>
          <w:szCs w:val="16"/>
        </w:rPr>
        <w:t xml:space="preserve">Source: Registers of Scotland, Calendar year market review, available at: </w:t>
      </w:r>
      <w:hyperlink r:id="rId152" w:history="1">
        <w:r w:rsidRPr="00815770">
          <w:rPr>
            <w:rStyle w:val="Hyperlink"/>
            <w:sz w:val="16"/>
            <w:szCs w:val="16"/>
          </w:rPr>
          <w:t>https://www.ros.gov.uk/property-data/property-statistics/calendar-year-reports</w:t>
        </w:r>
      </w:hyperlink>
      <w:r w:rsidRPr="00815770">
        <w:rPr>
          <w:sz w:val="16"/>
          <w:szCs w:val="16"/>
        </w:rPr>
        <w:t xml:space="preserve"> </w:t>
      </w:r>
    </w:p>
    <w:p w14:paraId="5B27E9D3" w14:textId="77777777" w:rsidR="006E0301" w:rsidRPr="00D80F88" w:rsidRDefault="006E0301" w:rsidP="009D7E23"/>
    <w:p w14:paraId="743A9D4D" w14:textId="2060BF03" w:rsidR="00B85E06" w:rsidRDefault="00B85E06" w:rsidP="003B0BF0">
      <w:pPr>
        <w:pStyle w:val="Heading2"/>
        <w:numPr>
          <w:ilvl w:val="1"/>
          <w:numId w:val="4"/>
        </w:numPr>
        <w:spacing w:after="240"/>
      </w:pPr>
      <w:bookmarkStart w:id="87" w:name="_Toc519088619"/>
      <w:r>
        <w:lastRenderedPageBreak/>
        <w:t>New builds</w:t>
      </w:r>
      <w:bookmarkEnd w:id="87"/>
      <w:r>
        <w:t xml:space="preserve"> </w:t>
      </w:r>
    </w:p>
    <w:p w14:paraId="30503451" w14:textId="388F6CCE" w:rsidR="00B85E06" w:rsidRDefault="00B85E06" w:rsidP="00B85E06">
      <w:r>
        <w:t xml:space="preserve">A total of 671 new houses </w:t>
      </w:r>
      <w:r w:rsidR="009D3E22">
        <w:t xml:space="preserve">were </w:t>
      </w:r>
      <w:r>
        <w:t>supplied in 2016-17 in Aberdeen City.  Of these, 518 were private new build completions</w:t>
      </w:r>
      <w:r w:rsidR="00D437C4">
        <w:t>,</w:t>
      </w:r>
      <w:r>
        <w:t xml:space="preserve"> 28 were Housing Association new builds and 125 were as a result of conversions.</w:t>
      </w:r>
      <w:r w:rsidR="00D437C4">
        <w:t xml:space="preserve">  The number of new house</w:t>
      </w:r>
      <w:r w:rsidR="003245FE">
        <w:t>s</w:t>
      </w:r>
      <w:r w:rsidR="00D437C4">
        <w:t xml:space="preserve"> supplied each year has fluctuated considerably over the past 20 years.</w:t>
      </w:r>
    </w:p>
    <w:p w14:paraId="3D05562A" w14:textId="77777777" w:rsidR="003B0BF0" w:rsidRDefault="003B0BF0" w:rsidP="00B85E06"/>
    <w:p w14:paraId="7B0FD865" w14:textId="73C8BB6D" w:rsidR="00D437C4" w:rsidRPr="00D437C4" w:rsidRDefault="00D437C4" w:rsidP="00D437C4">
      <w:pPr>
        <w:rPr>
          <w:b/>
        </w:rPr>
      </w:pPr>
      <w:r w:rsidRPr="00D437C4">
        <w:rPr>
          <w:b/>
        </w:rPr>
        <w:t>Supply of new housing, Aberdeen City, 1996-97 to 2016-17</w:t>
      </w:r>
    </w:p>
    <w:p w14:paraId="5472FBE1" w14:textId="609845C5" w:rsidR="00B85E06" w:rsidRDefault="00B85E06" w:rsidP="00D437C4">
      <w:r>
        <w:rPr>
          <w:noProof/>
        </w:rPr>
        <w:drawing>
          <wp:inline distT="0" distB="0" distL="0" distR="0" wp14:anchorId="51C8FC19" wp14:editId="5DB45AE6">
            <wp:extent cx="5220269" cy="2172335"/>
            <wp:effectExtent l="0" t="0" r="0" b="18415"/>
            <wp:docPr id="20" name="Chart 20">
              <a:extLst xmlns:a="http://schemas.openxmlformats.org/drawingml/2006/main">
                <a:ext uri="{FF2B5EF4-FFF2-40B4-BE49-F238E27FC236}">
                  <a16:creationId xmlns:a16="http://schemas.microsoft.com/office/drawing/2014/main" id="{DB023899-5E49-4281-A90E-2E77D638E7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4CB97FC4" w14:textId="0FF03BF5" w:rsidR="00D437C4" w:rsidRDefault="00D437C4" w:rsidP="00D437C4">
      <w:pPr>
        <w:rPr>
          <w:sz w:val="16"/>
          <w:szCs w:val="16"/>
        </w:rPr>
      </w:pPr>
      <w:r w:rsidRPr="009D3E22">
        <w:rPr>
          <w:sz w:val="16"/>
          <w:szCs w:val="16"/>
        </w:rPr>
        <w:t xml:space="preserve">Source: Scottish Government, Housing statistics for Scotland – supply of new housing, available at: </w:t>
      </w:r>
      <w:hyperlink r:id="rId154" w:history="1">
        <w:r w:rsidRPr="009D3E22">
          <w:rPr>
            <w:rStyle w:val="Hyperlink"/>
            <w:sz w:val="16"/>
            <w:szCs w:val="16"/>
          </w:rPr>
          <w:t>http://www.gov.scot/Topics/Statistics/Browse/Housing-Regeneration/HSfS/NewHousingSupply</w:t>
        </w:r>
      </w:hyperlink>
      <w:r w:rsidRPr="009D3E22">
        <w:rPr>
          <w:sz w:val="16"/>
          <w:szCs w:val="16"/>
        </w:rPr>
        <w:t xml:space="preserve"> </w:t>
      </w:r>
    </w:p>
    <w:p w14:paraId="0D918387" w14:textId="77777777" w:rsidR="00186331" w:rsidRDefault="00186331" w:rsidP="00D437C4">
      <w:pPr>
        <w:rPr>
          <w:sz w:val="16"/>
          <w:szCs w:val="16"/>
        </w:rPr>
      </w:pPr>
    </w:p>
    <w:p w14:paraId="5C8E4E7A" w14:textId="3845A6EE" w:rsidR="009D3E22" w:rsidRPr="009D3E22" w:rsidRDefault="009D3E22" w:rsidP="00186331">
      <w:pPr>
        <w:pStyle w:val="Heading2"/>
        <w:numPr>
          <w:ilvl w:val="1"/>
          <w:numId w:val="4"/>
        </w:numPr>
        <w:spacing w:after="120"/>
      </w:pPr>
      <w:bookmarkStart w:id="88" w:name="_Toc519088620"/>
      <w:r w:rsidRPr="009D3E22">
        <w:t>Planned developments</w:t>
      </w:r>
      <w:bookmarkEnd w:id="88"/>
    </w:p>
    <w:p w14:paraId="09B4A1E8" w14:textId="1CD6F7F4" w:rsidR="003B0BF0" w:rsidRDefault="003B0BF0" w:rsidP="003B0BF0">
      <w:pPr>
        <w:rPr>
          <w:lang w:val="en-US"/>
        </w:rPr>
      </w:pPr>
      <w:r w:rsidRPr="009D3E22">
        <w:rPr>
          <w:lang w:val="en-US"/>
        </w:rPr>
        <w:t>The Aberdeen Local Development Plan was adopted on 20 January 2017.  The Plan shows what land is being allocated to meet the city’s development needs over the next 10-20 years and it sets out the planning policies that will apply in promoting the sustainable growth of the city over this period.  It plans for 8,000 homes to be built between 2017 and 2026, and a further 7,000 to be built between 2027 and 2035.</w:t>
      </w:r>
    </w:p>
    <w:p w14:paraId="7DF31B36" w14:textId="77777777" w:rsidR="004A7EA0" w:rsidRPr="009D3E22" w:rsidRDefault="004A7EA0" w:rsidP="003B0BF0">
      <w:pPr>
        <w:rPr>
          <w:lang w:val="en-US"/>
        </w:rPr>
      </w:pPr>
    </w:p>
    <w:p w14:paraId="71B3ED90" w14:textId="0E38F1FC" w:rsidR="003B0BF0" w:rsidRPr="009D3E22" w:rsidRDefault="003B0BF0" w:rsidP="003B0BF0">
      <w:pPr>
        <w:rPr>
          <w:lang w:val="en-US"/>
        </w:rPr>
      </w:pPr>
      <w:r w:rsidRPr="009D3E22">
        <w:rPr>
          <w:lang w:val="en-US"/>
        </w:rPr>
        <w:t xml:space="preserve">Many of the sites have a phased delivery and a full list of the sites and their planned release can be found in the Local Development Plan: </w:t>
      </w:r>
      <w:hyperlink r:id="rId155" w:history="1">
        <w:r w:rsidRPr="009D3E22">
          <w:rPr>
            <w:rStyle w:val="Hyperlink"/>
            <w:lang w:val="en-US"/>
          </w:rPr>
          <w:t>http://www.aberdeencity.gov.uk/nmsruntime/saveasdialog.asp?lID=74821&amp;sID=9484</w:t>
        </w:r>
      </w:hyperlink>
      <w:r w:rsidRPr="009D3E22">
        <w:rPr>
          <w:lang w:val="en-US"/>
        </w:rPr>
        <w:t xml:space="preserve"> </w:t>
      </w:r>
    </w:p>
    <w:p w14:paraId="0794AF11" w14:textId="77777777" w:rsidR="004A7EA0" w:rsidRDefault="004A7EA0" w:rsidP="003B0BF0">
      <w:pPr>
        <w:rPr>
          <w:lang w:val="en-US"/>
        </w:rPr>
      </w:pPr>
    </w:p>
    <w:p w14:paraId="1EAD9491" w14:textId="1CAE98EE" w:rsidR="003B0BF0" w:rsidRDefault="003B0BF0" w:rsidP="003B0BF0">
      <w:pPr>
        <w:rPr>
          <w:lang w:val="en-US"/>
        </w:rPr>
      </w:pPr>
      <w:r w:rsidRPr="009D3E22">
        <w:rPr>
          <w:lang w:val="en-US"/>
        </w:rPr>
        <w:t>This map</w:t>
      </w:r>
      <w:r w:rsidR="004A7EA0">
        <w:rPr>
          <w:lang w:val="en-US"/>
        </w:rPr>
        <w:t xml:space="preserve"> below</w:t>
      </w:r>
      <w:r w:rsidRPr="009D3E22">
        <w:rPr>
          <w:lang w:val="en-US"/>
        </w:rPr>
        <w:t xml:space="preserve"> provides an indication of where major developments are planned.</w:t>
      </w:r>
    </w:p>
    <w:p w14:paraId="712D9E67" w14:textId="77777777" w:rsidR="004A7EA0" w:rsidRPr="009D3E22" w:rsidRDefault="004A7EA0" w:rsidP="003B0BF0">
      <w:pPr>
        <w:rPr>
          <w:lang w:val="en-US"/>
        </w:rPr>
      </w:pPr>
    </w:p>
    <w:p w14:paraId="4C1D2609" w14:textId="77777777" w:rsidR="009413D6" w:rsidRDefault="009413D6">
      <w:pPr>
        <w:rPr>
          <w:b/>
        </w:rPr>
      </w:pPr>
      <w:r>
        <w:rPr>
          <w:b/>
        </w:rPr>
        <w:br w:type="page"/>
      </w:r>
    </w:p>
    <w:p w14:paraId="04293DD8" w14:textId="0B761555" w:rsidR="003B0BF0" w:rsidRPr="004A7EA0" w:rsidRDefault="003B0BF0" w:rsidP="003B0BF0">
      <w:pPr>
        <w:rPr>
          <w:b/>
        </w:rPr>
      </w:pPr>
      <w:r w:rsidRPr="004A7EA0">
        <w:rPr>
          <w:b/>
        </w:rPr>
        <w:lastRenderedPageBreak/>
        <w:t xml:space="preserve">Planned housing developments in Aberdeen   </w:t>
      </w:r>
    </w:p>
    <w:p w14:paraId="466978DF" w14:textId="3F06AE48" w:rsidR="00FF23A9" w:rsidRDefault="003B0BF0" w:rsidP="00186331">
      <w:pPr>
        <w:rPr>
          <w:i/>
        </w:rPr>
      </w:pPr>
      <w:r w:rsidRPr="009D3E22">
        <w:rPr>
          <w:noProof/>
        </w:rPr>
        <w:drawing>
          <wp:inline distT="0" distB="0" distL="0" distR="0" wp14:anchorId="4F6F3F6A" wp14:editId="5FCA2F19">
            <wp:extent cx="3713439" cy="3432412"/>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718843" cy="3437407"/>
                    </a:xfrm>
                    <a:prstGeom prst="rect">
                      <a:avLst/>
                    </a:prstGeom>
                    <a:noFill/>
                    <a:ln>
                      <a:noFill/>
                    </a:ln>
                  </pic:spPr>
                </pic:pic>
              </a:graphicData>
            </a:graphic>
          </wp:inline>
        </w:drawing>
      </w:r>
      <w:r w:rsidRPr="009D3E22">
        <w:rPr>
          <w:i/>
        </w:rPr>
        <w:t xml:space="preserve">   </w:t>
      </w:r>
    </w:p>
    <w:p w14:paraId="7E58C9BB" w14:textId="77777777" w:rsidR="009A2A07" w:rsidRPr="00186331" w:rsidRDefault="009A2A07" w:rsidP="00186331">
      <w:pPr>
        <w:rPr>
          <w:b/>
        </w:rPr>
      </w:pPr>
    </w:p>
    <w:p w14:paraId="01799315" w14:textId="0C6DB20E" w:rsidR="004F4B84" w:rsidRPr="004F4B84" w:rsidRDefault="004F4B84" w:rsidP="00C65F9E">
      <w:pPr>
        <w:pStyle w:val="Heading2"/>
        <w:numPr>
          <w:ilvl w:val="1"/>
          <w:numId w:val="4"/>
        </w:numPr>
        <w:spacing w:after="240"/>
      </w:pPr>
      <w:bookmarkStart w:id="89" w:name="_Toc519088621"/>
      <w:r w:rsidRPr="004F4B84">
        <w:t>Crime</w:t>
      </w:r>
      <w:bookmarkEnd w:id="89"/>
    </w:p>
    <w:p w14:paraId="300C4CD8" w14:textId="1E3687A3" w:rsidR="004F4B84" w:rsidRDefault="00C65F9E" w:rsidP="004F4B84">
      <w:r>
        <w:t>In Scotland, crimes and offences are classified into 7 groups:</w:t>
      </w:r>
    </w:p>
    <w:p w14:paraId="2CFE3D3A" w14:textId="77777777" w:rsidR="003245FE" w:rsidRDefault="003245FE" w:rsidP="004F4B84"/>
    <w:p w14:paraId="7767A469" w14:textId="5CFA2D5A" w:rsidR="00C65F9E" w:rsidRDefault="00C65F9E" w:rsidP="00C65F9E">
      <w:pPr>
        <w:pStyle w:val="ListParagraph"/>
        <w:numPr>
          <w:ilvl w:val="0"/>
          <w:numId w:val="23"/>
        </w:numPr>
      </w:pPr>
      <w:r w:rsidRPr="00C65F9E">
        <w:rPr>
          <w:b/>
        </w:rPr>
        <w:t>Group 1</w:t>
      </w:r>
      <w:r>
        <w:t xml:space="preserve"> – </w:t>
      </w:r>
      <w:r w:rsidRPr="005B55E8">
        <w:rPr>
          <w:b/>
        </w:rPr>
        <w:t>Non-sexual crimes of violence</w:t>
      </w:r>
      <w:r>
        <w:t xml:space="preserve"> (includes murder, culpable homicide, attempted murder and serious assault, robbery and assault with intent to rob, and ‘other’ crimes including threats and extortion and possession of a firearm with intent to endanger life).</w:t>
      </w:r>
    </w:p>
    <w:p w14:paraId="04AABD53" w14:textId="2FB5E1A3" w:rsidR="00C65F9E" w:rsidRDefault="00C65F9E" w:rsidP="00C65F9E">
      <w:pPr>
        <w:pStyle w:val="ListParagraph"/>
        <w:numPr>
          <w:ilvl w:val="0"/>
          <w:numId w:val="23"/>
        </w:numPr>
      </w:pPr>
      <w:r>
        <w:rPr>
          <w:b/>
        </w:rPr>
        <w:t xml:space="preserve">Group 2 </w:t>
      </w:r>
      <w:r>
        <w:t xml:space="preserve">– </w:t>
      </w:r>
      <w:r w:rsidRPr="005B55E8">
        <w:rPr>
          <w:b/>
        </w:rPr>
        <w:t>Sexual crimes</w:t>
      </w:r>
      <w:r>
        <w:t xml:space="preserve"> (includes rape and attempted rape, sexual assault, crimes associated with prostitution and other sexual crimes).</w:t>
      </w:r>
    </w:p>
    <w:p w14:paraId="13906C14" w14:textId="0B9BA337" w:rsidR="00C65F9E" w:rsidRDefault="00C65F9E" w:rsidP="00C65F9E">
      <w:pPr>
        <w:pStyle w:val="ListParagraph"/>
        <w:numPr>
          <w:ilvl w:val="0"/>
          <w:numId w:val="23"/>
        </w:numPr>
      </w:pPr>
      <w:r>
        <w:rPr>
          <w:b/>
        </w:rPr>
        <w:t xml:space="preserve">Group 3 </w:t>
      </w:r>
      <w:r>
        <w:t xml:space="preserve">– </w:t>
      </w:r>
      <w:r w:rsidRPr="005B55E8">
        <w:rPr>
          <w:b/>
        </w:rPr>
        <w:t>Crimes of dishonesty</w:t>
      </w:r>
      <w:r>
        <w:t xml:space="preserve"> (includes housebreaking, theft, shoplifting, fraud).</w:t>
      </w:r>
    </w:p>
    <w:p w14:paraId="6CD128AE" w14:textId="186DFA64" w:rsidR="00C65F9E" w:rsidRDefault="00C65F9E" w:rsidP="00C65F9E">
      <w:pPr>
        <w:pStyle w:val="ListParagraph"/>
        <w:numPr>
          <w:ilvl w:val="0"/>
          <w:numId w:val="23"/>
        </w:numPr>
      </w:pPr>
      <w:r>
        <w:rPr>
          <w:b/>
        </w:rPr>
        <w:t xml:space="preserve">Group 4 </w:t>
      </w:r>
      <w:r>
        <w:t xml:space="preserve">– </w:t>
      </w:r>
      <w:r w:rsidRPr="005B55E8">
        <w:rPr>
          <w:b/>
        </w:rPr>
        <w:t>Fire-raising and vandalism etc</w:t>
      </w:r>
      <w:r>
        <w:t>.</w:t>
      </w:r>
    </w:p>
    <w:p w14:paraId="4E2B962F" w14:textId="6BB5B4F6" w:rsidR="00C65F9E" w:rsidRDefault="00C65F9E" w:rsidP="00C65F9E">
      <w:pPr>
        <w:pStyle w:val="ListParagraph"/>
        <w:numPr>
          <w:ilvl w:val="0"/>
          <w:numId w:val="23"/>
        </w:numPr>
      </w:pPr>
      <w:r>
        <w:rPr>
          <w:b/>
        </w:rPr>
        <w:t xml:space="preserve">Group 5 </w:t>
      </w:r>
      <w:r>
        <w:t>– Other crimes (includes crimes against public justice, handling offensive weapons, drug-related and ‘other’ including offences relating to serious organised crime).</w:t>
      </w:r>
    </w:p>
    <w:p w14:paraId="34EC39A1" w14:textId="77777777" w:rsidR="003245FE" w:rsidRDefault="003245FE" w:rsidP="003245FE">
      <w:pPr>
        <w:pStyle w:val="ListParagraph"/>
        <w:ind w:left="1440"/>
      </w:pPr>
    </w:p>
    <w:p w14:paraId="771DB689" w14:textId="2C6DDDC1" w:rsidR="00C65F9E" w:rsidRDefault="00C65F9E" w:rsidP="005B55E8">
      <w:r>
        <w:t>The final two groups come under the category of ‘offences’ rather than ‘crimes’.</w:t>
      </w:r>
    </w:p>
    <w:p w14:paraId="0DE0F2C8" w14:textId="77777777" w:rsidR="003245FE" w:rsidRDefault="003245FE" w:rsidP="005B55E8"/>
    <w:p w14:paraId="527EDA1F" w14:textId="62B6754D" w:rsidR="00C65F9E" w:rsidRDefault="005B55E8" w:rsidP="00C65F9E">
      <w:pPr>
        <w:pStyle w:val="ListParagraph"/>
        <w:numPr>
          <w:ilvl w:val="0"/>
          <w:numId w:val="28"/>
        </w:numPr>
      </w:pPr>
      <w:r w:rsidRPr="005B55E8">
        <w:rPr>
          <w:b/>
        </w:rPr>
        <w:t>Group 6 – Miscellaneous offences</w:t>
      </w:r>
      <w:r>
        <w:t xml:space="preserve"> (includes common assault, breach of the peace, drunkenness and other disorderly conduct and ‘other’).</w:t>
      </w:r>
    </w:p>
    <w:p w14:paraId="0CBEFAEB" w14:textId="788ECFDE" w:rsidR="005B55E8" w:rsidRDefault="005B55E8" w:rsidP="00C65F9E">
      <w:pPr>
        <w:pStyle w:val="ListParagraph"/>
        <w:numPr>
          <w:ilvl w:val="0"/>
          <w:numId w:val="28"/>
        </w:numPr>
      </w:pPr>
      <w:r w:rsidRPr="005B55E8">
        <w:rPr>
          <w:b/>
        </w:rPr>
        <w:t>Group 7 – Motor vehicle offences</w:t>
      </w:r>
      <w:r>
        <w:t xml:space="preserve"> (includes dangerous and careless driving, driving under the influence, speeding, unlawful use of vehicle, vehicle defect offences, seatbelt and mobile phone offences and ‘other).</w:t>
      </w:r>
    </w:p>
    <w:p w14:paraId="0F23A4E3" w14:textId="77777777" w:rsidR="003245FE" w:rsidRDefault="003245FE" w:rsidP="005B55E8"/>
    <w:p w14:paraId="19C97741" w14:textId="39A80B11" w:rsidR="005B55E8" w:rsidRDefault="005B55E8" w:rsidP="005B55E8">
      <w:r>
        <w:t xml:space="preserve">Further information on classifications can be found at: </w:t>
      </w:r>
      <w:hyperlink r:id="rId157" w:history="1">
        <w:r w:rsidRPr="00966148">
          <w:rPr>
            <w:rStyle w:val="Hyperlink"/>
          </w:rPr>
          <w:t>https://beta.gov.scot/publications/recorded-crime-scotland-2016-17/pages/36/</w:t>
        </w:r>
      </w:hyperlink>
      <w:r>
        <w:t xml:space="preserve"> </w:t>
      </w:r>
    </w:p>
    <w:p w14:paraId="32785EED" w14:textId="281D60CD" w:rsidR="00C65F9E" w:rsidRDefault="00C65F9E" w:rsidP="004F4B84"/>
    <w:p w14:paraId="0A175EE9" w14:textId="662FE236" w:rsidR="005B55E8" w:rsidRDefault="005B55E8" w:rsidP="004F4B84">
      <w:r>
        <w:lastRenderedPageBreak/>
        <w:t xml:space="preserve">In 2017/18 the most common </w:t>
      </w:r>
      <w:r w:rsidR="00514976">
        <w:t>crimes</w:t>
      </w:r>
      <w:r>
        <w:t xml:space="preserve"> recorded in Aberdeen City were </w:t>
      </w:r>
      <w:r w:rsidR="00514976">
        <w:t xml:space="preserve">Miscellaneous Offences (5,987) and Crimes of Dishonesty (5,859).  </w:t>
      </w:r>
    </w:p>
    <w:p w14:paraId="56063198" w14:textId="77777777" w:rsidR="00FF23A9" w:rsidRDefault="00FF23A9" w:rsidP="004F4B84"/>
    <w:p w14:paraId="33868BA1" w14:textId="1DC9D5B8" w:rsidR="00514976" w:rsidRDefault="00514976" w:rsidP="00514976">
      <w:r>
        <w:rPr>
          <w:noProof/>
        </w:rPr>
        <w:drawing>
          <wp:inline distT="0" distB="0" distL="0" distR="0" wp14:anchorId="6ED90DEB" wp14:editId="23A51D53">
            <wp:extent cx="4749421" cy="2586251"/>
            <wp:effectExtent l="0" t="0" r="13335" b="5080"/>
            <wp:docPr id="60" name="Chart 60">
              <a:extLst xmlns:a="http://schemas.openxmlformats.org/drawingml/2006/main">
                <a:ext uri="{FF2B5EF4-FFF2-40B4-BE49-F238E27FC236}">
                  <a16:creationId xmlns:a16="http://schemas.microsoft.com/office/drawing/2014/main" id="{85FBA801-1B7B-449D-8BEC-9C2D036B08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6318B40E" w14:textId="284C6B33" w:rsidR="00514976" w:rsidRPr="009413D6" w:rsidRDefault="00514976" w:rsidP="00514976">
      <w:pPr>
        <w:rPr>
          <w:sz w:val="16"/>
          <w:szCs w:val="16"/>
        </w:rPr>
      </w:pPr>
      <w:r w:rsidRPr="009413D6">
        <w:rPr>
          <w:sz w:val="16"/>
          <w:szCs w:val="16"/>
        </w:rPr>
        <w:t>Source:  Police Scotland</w:t>
      </w:r>
    </w:p>
    <w:p w14:paraId="7B4A8BB0" w14:textId="77777777" w:rsidR="00C06D58" w:rsidRDefault="00C06D58" w:rsidP="00514976">
      <w:pPr>
        <w:rPr>
          <w:highlight w:val="yellow"/>
        </w:rPr>
      </w:pPr>
    </w:p>
    <w:p w14:paraId="6C5026D6" w14:textId="6CD48B7F" w:rsidR="00514976" w:rsidRDefault="00514976" w:rsidP="00514976">
      <w:r>
        <w:t xml:space="preserve">Comparison with Scotland </w:t>
      </w:r>
      <w:r w:rsidR="0077227E">
        <w:t xml:space="preserve">shows that, with the exception of Motor Vehicle Offences, rates of crimes and offences (per 10,000 population) are higher in Aberdeen City than in Scotland. In most cases this difference is relatively small, however the rate of Crimes of Dishonesty is over 50% higher (51.1%) in Aberdeen compared to Scotland.  </w:t>
      </w:r>
      <w:r w:rsidR="0077227E" w:rsidRPr="0077227E">
        <w:t>(</w:t>
      </w:r>
      <w:r w:rsidR="0077227E">
        <w:t>N</w:t>
      </w:r>
      <w:r w:rsidR="0077227E" w:rsidRPr="0077227E">
        <w:t>ote: this</w:t>
      </w:r>
      <w:r w:rsidR="00186331">
        <w:t xml:space="preserve"> comparison</w:t>
      </w:r>
      <w:r w:rsidR="0077227E" w:rsidRPr="0077227E">
        <w:t xml:space="preserve"> is using 2016/17 data as 2017/18 data national data is not yet available</w:t>
      </w:r>
      <w:r w:rsidR="0077227E">
        <w:t>.</w:t>
      </w:r>
      <w:r w:rsidR="0077227E" w:rsidRPr="0077227E">
        <w:t>)</w:t>
      </w:r>
      <w:r w:rsidR="0077227E">
        <w:t xml:space="preserve"> </w:t>
      </w:r>
    </w:p>
    <w:p w14:paraId="02C82D36" w14:textId="0DE2213E" w:rsidR="00514976" w:rsidRDefault="00514976" w:rsidP="00514976"/>
    <w:p w14:paraId="372200EB" w14:textId="2CCD2C29" w:rsidR="00514976" w:rsidRDefault="00514976" w:rsidP="00514976">
      <w:r>
        <w:rPr>
          <w:noProof/>
        </w:rPr>
        <w:drawing>
          <wp:inline distT="0" distB="0" distL="0" distR="0" wp14:anchorId="3C112B3A" wp14:editId="2485D46D">
            <wp:extent cx="5367130" cy="2957195"/>
            <wp:effectExtent l="0" t="0" r="5080" b="14605"/>
            <wp:docPr id="61" name="Chart 61">
              <a:extLst xmlns:a="http://schemas.openxmlformats.org/drawingml/2006/main">
                <a:ext uri="{FF2B5EF4-FFF2-40B4-BE49-F238E27FC236}">
                  <a16:creationId xmlns:a16="http://schemas.microsoft.com/office/drawing/2014/main" id="{52855F71-098E-46D5-89D1-77291377CB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79DCA6CD" w14:textId="77777777" w:rsidR="009413D6" w:rsidRPr="009413D6" w:rsidRDefault="009413D6" w:rsidP="009413D6">
      <w:pPr>
        <w:rPr>
          <w:sz w:val="16"/>
          <w:szCs w:val="16"/>
        </w:rPr>
      </w:pPr>
      <w:r w:rsidRPr="009413D6">
        <w:rPr>
          <w:sz w:val="16"/>
          <w:szCs w:val="16"/>
        </w:rPr>
        <w:t>Source:  Police Scotland</w:t>
      </w:r>
    </w:p>
    <w:p w14:paraId="14C08435" w14:textId="4D9D3628" w:rsidR="0077227E" w:rsidRDefault="0077227E" w:rsidP="00514976"/>
    <w:p w14:paraId="23336F8E" w14:textId="73F9EBD0" w:rsidR="0077227E" w:rsidRDefault="0077227E" w:rsidP="00514976">
      <w:r>
        <w:t>Over the past 5 years, the rates (per 10,000 population) of Crimes of Dishonesty, Fire-raising and Vandalism, Miscellaneous Offences and Motor Vehicle Offences have decreased</w:t>
      </w:r>
      <w:r w:rsidR="008808A3">
        <w:t>.  Rates for Crimes of Violence, Sexual Crimes and Other Crimes have increased slightly over the period, although rates of both Crimes of Violence and Sexual Crimes fell between 2016/17 and 2017/18.</w:t>
      </w:r>
    </w:p>
    <w:p w14:paraId="63572166" w14:textId="13B19A62" w:rsidR="0077227E" w:rsidRDefault="0077227E" w:rsidP="00514976"/>
    <w:p w14:paraId="1F7C6424" w14:textId="29D45504" w:rsidR="0077227E" w:rsidRDefault="0077227E" w:rsidP="00514976">
      <w:r>
        <w:rPr>
          <w:noProof/>
        </w:rPr>
        <w:drawing>
          <wp:inline distT="0" distB="0" distL="0" distR="0" wp14:anchorId="51CE3A4B" wp14:editId="509712D9">
            <wp:extent cx="5359179" cy="2976245"/>
            <wp:effectExtent l="0" t="0" r="13335" b="14605"/>
            <wp:docPr id="62" name="Chart 62">
              <a:extLst xmlns:a="http://schemas.openxmlformats.org/drawingml/2006/main">
                <a:ext uri="{FF2B5EF4-FFF2-40B4-BE49-F238E27FC236}">
                  <a16:creationId xmlns:a16="http://schemas.microsoft.com/office/drawing/2014/main" id="{2A317254-33F4-472A-BCF3-900B0FC9E9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19157F74" w14:textId="77777777" w:rsidR="009413D6" w:rsidRPr="009413D6" w:rsidRDefault="009413D6" w:rsidP="009413D6">
      <w:pPr>
        <w:rPr>
          <w:sz w:val="16"/>
          <w:szCs w:val="16"/>
        </w:rPr>
      </w:pPr>
      <w:r w:rsidRPr="009413D6">
        <w:rPr>
          <w:sz w:val="16"/>
          <w:szCs w:val="16"/>
        </w:rPr>
        <w:t>Source:  Police Scotland</w:t>
      </w:r>
    </w:p>
    <w:p w14:paraId="41AAF84B" w14:textId="51EF9270" w:rsidR="0077227E" w:rsidRDefault="0077227E" w:rsidP="00514976"/>
    <w:p w14:paraId="44E8CCAD" w14:textId="5964D263" w:rsidR="008808A3" w:rsidRDefault="008808A3" w:rsidP="008808A3">
      <w:pPr>
        <w:pStyle w:val="Heading2"/>
        <w:numPr>
          <w:ilvl w:val="2"/>
          <w:numId w:val="4"/>
        </w:numPr>
        <w:spacing w:after="240"/>
      </w:pPr>
      <w:bookmarkStart w:id="90" w:name="_Toc519088622"/>
      <w:r w:rsidRPr="008808A3">
        <w:t>Crimes and offences by neighbourhood</w:t>
      </w:r>
      <w:bookmarkEnd w:id="90"/>
    </w:p>
    <w:p w14:paraId="6765DA92" w14:textId="21920364" w:rsidR="0077227E" w:rsidRDefault="008808A3" w:rsidP="008808A3">
      <w:r>
        <w:t>Rates of crime and offences in different neighbourhoods of the City are compared using 5-year aggregate data (2013/14-2017/1</w:t>
      </w:r>
      <w:r w:rsidR="00A45C89">
        <w:t xml:space="preserve">8).  The rates for crimes/offences </w:t>
      </w:r>
      <w:r>
        <w:t>are highest in the City Centre for every category.  Consistent with finding</w:t>
      </w:r>
      <w:r w:rsidR="004741F4">
        <w:t>s</w:t>
      </w:r>
      <w:r>
        <w:t xml:space="preserve"> for the City</w:t>
      </w:r>
      <w:r w:rsidR="00FF23A9">
        <w:t xml:space="preserve"> as a whole</w:t>
      </w:r>
      <w:r>
        <w:t>, the most commonly recorded are Miscellaneous Offences (4,152.6 per 10,000 population) and Crimes of Dishonesty (2,667.9 per 10,000 population).</w:t>
      </w:r>
      <w:r w:rsidR="003D5BFB">
        <w:t xml:space="preserve"> The next most common are Other Crimes (1,036.7), Motor Vehicle Offences (921.3), Fire-raising, vandalism etc. (343.1), Crimes of Violence (123.0) and Sexual Crimes (107.6).  </w:t>
      </w:r>
    </w:p>
    <w:p w14:paraId="6F5286EE" w14:textId="77777777" w:rsidR="003245FE" w:rsidRDefault="003245FE" w:rsidP="008808A3"/>
    <w:p w14:paraId="5FFB6E11" w14:textId="297CB2F4" w:rsidR="008808A3" w:rsidRPr="008808A3" w:rsidRDefault="008808A3" w:rsidP="008808A3">
      <w:r>
        <w:rPr>
          <w:noProof/>
        </w:rPr>
        <w:drawing>
          <wp:inline distT="0" distB="0" distL="0" distR="0" wp14:anchorId="2FEA147B" wp14:editId="0C973D52">
            <wp:extent cx="5731510" cy="2934268"/>
            <wp:effectExtent l="0" t="0" r="2540" b="0"/>
            <wp:docPr id="63" name="Chart 63">
              <a:extLst xmlns:a="http://schemas.openxmlformats.org/drawingml/2006/main">
                <a:ext uri="{FF2B5EF4-FFF2-40B4-BE49-F238E27FC236}">
                  <a16:creationId xmlns:a16="http://schemas.microsoft.com/office/drawing/2014/main" id="{950798B5-E976-4492-89AB-0302EC7D74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7B3848A2" w14:textId="5120637D" w:rsidR="0077227E" w:rsidRDefault="0077227E" w:rsidP="00514976"/>
    <w:p w14:paraId="6295A2E0" w14:textId="408C48CD" w:rsidR="003D5BFB" w:rsidRDefault="003D5BFB" w:rsidP="00514976">
      <w:r>
        <w:t xml:space="preserve">Given the disparity between the City Centre and other neighbourhoods in the City, to more easily allow comparison between neighbourhoods, the City Centre is not included in the </w:t>
      </w:r>
      <w:r>
        <w:lastRenderedPageBreak/>
        <w:t xml:space="preserve">chart below.  </w:t>
      </w:r>
      <w:r w:rsidR="00202EDD">
        <w:t xml:space="preserve">In some areas of the City such as Kingswells, Oldmachar and Cults, the overall rates of recorded crimes/offences are relatively low, while in other areas such as Woodside, Ashgrove and Cummings Park they are considerably higher. </w:t>
      </w:r>
    </w:p>
    <w:p w14:paraId="60D1C3FA" w14:textId="77777777" w:rsidR="006E03D6" w:rsidRDefault="006E03D6" w:rsidP="00514976"/>
    <w:p w14:paraId="7B841CBC" w14:textId="6E990A37" w:rsidR="00514976" w:rsidRDefault="005A19F0" w:rsidP="004F4B84">
      <w:r>
        <w:rPr>
          <w:noProof/>
        </w:rPr>
        <w:drawing>
          <wp:inline distT="0" distB="0" distL="0" distR="0" wp14:anchorId="0029C177" wp14:editId="7266DC3C">
            <wp:extent cx="5731510" cy="2777319"/>
            <wp:effectExtent l="0" t="0" r="2540" b="4445"/>
            <wp:docPr id="64" name="Chart 64">
              <a:extLst xmlns:a="http://schemas.openxmlformats.org/drawingml/2006/main">
                <a:ext uri="{FF2B5EF4-FFF2-40B4-BE49-F238E27FC236}">
                  <a16:creationId xmlns:a16="http://schemas.microsoft.com/office/drawing/2014/main" id="{A2EC20B9-B7DD-4612-AC1E-BE6384186D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62512EC6" w14:textId="77777777" w:rsidR="0059288F" w:rsidRDefault="0059288F" w:rsidP="004F4B84"/>
    <w:p w14:paraId="58F9246D" w14:textId="68355D82" w:rsidR="004741F4" w:rsidRDefault="004741F4" w:rsidP="004F4B84">
      <w:r>
        <w:t xml:space="preserve">While Miscellaneous Offences and Crimes of Dishonesty remain the most commonly recorded crimes/offences in most neighbourhoods, the rates for other categories of crimes/offences varies.  </w:t>
      </w:r>
      <w:r w:rsidR="002859BC">
        <w:t xml:space="preserve">For example, </w:t>
      </w:r>
      <w:r w:rsidR="00202EDD">
        <w:t>the rate of Crimes of Violence in Hannover is more tha</w:t>
      </w:r>
      <w:r w:rsidR="003245FE">
        <w:t>n</w:t>
      </w:r>
      <w:r w:rsidR="00202EDD">
        <w:t xml:space="preserve"> twice the average rate for the City (33.6 per 10,000 population compared to 14.8 per 10,000 population).  Similarly, the rate of Sexual Crimes in Hannover is more than 4 times the rate for the City (87.5 compared to 21.3).  The table below shows the neighbourhoods with the highest rates within each category of crime/offence.</w:t>
      </w:r>
    </w:p>
    <w:p w14:paraId="68486C9A" w14:textId="77777777" w:rsidR="003245FE" w:rsidRDefault="003245FE" w:rsidP="004F4B84"/>
    <w:p w14:paraId="1D57A580" w14:textId="5513B335" w:rsidR="002859BC" w:rsidRPr="00202EDD" w:rsidRDefault="00202EDD" w:rsidP="00202EDD">
      <w:pPr>
        <w:rPr>
          <w:b/>
        </w:rPr>
      </w:pPr>
      <w:r w:rsidRPr="00202EDD">
        <w:rPr>
          <w:b/>
        </w:rPr>
        <w:t>Neighbourhoods with the highest rates for each crime/offence category</w:t>
      </w:r>
      <w:r w:rsidR="00A45C89">
        <w:rPr>
          <w:b/>
        </w:rPr>
        <w:t>, Aberdeen City, 2013/14-2017/18</w:t>
      </w:r>
    </w:p>
    <w:tbl>
      <w:tblPr>
        <w:tblStyle w:val="TableGrid"/>
        <w:tblW w:w="8900" w:type="dxa"/>
        <w:tblInd w:w="720" w:type="dxa"/>
        <w:tblLook w:val="04A0" w:firstRow="1" w:lastRow="0" w:firstColumn="1" w:lastColumn="0" w:noHBand="0" w:noVBand="1"/>
      </w:tblPr>
      <w:tblGrid>
        <w:gridCol w:w="1626"/>
        <w:gridCol w:w="1764"/>
        <w:gridCol w:w="1654"/>
        <w:gridCol w:w="1928"/>
        <w:gridCol w:w="1928"/>
      </w:tblGrid>
      <w:tr w:rsidR="002859BC" w:rsidRPr="002859BC" w14:paraId="17836A97" w14:textId="77777777" w:rsidTr="00202EDD">
        <w:tc>
          <w:tcPr>
            <w:tcW w:w="1626" w:type="dxa"/>
            <w:shd w:val="clear" w:color="auto" w:fill="D9E2F3" w:themeFill="accent1" w:themeFillTint="33"/>
          </w:tcPr>
          <w:p w14:paraId="060655D2" w14:textId="243A20DF" w:rsidR="002859BC" w:rsidRPr="00202EDD" w:rsidRDefault="00202EDD" w:rsidP="003245FE">
            <w:pPr>
              <w:ind w:left="0"/>
              <w:rPr>
                <w:b/>
                <w:sz w:val="18"/>
                <w:szCs w:val="18"/>
              </w:rPr>
            </w:pPr>
            <w:r w:rsidRPr="00202EDD">
              <w:rPr>
                <w:b/>
                <w:sz w:val="18"/>
                <w:szCs w:val="18"/>
              </w:rPr>
              <w:t>Category of crime/offence (rate for Aberdeen City)</w:t>
            </w:r>
          </w:p>
        </w:tc>
        <w:tc>
          <w:tcPr>
            <w:tcW w:w="1764" w:type="dxa"/>
            <w:shd w:val="clear" w:color="auto" w:fill="D9E2F3" w:themeFill="accent1" w:themeFillTint="33"/>
            <w:vAlign w:val="center"/>
          </w:tcPr>
          <w:p w14:paraId="3C1717B4" w14:textId="74969B02" w:rsidR="002859BC" w:rsidRPr="00202EDD" w:rsidRDefault="002859BC" w:rsidP="003245FE">
            <w:pPr>
              <w:ind w:left="0"/>
              <w:jc w:val="center"/>
              <w:rPr>
                <w:b/>
                <w:sz w:val="18"/>
                <w:szCs w:val="18"/>
              </w:rPr>
            </w:pPr>
            <w:r w:rsidRPr="00202EDD">
              <w:rPr>
                <w:b/>
                <w:sz w:val="18"/>
                <w:szCs w:val="18"/>
              </w:rPr>
              <w:t>Neighbourhood (rate per 10,000 population)</w:t>
            </w:r>
          </w:p>
        </w:tc>
        <w:tc>
          <w:tcPr>
            <w:tcW w:w="1654" w:type="dxa"/>
            <w:shd w:val="clear" w:color="auto" w:fill="D9E2F3" w:themeFill="accent1" w:themeFillTint="33"/>
            <w:vAlign w:val="center"/>
          </w:tcPr>
          <w:p w14:paraId="5CF539FE" w14:textId="45586300" w:rsidR="002859BC" w:rsidRPr="00202EDD" w:rsidRDefault="002859BC" w:rsidP="003245FE">
            <w:pPr>
              <w:ind w:left="0"/>
              <w:jc w:val="center"/>
              <w:rPr>
                <w:b/>
                <w:sz w:val="18"/>
                <w:szCs w:val="18"/>
              </w:rPr>
            </w:pPr>
            <w:r w:rsidRPr="00202EDD">
              <w:rPr>
                <w:b/>
                <w:sz w:val="18"/>
                <w:szCs w:val="18"/>
              </w:rPr>
              <w:t>Neighbourhood (rate per 10,000 population)</w:t>
            </w:r>
          </w:p>
        </w:tc>
        <w:tc>
          <w:tcPr>
            <w:tcW w:w="1928" w:type="dxa"/>
            <w:shd w:val="clear" w:color="auto" w:fill="D9E2F3" w:themeFill="accent1" w:themeFillTint="33"/>
            <w:vAlign w:val="center"/>
          </w:tcPr>
          <w:p w14:paraId="076B8028" w14:textId="60FD5454" w:rsidR="00202EDD" w:rsidRDefault="002859BC" w:rsidP="003245FE">
            <w:pPr>
              <w:ind w:left="0"/>
              <w:jc w:val="center"/>
              <w:rPr>
                <w:b/>
                <w:sz w:val="18"/>
                <w:szCs w:val="18"/>
              </w:rPr>
            </w:pPr>
            <w:r w:rsidRPr="00202EDD">
              <w:rPr>
                <w:b/>
                <w:sz w:val="18"/>
                <w:szCs w:val="18"/>
              </w:rPr>
              <w:t>Neighbourhood</w:t>
            </w:r>
          </w:p>
          <w:p w14:paraId="46BEAACD" w14:textId="4AA3C28D" w:rsidR="002859BC" w:rsidRPr="00202EDD" w:rsidRDefault="002859BC" w:rsidP="003245FE">
            <w:pPr>
              <w:ind w:left="0"/>
              <w:jc w:val="center"/>
              <w:rPr>
                <w:b/>
                <w:sz w:val="18"/>
                <w:szCs w:val="18"/>
              </w:rPr>
            </w:pPr>
            <w:r w:rsidRPr="00202EDD">
              <w:rPr>
                <w:b/>
                <w:sz w:val="18"/>
                <w:szCs w:val="18"/>
              </w:rPr>
              <w:t>(rate per 10,000 population)</w:t>
            </w:r>
          </w:p>
        </w:tc>
        <w:tc>
          <w:tcPr>
            <w:tcW w:w="1928" w:type="dxa"/>
            <w:shd w:val="clear" w:color="auto" w:fill="D9E2F3" w:themeFill="accent1" w:themeFillTint="33"/>
            <w:vAlign w:val="center"/>
          </w:tcPr>
          <w:p w14:paraId="6F9A80B6" w14:textId="719912EC" w:rsidR="00202EDD" w:rsidRDefault="002859BC" w:rsidP="003245FE">
            <w:pPr>
              <w:ind w:left="0"/>
              <w:jc w:val="center"/>
              <w:rPr>
                <w:b/>
                <w:sz w:val="18"/>
                <w:szCs w:val="18"/>
              </w:rPr>
            </w:pPr>
            <w:r w:rsidRPr="00202EDD">
              <w:rPr>
                <w:b/>
                <w:sz w:val="18"/>
                <w:szCs w:val="18"/>
              </w:rPr>
              <w:t>Neighbourhood</w:t>
            </w:r>
          </w:p>
          <w:p w14:paraId="1BAB5909" w14:textId="137AF876" w:rsidR="002859BC" w:rsidRPr="00202EDD" w:rsidRDefault="002859BC" w:rsidP="003245FE">
            <w:pPr>
              <w:ind w:left="0"/>
              <w:jc w:val="center"/>
              <w:rPr>
                <w:b/>
                <w:sz w:val="18"/>
                <w:szCs w:val="18"/>
              </w:rPr>
            </w:pPr>
            <w:r w:rsidRPr="00202EDD">
              <w:rPr>
                <w:b/>
                <w:sz w:val="18"/>
                <w:szCs w:val="18"/>
              </w:rPr>
              <w:t>(rate per 10,000 population)</w:t>
            </w:r>
          </w:p>
        </w:tc>
      </w:tr>
      <w:tr w:rsidR="002859BC" w:rsidRPr="002859BC" w14:paraId="6EE135FE" w14:textId="77777777" w:rsidTr="00202EDD">
        <w:trPr>
          <w:trHeight w:val="510"/>
        </w:trPr>
        <w:tc>
          <w:tcPr>
            <w:tcW w:w="1626" w:type="dxa"/>
            <w:vAlign w:val="center"/>
          </w:tcPr>
          <w:p w14:paraId="279CDECD" w14:textId="5D9B550A" w:rsidR="002859BC" w:rsidRPr="002859BC" w:rsidRDefault="002859BC" w:rsidP="003245FE">
            <w:pPr>
              <w:ind w:left="0"/>
              <w:rPr>
                <w:sz w:val="18"/>
                <w:szCs w:val="18"/>
              </w:rPr>
            </w:pPr>
            <w:r w:rsidRPr="002859BC">
              <w:rPr>
                <w:sz w:val="18"/>
                <w:szCs w:val="18"/>
              </w:rPr>
              <w:t>Crimes of Violence</w:t>
            </w:r>
            <w:r w:rsidR="00202EDD">
              <w:rPr>
                <w:sz w:val="18"/>
                <w:szCs w:val="18"/>
              </w:rPr>
              <w:t xml:space="preserve"> (14.8)</w:t>
            </w:r>
          </w:p>
        </w:tc>
        <w:tc>
          <w:tcPr>
            <w:tcW w:w="1764" w:type="dxa"/>
            <w:vAlign w:val="center"/>
          </w:tcPr>
          <w:p w14:paraId="481C1DF0" w14:textId="61FB413D" w:rsidR="002859BC" w:rsidRPr="002859BC" w:rsidRDefault="002859BC" w:rsidP="003245FE">
            <w:pPr>
              <w:ind w:left="0"/>
              <w:jc w:val="center"/>
              <w:rPr>
                <w:sz w:val="18"/>
                <w:szCs w:val="18"/>
              </w:rPr>
            </w:pPr>
            <w:r w:rsidRPr="002859BC">
              <w:rPr>
                <w:sz w:val="18"/>
                <w:szCs w:val="18"/>
              </w:rPr>
              <w:t>City Centre (123.0)</w:t>
            </w:r>
          </w:p>
        </w:tc>
        <w:tc>
          <w:tcPr>
            <w:tcW w:w="1654" w:type="dxa"/>
            <w:vAlign w:val="center"/>
          </w:tcPr>
          <w:p w14:paraId="79B55441" w14:textId="6B8022D7" w:rsidR="002859BC" w:rsidRPr="002859BC" w:rsidRDefault="002859BC" w:rsidP="003245FE">
            <w:pPr>
              <w:ind w:left="0"/>
              <w:jc w:val="center"/>
              <w:rPr>
                <w:sz w:val="18"/>
                <w:szCs w:val="18"/>
              </w:rPr>
            </w:pPr>
            <w:r w:rsidRPr="002859BC">
              <w:rPr>
                <w:sz w:val="18"/>
                <w:szCs w:val="18"/>
              </w:rPr>
              <w:t>Woodside (33.6)</w:t>
            </w:r>
          </w:p>
        </w:tc>
        <w:tc>
          <w:tcPr>
            <w:tcW w:w="1928" w:type="dxa"/>
            <w:vAlign w:val="center"/>
          </w:tcPr>
          <w:p w14:paraId="3C6E3A2C" w14:textId="5723780D" w:rsidR="002859BC" w:rsidRPr="002859BC" w:rsidRDefault="002859BC" w:rsidP="003245FE">
            <w:pPr>
              <w:ind w:left="0"/>
              <w:jc w:val="center"/>
              <w:rPr>
                <w:sz w:val="18"/>
                <w:szCs w:val="18"/>
              </w:rPr>
            </w:pPr>
            <w:r w:rsidRPr="002859BC">
              <w:rPr>
                <w:sz w:val="18"/>
                <w:szCs w:val="18"/>
              </w:rPr>
              <w:t>Torry (26.4)</w:t>
            </w:r>
          </w:p>
        </w:tc>
        <w:tc>
          <w:tcPr>
            <w:tcW w:w="1928" w:type="dxa"/>
            <w:vAlign w:val="center"/>
          </w:tcPr>
          <w:p w14:paraId="6BBA8DDD" w14:textId="47033550" w:rsidR="002859BC" w:rsidRPr="002859BC" w:rsidRDefault="002859BC" w:rsidP="003245FE">
            <w:pPr>
              <w:ind w:left="0"/>
              <w:jc w:val="center"/>
              <w:rPr>
                <w:sz w:val="18"/>
                <w:szCs w:val="18"/>
              </w:rPr>
            </w:pPr>
            <w:r w:rsidRPr="002859BC">
              <w:rPr>
                <w:sz w:val="18"/>
                <w:szCs w:val="18"/>
              </w:rPr>
              <w:t>Middlefield (26.1)</w:t>
            </w:r>
          </w:p>
        </w:tc>
      </w:tr>
      <w:tr w:rsidR="002859BC" w:rsidRPr="002859BC" w14:paraId="20CD4990" w14:textId="77777777" w:rsidTr="00202EDD">
        <w:trPr>
          <w:trHeight w:val="510"/>
        </w:trPr>
        <w:tc>
          <w:tcPr>
            <w:tcW w:w="1626" w:type="dxa"/>
            <w:vAlign w:val="center"/>
          </w:tcPr>
          <w:p w14:paraId="50E141E4" w14:textId="700F6D03" w:rsidR="002859BC" w:rsidRPr="002859BC" w:rsidRDefault="002859BC" w:rsidP="003245FE">
            <w:pPr>
              <w:ind w:left="0"/>
              <w:rPr>
                <w:sz w:val="18"/>
                <w:szCs w:val="18"/>
              </w:rPr>
            </w:pPr>
            <w:r w:rsidRPr="002859BC">
              <w:rPr>
                <w:sz w:val="18"/>
                <w:szCs w:val="18"/>
              </w:rPr>
              <w:t>Sexual crimes</w:t>
            </w:r>
            <w:r w:rsidR="00202EDD">
              <w:rPr>
                <w:sz w:val="18"/>
                <w:szCs w:val="18"/>
              </w:rPr>
              <w:t xml:space="preserve"> (21.3)</w:t>
            </w:r>
          </w:p>
        </w:tc>
        <w:tc>
          <w:tcPr>
            <w:tcW w:w="1764" w:type="dxa"/>
            <w:vAlign w:val="center"/>
          </w:tcPr>
          <w:p w14:paraId="6CA9A1F7" w14:textId="05257B51" w:rsidR="002859BC" w:rsidRPr="002859BC" w:rsidRDefault="002859BC" w:rsidP="003245FE">
            <w:pPr>
              <w:ind w:left="0"/>
              <w:jc w:val="center"/>
              <w:rPr>
                <w:sz w:val="18"/>
                <w:szCs w:val="18"/>
              </w:rPr>
            </w:pPr>
            <w:r w:rsidRPr="002859BC">
              <w:rPr>
                <w:sz w:val="18"/>
                <w:szCs w:val="18"/>
              </w:rPr>
              <w:t>City Centre (107.6)</w:t>
            </w:r>
          </w:p>
        </w:tc>
        <w:tc>
          <w:tcPr>
            <w:tcW w:w="1654" w:type="dxa"/>
            <w:vAlign w:val="center"/>
          </w:tcPr>
          <w:p w14:paraId="42B76E47" w14:textId="66E23CEC" w:rsidR="002859BC" w:rsidRPr="002859BC" w:rsidRDefault="002859BC" w:rsidP="003245FE">
            <w:pPr>
              <w:ind w:left="0"/>
              <w:jc w:val="center"/>
              <w:rPr>
                <w:sz w:val="18"/>
                <w:szCs w:val="18"/>
              </w:rPr>
            </w:pPr>
            <w:r w:rsidRPr="002859BC">
              <w:rPr>
                <w:sz w:val="18"/>
                <w:szCs w:val="18"/>
              </w:rPr>
              <w:t>Hanover (87.5)</w:t>
            </w:r>
          </w:p>
        </w:tc>
        <w:tc>
          <w:tcPr>
            <w:tcW w:w="1928" w:type="dxa"/>
            <w:vAlign w:val="center"/>
          </w:tcPr>
          <w:p w14:paraId="120E62DA" w14:textId="065D0858" w:rsidR="002859BC" w:rsidRPr="002859BC" w:rsidRDefault="002859BC" w:rsidP="003245FE">
            <w:pPr>
              <w:ind w:left="0"/>
              <w:jc w:val="center"/>
              <w:rPr>
                <w:sz w:val="18"/>
                <w:szCs w:val="18"/>
              </w:rPr>
            </w:pPr>
            <w:r w:rsidRPr="002859BC">
              <w:rPr>
                <w:sz w:val="18"/>
                <w:szCs w:val="18"/>
              </w:rPr>
              <w:t>Middlefield (52.8)</w:t>
            </w:r>
          </w:p>
        </w:tc>
        <w:tc>
          <w:tcPr>
            <w:tcW w:w="1928" w:type="dxa"/>
            <w:vAlign w:val="center"/>
          </w:tcPr>
          <w:p w14:paraId="4CF2FC7E" w14:textId="5361F7AE" w:rsidR="002859BC" w:rsidRPr="002859BC" w:rsidRDefault="002859BC" w:rsidP="003245FE">
            <w:pPr>
              <w:ind w:left="0"/>
              <w:jc w:val="center"/>
              <w:rPr>
                <w:sz w:val="18"/>
                <w:szCs w:val="18"/>
              </w:rPr>
            </w:pPr>
            <w:r w:rsidRPr="002859BC">
              <w:rPr>
                <w:sz w:val="18"/>
                <w:szCs w:val="18"/>
              </w:rPr>
              <w:t>Cummings Park (41.4)</w:t>
            </w:r>
          </w:p>
        </w:tc>
      </w:tr>
      <w:tr w:rsidR="002859BC" w:rsidRPr="002859BC" w14:paraId="7E076ACB" w14:textId="77777777" w:rsidTr="00202EDD">
        <w:trPr>
          <w:trHeight w:val="510"/>
        </w:trPr>
        <w:tc>
          <w:tcPr>
            <w:tcW w:w="1626" w:type="dxa"/>
            <w:vAlign w:val="center"/>
          </w:tcPr>
          <w:p w14:paraId="7E8BE057" w14:textId="50C3F73B" w:rsidR="002859BC" w:rsidRPr="002859BC" w:rsidRDefault="002859BC" w:rsidP="003245FE">
            <w:pPr>
              <w:ind w:left="0"/>
              <w:rPr>
                <w:sz w:val="18"/>
                <w:szCs w:val="18"/>
              </w:rPr>
            </w:pPr>
            <w:r w:rsidRPr="002859BC">
              <w:rPr>
                <w:sz w:val="18"/>
                <w:szCs w:val="18"/>
              </w:rPr>
              <w:t>Crimes of dishonesty</w:t>
            </w:r>
            <w:r w:rsidR="00202EDD">
              <w:rPr>
                <w:sz w:val="18"/>
                <w:szCs w:val="18"/>
              </w:rPr>
              <w:t xml:space="preserve"> (319.9)</w:t>
            </w:r>
          </w:p>
        </w:tc>
        <w:tc>
          <w:tcPr>
            <w:tcW w:w="1764" w:type="dxa"/>
            <w:vAlign w:val="center"/>
          </w:tcPr>
          <w:p w14:paraId="572A714D" w14:textId="0E15FACA" w:rsidR="002859BC" w:rsidRPr="002859BC" w:rsidRDefault="002859BC" w:rsidP="003245FE">
            <w:pPr>
              <w:ind w:left="0"/>
              <w:jc w:val="center"/>
              <w:rPr>
                <w:sz w:val="18"/>
                <w:szCs w:val="18"/>
              </w:rPr>
            </w:pPr>
            <w:r w:rsidRPr="002859BC">
              <w:rPr>
                <w:sz w:val="18"/>
                <w:szCs w:val="18"/>
              </w:rPr>
              <w:t>City Centre (2,667.9)</w:t>
            </w:r>
          </w:p>
        </w:tc>
        <w:tc>
          <w:tcPr>
            <w:tcW w:w="1654" w:type="dxa"/>
            <w:vAlign w:val="center"/>
          </w:tcPr>
          <w:p w14:paraId="12496F04" w14:textId="025F39C7" w:rsidR="002859BC" w:rsidRPr="002859BC" w:rsidRDefault="002859BC" w:rsidP="003245FE">
            <w:pPr>
              <w:ind w:left="0"/>
              <w:jc w:val="center"/>
              <w:rPr>
                <w:sz w:val="18"/>
                <w:szCs w:val="18"/>
              </w:rPr>
            </w:pPr>
            <w:r w:rsidRPr="002859BC">
              <w:rPr>
                <w:sz w:val="18"/>
                <w:szCs w:val="18"/>
              </w:rPr>
              <w:t>Ashgrove (647.1)</w:t>
            </w:r>
          </w:p>
        </w:tc>
        <w:tc>
          <w:tcPr>
            <w:tcW w:w="1928" w:type="dxa"/>
            <w:vAlign w:val="center"/>
          </w:tcPr>
          <w:p w14:paraId="2634B057" w14:textId="1354B631" w:rsidR="002859BC" w:rsidRPr="002859BC" w:rsidRDefault="002859BC" w:rsidP="003245FE">
            <w:pPr>
              <w:ind w:left="0"/>
              <w:jc w:val="center"/>
              <w:rPr>
                <w:sz w:val="18"/>
                <w:szCs w:val="18"/>
              </w:rPr>
            </w:pPr>
            <w:r w:rsidRPr="002859BC">
              <w:rPr>
                <w:sz w:val="18"/>
                <w:szCs w:val="18"/>
              </w:rPr>
              <w:t>Hanover (531.6)</w:t>
            </w:r>
          </w:p>
        </w:tc>
        <w:tc>
          <w:tcPr>
            <w:tcW w:w="1928" w:type="dxa"/>
            <w:vAlign w:val="center"/>
          </w:tcPr>
          <w:p w14:paraId="4E5DC2CF" w14:textId="21BF8126" w:rsidR="002859BC" w:rsidRPr="002859BC" w:rsidRDefault="002859BC" w:rsidP="003245FE">
            <w:pPr>
              <w:ind w:left="0"/>
              <w:jc w:val="center"/>
              <w:rPr>
                <w:sz w:val="18"/>
                <w:szCs w:val="18"/>
              </w:rPr>
            </w:pPr>
            <w:r w:rsidRPr="002859BC">
              <w:rPr>
                <w:sz w:val="18"/>
                <w:szCs w:val="18"/>
              </w:rPr>
              <w:t>Woodside (491.2)</w:t>
            </w:r>
          </w:p>
        </w:tc>
      </w:tr>
      <w:tr w:rsidR="002859BC" w:rsidRPr="002859BC" w14:paraId="1781302A" w14:textId="77777777" w:rsidTr="00202EDD">
        <w:trPr>
          <w:trHeight w:val="510"/>
        </w:trPr>
        <w:tc>
          <w:tcPr>
            <w:tcW w:w="1626" w:type="dxa"/>
            <w:vAlign w:val="center"/>
          </w:tcPr>
          <w:p w14:paraId="7D98E7A7" w14:textId="0B52FFD5" w:rsidR="002859BC" w:rsidRPr="002859BC" w:rsidRDefault="002859BC" w:rsidP="003245FE">
            <w:pPr>
              <w:ind w:left="0"/>
              <w:rPr>
                <w:sz w:val="18"/>
                <w:szCs w:val="18"/>
              </w:rPr>
            </w:pPr>
            <w:r w:rsidRPr="002859BC">
              <w:rPr>
                <w:sz w:val="18"/>
                <w:szCs w:val="18"/>
              </w:rPr>
              <w:t>Fire-raising, vandalism etc.</w:t>
            </w:r>
            <w:r w:rsidR="00202EDD">
              <w:rPr>
                <w:sz w:val="18"/>
                <w:szCs w:val="18"/>
              </w:rPr>
              <w:t xml:space="preserve"> (107.5)</w:t>
            </w:r>
          </w:p>
        </w:tc>
        <w:tc>
          <w:tcPr>
            <w:tcW w:w="1764" w:type="dxa"/>
            <w:vAlign w:val="center"/>
          </w:tcPr>
          <w:p w14:paraId="6DFBDFE3" w14:textId="32E82993" w:rsidR="002859BC" w:rsidRPr="002859BC" w:rsidRDefault="002859BC" w:rsidP="003245FE">
            <w:pPr>
              <w:ind w:left="0"/>
              <w:jc w:val="center"/>
              <w:rPr>
                <w:sz w:val="18"/>
                <w:szCs w:val="18"/>
              </w:rPr>
            </w:pPr>
            <w:r w:rsidRPr="002859BC">
              <w:rPr>
                <w:sz w:val="18"/>
                <w:szCs w:val="18"/>
              </w:rPr>
              <w:t>City Centre (343.1)</w:t>
            </w:r>
          </w:p>
        </w:tc>
        <w:tc>
          <w:tcPr>
            <w:tcW w:w="1654" w:type="dxa"/>
            <w:vAlign w:val="center"/>
          </w:tcPr>
          <w:p w14:paraId="72C8E8CB" w14:textId="04DD8921" w:rsidR="002859BC" w:rsidRPr="002859BC" w:rsidRDefault="002859BC" w:rsidP="003245FE">
            <w:pPr>
              <w:ind w:left="0"/>
              <w:jc w:val="center"/>
              <w:rPr>
                <w:sz w:val="18"/>
                <w:szCs w:val="18"/>
              </w:rPr>
            </w:pPr>
            <w:r w:rsidRPr="002859BC">
              <w:rPr>
                <w:sz w:val="18"/>
                <w:szCs w:val="18"/>
              </w:rPr>
              <w:t>Torry (291.9)</w:t>
            </w:r>
          </w:p>
        </w:tc>
        <w:tc>
          <w:tcPr>
            <w:tcW w:w="1928" w:type="dxa"/>
            <w:vAlign w:val="center"/>
          </w:tcPr>
          <w:p w14:paraId="2097B227" w14:textId="586747F1" w:rsidR="002859BC" w:rsidRPr="002859BC" w:rsidRDefault="002859BC" w:rsidP="003245FE">
            <w:pPr>
              <w:ind w:left="0"/>
              <w:jc w:val="center"/>
              <w:rPr>
                <w:sz w:val="18"/>
                <w:szCs w:val="18"/>
              </w:rPr>
            </w:pPr>
            <w:r w:rsidRPr="002859BC">
              <w:rPr>
                <w:sz w:val="18"/>
                <w:szCs w:val="18"/>
              </w:rPr>
              <w:t>Cummings Park (246.1)</w:t>
            </w:r>
          </w:p>
        </w:tc>
        <w:tc>
          <w:tcPr>
            <w:tcW w:w="1928" w:type="dxa"/>
            <w:vAlign w:val="center"/>
          </w:tcPr>
          <w:p w14:paraId="769A4620" w14:textId="3EF3D625" w:rsidR="002859BC" w:rsidRPr="002859BC" w:rsidRDefault="002859BC" w:rsidP="003245FE">
            <w:pPr>
              <w:ind w:left="0"/>
              <w:jc w:val="center"/>
              <w:rPr>
                <w:sz w:val="18"/>
                <w:szCs w:val="18"/>
              </w:rPr>
            </w:pPr>
            <w:r w:rsidRPr="002859BC">
              <w:rPr>
                <w:sz w:val="18"/>
                <w:szCs w:val="18"/>
              </w:rPr>
              <w:t>Middlefield (235.9)</w:t>
            </w:r>
          </w:p>
        </w:tc>
      </w:tr>
      <w:tr w:rsidR="002859BC" w:rsidRPr="002859BC" w14:paraId="7CE99FD6" w14:textId="77777777" w:rsidTr="00202EDD">
        <w:trPr>
          <w:trHeight w:val="510"/>
        </w:trPr>
        <w:tc>
          <w:tcPr>
            <w:tcW w:w="1626" w:type="dxa"/>
            <w:vAlign w:val="center"/>
          </w:tcPr>
          <w:p w14:paraId="52217C85" w14:textId="740A3974" w:rsidR="002859BC" w:rsidRPr="002859BC" w:rsidRDefault="002859BC" w:rsidP="003245FE">
            <w:pPr>
              <w:ind w:left="0"/>
              <w:rPr>
                <w:sz w:val="18"/>
                <w:szCs w:val="18"/>
              </w:rPr>
            </w:pPr>
            <w:r w:rsidRPr="002859BC">
              <w:rPr>
                <w:sz w:val="18"/>
                <w:szCs w:val="18"/>
              </w:rPr>
              <w:t>Other Crimes</w:t>
            </w:r>
            <w:r w:rsidR="00202EDD">
              <w:rPr>
                <w:sz w:val="18"/>
                <w:szCs w:val="18"/>
              </w:rPr>
              <w:t xml:space="preserve"> (114.5)</w:t>
            </w:r>
          </w:p>
        </w:tc>
        <w:tc>
          <w:tcPr>
            <w:tcW w:w="1764" w:type="dxa"/>
            <w:vAlign w:val="center"/>
          </w:tcPr>
          <w:p w14:paraId="69B2DC2C" w14:textId="5C9B489C" w:rsidR="002859BC" w:rsidRPr="002859BC" w:rsidRDefault="002859BC" w:rsidP="003245FE">
            <w:pPr>
              <w:ind w:left="0"/>
              <w:jc w:val="center"/>
              <w:rPr>
                <w:sz w:val="18"/>
                <w:szCs w:val="18"/>
              </w:rPr>
            </w:pPr>
            <w:r w:rsidRPr="002859BC">
              <w:rPr>
                <w:sz w:val="18"/>
                <w:szCs w:val="18"/>
              </w:rPr>
              <w:t>City Centre (1,036.7)</w:t>
            </w:r>
          </w:p>
        </w:tc>
        <w:tc>
          <w:tcPr>
            <w:tcW w:w="1654" w:type="dxa"/>
            <w:vAlign w:val="center"/>
          </w:tcPr>
          <w:p w14:paraId="0DB5665E" w14:textId="48B9C3A6" w:rsidR="002859BC" w:rsidRPr="002859BC" w:rsidRDefault="002859BC" w:rsidP="003245FE">
            <w:pPr>
              <w:ind w:left="0"/>
              <w:jc w:val="center"/>
              <w:rPr>
                <w:sz w:val="18"/>
                <w:szCs w:val="18"/>
              </w:rPr>
            </w:pPr>
            <w:r w:rsidRPr="002859BC">
              <w:rPr>
                <w:sz w:val="18"/>
                <w:szCs w:val="18"/>
              </w:rPr>
              <w:t>Woodside (247.1)</w:t>
            </w:r>
          </w:p>
        </w:tc>
        <w:tc>
          <w:tcPr>
            <w:tcW w:w="1928" w:type="dxa"/>
            <w:vAlign w:val="center"/>
          </w:tcPr>
          <w:p w14:paraId="0324EA96" w14:textId="2663289F" w:rsidR="002859BC" w:rsidRPr="002859BC" w:rsidRDefault="002859BC" w:rsidP="003245FE">
            <w:pPr>
              <w:ind w:left="0"/>
              <w:jc w:val="center"/>
              <w:rPr>
                <w:sz w:val="18"/>
                <w:szCs w:val="18"/>
              </w:rPr>
            </w:pPr>
            <w:r w:rsidRPr="002859BC">
              <w:rPr>
                <w:sz w:val="18"/>
                <w:szCs w:val="18"/>
              </w:rPr>
              <w:t>Torry (243.6)</w:t>
            </w:r>
          </w:p>
        </w:tc>
        <w:tc>
          <w:tcPr>
            <w:tcW w:w="1928" w:type="dxa"/>
            <w:vAlign w:val="center"/>
          </w:tcPr>
          <w:p w14:paraId="3A482614" w14:textId="0F9EA3B1" w:rsidR="002859BC" w:rsidRPr="002859BC" w:rsidRDefault="002859BC" w:rsidP="003245FE">
            <w:pPr>
              <w:ind w:left="0"/>
              <w:jc w:val="center"/>
              <w:rPr>
                <w:sz w:val="18"/>
                <w:szCs w:val="18"/>
              </w:rPr>
            </w:pPr>
            <w:r w:rsidRPr="002859BC">
              <w:rPr>
                <w:sz w:val="18"/>
                <w:szCs w:val="18"/>
              </w:rPr>
              <w:t>Seaton (240.0)</w:t>
            </w:r>
          </w:p>
        </w:tc>
      </w:tr>
      <w:tr w:rsidR="002859BC" w:rsidRPr="002859BC" w14:paraId="55DE4B4F" w14:textId="77777777" w:rsidTr="00202EDD">
        <w:trPr>
          <w:trHeight w:val="510"/>
        </w:trPr>
        <w:tc>
          <w:tcPr>
            <w:tcW w:w="1626" w:type="dxa"/>
            <w:vAlign w:val="center"/>
          </w:tcPr>
          <w:p w14:paraId="35545A7A" w14:textId="0CD0190C" w:rsidR="002859BC" w:rsidRPr="002859BC" w:rsidRDefault="002859BC" w:rsidP="003245FE">
            <w:pPr>
              <w:ind w:left="0"/>
              <w:rPr>
                <w:sz w:val="18"/>
                <w:szCs w:val="18"/>
              </w:rPr>
            </w:pPr>
            <w:r w:rsidRPr="002859BC">
              <w:rPr>
                <w:sz w:val="18"/>
                <w:szCs w:val="18"/>
              </w:rPr>
              <w:t>Miscellaneous Offences</w:t>
            </w:r>
            <w:r w:rsidR="00202EDD">
              <w:rPr>
                <w:sz w:val="18"/>
                <w:szCs w:val="18"/>
              </w:rPr>
              <w:t xml:space="preserve"> (332.4)</w:t>
            </w:r>
          </w:p>
        </w:tc>
        <w:tc>
          <w:tcPr>
            <w:tcW w:w="1764" w:type="dxa"/>
            <w:vAlign w:val="center"/>
          </w:tcPr>
          <w:p w14:paraId="001FC999" w14:textId="5E31E7F8" w:rsidR="002859BC" w:rsidRPr="002859BC" w:rsidRDefault="002859BC" w:rsidP="003245FE">
            <w:pPr>
              <w:ind w:left="0"/>
              <w:jc w:val="center"/>
              <w:rPr>
                <w:sz w:val="18"/>
                <w:szCs w:val="18"/>
              </w:rPr>
            </w:pPr>
            <w:r w:rsidRPr="002859BC">
              <w:rPr>
                <w:sz w:val="18"/>
                <w:szCs w:val="18"/>
              </w:rPr>
              <w:t>City Centre (4,152.6)</w:t>
            </w:r>
          </w:p>
        </w:tc>
        <w:tc>
          <w:tcPr>
            <w:tcW w:w="1654" w:type="dxa"/>
            <w:vAlign w:val="center"/>
          </w:tcPr>
          <w:p w14:paraId="5E85ACCD" w14:textId="672E1114" w:rsidR="002859BC" w:rsidRPr="002859BC" w:rsidRDefault="002859BC" w:rsidP="003245FE">
            <w:pPr>
              <w:ind w:left="0"/>
              <w:jc w:val="center"/>
              <w:rPr>
                <w:sz w:val="18"/>
                <w:szCs w:val="18"/>
              </w:rPr>
            </w:pPr>
            <w:r w:rsidRPr="002859BC">
              <w:rPr>
                <w:sz w:val="18"/>
                <w:szCs w:val="18"/>
              </w:rPr>
              <w:t>Woodside (574.9)</w:t>
            </w:r>
          </w:p>
        </w:tc>
        <w:tc>
          <w:tcPr>
            <w:tcW w:w="1928" w:type="dxa"/>
            <w:vAlign w:val="center"/>
          </w:tcPr>
          <w:p w14:paraId="4943137C" w14:textId="193376C7" w:rsidR="002859BC" w:rsidRPr="002859BC" w:rsidRDefault="002859BC" w:rsidP="003245FE">
            <w:pPr>
              <w:ind w:left="0"/>
              <w:jc w:val="center"/>
              <w:rPr>
                <w:sz w:val="18"/>
                <w:szCs w:val="18"/>
              </w:rPr>
            </w:pPr>
            <w:r w:rsidRPr="002859BC">
              <w:rPr>
                <w:sz w:val="18"/>
                <w:szCs w:val="18"/>
              </w:rPr>
              <w:t>Cummings Park (559.6)</w:t>
            </w:r>
          </w:p>
        </w:tc>
        <w:tc>
          <w:tcPr>
            <w:tcW w:w="1928" w:type="dxa"/>
            <w:vAlign w:val="center"/>
          </w:tcPr>
          <w:p w14:paraId="2D4F4A33" w14:textId="52C30AA8" w:rsidR="002859BC" w:rsidRPr="002859BC" w:rsidRDefault="002859BC" w:rsidP="003245FE">
            <w:pPr>
              <w:ind w:left="0"/>
              <w:jc w:val="center"/>
              <w:rPr>
                <w:sz w:val="18"/>
                <w:szCs w:val="18"/>
              </w:rPr>
            </w:pPr>
            <w:r w:rsidRPr="002859BC">
              <w:rPr>
                <w:sz w:val="18"/>
                <w:szCs w:val="18"/>
              </w:rPr>
              <w:t>Middlefield (495.2)</w:t>
            </w:r>
          </w:p>
        </w:tc>
      </w:tr>
      <w:tr w:rsidR="002859BC" w:rsidRPr="002859BC" w14:paraId="1BEBA5D7" w14:textId="77777777" w:rsidTr="00202EDD">
        <w:trPr>
          <w:trHeight w:val="510"/>
        </w:trPr>
        <w:tc>
          <w:tcPr>
            <w:tcW w:w="1626" w:type="dxa"/>
            <w:vAlign w:val="center"/>
          </w:tcPr>
          <w:p w14:paraId="4BFC0C29" w14:textId="4C48042F" w:rsidR="002859BC" w:rsidRPr="002859BC" w:rsidRDefault="002859BC" w:rsidP="003245FE">
            <w:pPr>
              <w:ind w:left="0"/>
              <w:rPr>
                <w:sz w:val="18"/>
                <w:szCs w:val="18"/>
              </w:rPr>
            </w:pPr>
            <w:r w:rsidRPr="002859BC">
              <w:rPr>
                <w:sz w:val="18"/>
                <w:szCs w:val="18"/>
              </w:rPr>
              <w:t>Motor Vehicle Offences (224.1)</w:t>
            </w:r>
          </w:p>
        </w:tc>
        <w:tc>
          <w:tcPr>
            <w:tcW w:w="1764" w:type="dxa"/>
            <w:vAlign w:val="center"/>
          </w:tcPr>
          <w:p w14:paraId="1F6B6168" w14:textId="7B4364FC" w:rsidR="002859BC" w:rsidRPr="002859BC" w:rsidRDefault="002859BC" w:rsidP="003245FE">
            <w:pPr>
              <w:ind w:left="0"/>
              <w:jc w:val="center"/>
              <w:rPr>
                <w:sz w:val="18"/>
                <w:szCs w:val="18"/>
              </w:rPr>
            </w:pPr>
            <w:r w:rsidRPr="002859BC">
              <w:rPr>
                <w:sz w:val="18"/>
                <w:szCs w:val="18"/>
              </w:rPr>
              <w:t>City Centre (921.5)</w:t>
            </w:r>
          </w:p>
        </w:tc>
        <w:tc>
          <w:tcPr>
            <w:tcW w:w="1654" w:type="dxa"/>
            <w:vAlign w:val="center"/>
          </w:tcPr>
          <w:p w14:paraId="75848475" w14:textId="33D54898" w:rsidR="002859BC" w:rsidRPr="002859BC" w:rsidRDefault="002859BC" w:rsidP="003245FE">
            <w:pPr>
              <w:ind w:left="0"/>
              <w:jc w:val="center"/>
              <w:rPr>
                <w:sz w:val="18"/>
                <w:szCs w:val="18"/>
              </w:rPr>
            </w:pPr>
            <w:r w:rsidRPr="002859BC">
              <w:rPr>
                <w:sz w:val="18"/>
                <w:szCs w:val="18"/>
              </w:rPr>
              <w:t>Woodside (459.6)</w:t>
            </w:r>
          </w:p>
        </w:tc>
        <w:tc>
          <w:tcPr>
            <w:tcW w:w="1928" w:type="dxa"/>
            <w:vAlign w:val="center"/>
          </w:tcPr>
          <w:p w14:paraId="77DA66C0" w14:textId="6C98D30E" w:rsidR="002859BC" w:rsidRPr="002859BC" w:rsidRDefault="002859BC" w:rsidP="003245FE">
            <w:pPr>
              <w:ind w:left="0"/>
              <w:jc w:val="center"/>
              <w:rPr>
                <w:sz w:val="18"/>
                <w:szCs w:val="18"/>
              </w:rPr>
            </w:pPr>
            <w:r w:rsidRPr="002859BC">
              <w:rPr>
                <w:sz w:val="18"/>
                <w:szCs w:val="18"/>
              </w:rPr>
              <w:t>Bucksburn (432.8)</w:t>
            </w:r>
          </w:p>
        </w:tc>
        <w:tc>
          <w:tcPr>
            <w:tcW w:w="1928" w:type="dxa"/>
            <w:vAlign w:val="center"/>
          </w:tcPr>
          <w:p w14:paraId="10A4C379" w14:textId="35EE9012" w:rsidR="002859BC" w:rsidRPr="002859BC" w:rsidRDefault="002859BC" w:rsidP="003245FE">
            <w:pPr>
              <w:ind w:left="0"/>
              <w:jc w:val="center"/>
              <w:rPr>
                <w:sz w:val="18"/>
                <w:szCs w:val="18"/>
              </w:rPr>
            </w:pPr>
            <w:r w:rsidRPr="002859BC">
              <w:rPr>
                <w:sz w:val="18"/>
                <w:szCs w:val="18"/>
              </w:rPr>
              <w:t>Hanover (428.4)</w:t>
            </w:r>
          </w:p>
        </w:tc>
      </w:tr>
    </w:tbl>
    <w:p w14:paraId="69B5CBC3" w14:textId="51FE4FD0" w:rsidR="002859BC" w:rsidRPr="00FF23A9" w:rsidRDefault="00A45C89" w:rsidP="00A45C89">
      <w:pPr>
        <w:rPr>
          <w:sz w:val="16"/>
          <w:szCs w:val="16"/>
        </w:rPr>
      </w:pPr>
      <w:r w:rsidRPr="00FF23A9">
        <w:rPr>
          <w:sz w:val="16"/>
          <w:szCs w:val="16"/>
        </w:rPr>
        <w:t>Source:</w:t>
      </w:r>
      <w:r w:rsidR="003245FE" w:rsidRPr="00FF23A9">
        <w:rPr>
          <w:sz w:val="16"/>
          <w:szCs w:val="16"/>
        </w:rPr>
        <w:t xml:space="preserve"> Police Scotland</w:t>
      </w:r>
    </w:p>
    <w:p w14:paraId="00B323F9" w14:textId="09ECDEB9" w:rsidR="00A45C89" w:rsidRPr="00FF23A9" w:rsidRDefault="00A45C89" w:rsidP="00A45C89">
      <w:pPr>
        <w:rPr>
          <w:sz w:val="16"/>
          <w:szCs w:val="16"/>
        </w:rPr>
      </w:pPr>
      <w:r w:rsidRPr="00FF23A9">
        <w:rPr>
          <w:sz w:val="16"/>
          <w:szCs w:val="16"/>
        </w:rPr>
        <w:t>Rate per 10,000 population; 5-year aggregate 2013/14-2017/18</w:t>
      </w:r>
    </w:p>
    <w:p w14:paraId="24930A72" w14:textId="2D11E3A1" w:rsidR="004741F4" w:rsidRDefault="004741F4" w:rsidP="004F4B84"/>
    <w:p w14:paraId="656A4A62" w14:textId="1F28F180" w:rsidR="00662E5C" w:rsidRDefault="00662E5C" w:rsidP="00662E5C">
      <w:pPr>
        <w:pStyle w:val="Heading2"/>
        <w:numPr>
          <w:ilvl w:val="2"/>
          <w:numId w:val="4"/>
        </w:numPr>
      </w:pPr>
      <w:bookmarkStart w:id="91" w:name="_Toc519088623"/>
      <w:r>
        <w:t>Feel safe in community</w:t>
      </w:r>
      <w:bookmarkEnd w:id="91"/>
    </w:p>
    <w:p w14:paraId="5C6E5F80" w14:textId="33C63D5F" w:rsidR="000125DC" w:rsidRDefault="000125DC" w:rsidP="000125DC"/>
    <w:p w14:paraId="1A34BE68" w14:textId="5228A67C" w:rsidR="004445D6" w:rsidRPr="004445D6" w:rsidRDefault="00D46785" w:rsidP="004445D6">
      <w:r>
        <w:t>In 2016, a</w:t>
      </w:r>
      <w:r w:rsidR="004445D6">
        <w:t>n estimated 95% of people in Aberdeen City rate</w:t>
      </w:r>
      <w:r w:rsidR="0012552F">
        <w:t>d</w:t>
      </w:r>
      <w:r w:rsidR="004445D6">
        <w:t xml:space="preserve"> their neighbourhood as a very (55.3%) or fairly (39.7%) good place to live.  While most people thought their neighbourhood had stayed the same (63%) or got better (14%) over the past three years, 20% thought that it had gotten worse over this period.   </w:t>
      </w:r>
      <w:r w:rsidR="004445D6" w:rsidRPr="004445D6">
        <w:t>The most commonly reported neighbourhood problems were rubbish or litter lying around (26%) and animal nuisance such as noise or dog fouling (25%)</w:t>
      </w:r>
      <w:r w:rsidR="004445D6">
        <w:t>. A higher proportion of those in social housing than those in owner occupied housing reported these problems were very/fairly common (</w:t>
      </w:r>
      <w:r w:rsidR="0012552F">
        <w:t>45% and 39% respectively).  Other problems reported as very/fairly common by those in social housing were drug misuse or dealing (35%), neighbour problems (34%) and groups or individuals harassing others (33%).</w:t>
      </w:r>
    </w:p>
    <w:p w14:paraId="16EF7ED9" w14:textId="1B1BA927" w:rsidR="004445D6" w:rsidRDefault="004445D6" w:rsidP="000125DC"/>
    <w:p w14:paraId="0F34FA9D" w14:textId="12349385" w:rsidR="004445D6" w:rsidRDefault="009413D6" w:rsidP="000125DC">
      <w:r>
        <w:rPr>
          <w:noProof/>
        </w:rPr>
        <mc:AlternateContent>
          <mc:Choice Requires="wps">
            <w:drawing>
              <wp:anchor distT="45720" distB="45720" distL="114300" distR="114300" simplePos="0" relativeHeight="251668480" behindDoc="0" locked="0" layoutInCell="1" allowOverlap="1" wp14:anchorId="060BFF94" wp14:editId="1FB2CE25">
                <wp:simplePos x="0" y="0"/>
                <wp:positionH relativeFrom="margin">
                  <wp:posOffset>1753235</wp:posOffset>
                </wp:positionH>
                <wp:positionV relativeFrom="paragraph">
                  <wp:posOffset>73660</wp:posOffset>
                </wp:positionV>
                <wp:extent cx="3950335" cy="1569085"/>
                <wp:effectExtent l="0" t="0" r="12065" b="12065"/>
                <wp:wrapSquare wrapText="bothSides"/>
                <wp:docPr id="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335" cy="1569085"/>
                        </a:xfrm>
                        <a:prstGeom prst="rect">
                          <a:avLst/>
                        </a:prstGeom>
                        <a:solidFill>
                          <a:srgbClr val="FFFFFF"/>
                        </a:solidFill>
                        <a:ln w="9525">
                          <a:solidFill>
                            <a:srgbClr val="000000"/>
                          </a:solidFill>
                          <a:miter lim="800000"/>
                          <a:headEnd/>
                          <a:tailEnd/>
                        </a:ln>
                      </wps:spPr>
                      <wps:txbx>
                        <w:txbxContent>
                          <w:p w14:paraId="39956D7F" w14:textId="6291E3C2" w:rsidR="00175103" w:rsidRPr="009413D6" w:rsidRDefault="00175103" w:rsidP="009413D6">
                            <w:pPr>
                              <w:ind w:left="0"/>
                            </w:pPr>
                            <w:r w:rsidRPr="009413D6">
                              <w:t>In City Voice 42 (January 2018) 85.5% of respondents either agreed or strongly agreed with the statement that they feel safe in the neighbourhood where they live.</w:t>
                            </w:r>
                          </w:p>
                          <w:p w14:paraId="449C024B" w14:textId="70CF7A40" w:rsidR="00175103" w:rsidRDefault="00175103" w:rsidP="009413D6">
                            <w:pPr>
                              <w:ind w:left="0"/>
                            </w:pPr>
                            <w:r w:rsidRPr="009413D6">
                              <w:t>Similarly, in the Place Standard Survey (Spring 2018), in response to the question ‘Do I feel safe?’, a mean score of 5.02 was returned.  (Scoring is on a scale from 1 to 7 where 1 means there is a lot of room for improvement and 7 means there is little room for improvement.)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0BFF94" id="_x0000_s1031" type="#_x0000_t202" style="position:absolute;left:0;text-align:left;margin-left:138.05pt;margin-top:5.8pt;width:311.05pt;height:123.5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I0xJwIAAE4EAAAOAAAAZHJzL2Uyb0RvYy54bWysVNuO2yAQfa/Uf0C8N3Yu3iZWnNU221SV&#10;thdptx+AMY5RgaFAYm+/vgPOZtPbS1U/IIYZDmfOzHh9PWhFjsJ5Caai00lOiTAcGmn2Ff3ysHu1&#10;pMQHZhqmwIiKPgpPrzcvX6x7W4oZdKAa4QiCGF/2tqJdCLbMMs87oZmfgBUGnS04zQKabp81jvWI&#10;rlU2y/OrrAfXWAdceI+nt6OTbhJ+2woePrWtF4GoiiK3kFaX1jqu2WbNyr1jtpP8RIP9AwvNpMFH&#10;z1C3LDBycPI3KC25Aw9tmHDQGbSt5CLlgNlM81+yue+YFSkXFMfbs0z+/8Hyj8fPjsgGazdFfQzT&#10;WKQHMQTyBgYyi/r01pcYdm8xMAx4jLEpV2/vgH/1xMC2Y2YvbpyDvhOsQX7TeDO7uDri+AhS9x+g&#10;wWfYIUACGlqno3goB0F05PF4rk2kwvFwviry+byghKNvWlyt8mWR3mDl03XrfHgnQJO4qajD4id4&#10;drzzIdJh5VNIfM2Dks1OKpUMt6+3ypEjw0bZpe+E/lOYMqSv6KqYFaMCf4XI0/cnCC0DdrySuqLL&#10;cxAro25vTZP6MTCpxj1SVuYkZNRuVDEM9ZBqlhSIItfQPKKyDsYGx4HETQfuOyU9NndF/bcDc4IS&#10;9d5gdVbTxSJOQzIWxesZGu7SU196mOEIVdFAybjdhjRBUTcDN1jFViZ9n5mcKGPTJtlPAxan4tJO&#10;Uc+/gc0PAAAA//8DAFBLAwQUAAYACAAAACEAIQ/wkN8AAAAKAQAADwAAAGRycy9kb3ducmV2Lnht&#10;bEyPwU7DMBBE70j8g7VIXFDrJEDihjgVQgLRG7QIrm7iJhH2OthuGv6e5QTH1RvNvK3WszVs0j4M&#10;DiWkywSYxsa1A3YS3naPCwEsRIWtMg61hG8dYF2fn1WqbN0JX/W0jR2jEgylktDHOJach6bXVoWl&#10;GzUSOzhvVaTTd7z16kTl1vAsSXJu1YC00KtRP/S6+dwerQRx8zx9hM31y3uTH8wqXhXT05eX8vJi&#10;vr8DFvUc/8Lwq0/qUJPT3h2xDcxIyIo8pSiBNAdGAbESGbA9kVtRAK8r/v+F+gcAAP//AwBQSwEC&#10;LQAUAAYACAAAACEAtoM4kv4AAADhAQAAEwAAAAAAAAAAAAAAAAAAAAAAW0NvbnRlbnRfVHlwZXNd&#10;LnhtbFBLAQItABQABgAIAAAAIQA4/SH/1gAAAJQBAAALAAAAAAAAAAAAAAAAAC8BAABfcmVscy8u&#10;cmVsc1BLAQItABQABgAIAAAAIQAX2I0xJwIAAE4EAAAOAAAAAAAAAAAAAAAAAC4CAABkcnMvZTJv&#10;RG9jLnhtbFBLAQItABQABgAIAAAAIQAhD/CQ3wAAAAoBAAAPAAAAAAAAAAAAAAAAAIEEAABkcnMv&#10;ZG93bnJldi54bWxQSwUGAAAAAAQABADzAAAAjQUAAAAA&#10;">
                <v:textbox>
                  <w:txbxContent>
                    <w:p w14:paraId="39956D7F" w14:textId="6291E3C2" w:rsidR="00175103" w:rsidRPr="009413D6" w:rsidRDefault="00175103" w:rsidP="009413D6">
                      <w:pPr>
                        <w:ind w:left="0"/>
                      </w:pPr>
                      <w:r w:rsidRPr="009413D6">
                        <w:t>In City Voice 42 (January 2018) 85.5% of respondents either agreed or strongly agreed with the statement that they feel safe in the neighbourhood where they live.</w:t>
                      </w:r>
                    </w:p>
                    <w:p w14:paraId="449C024B" w14:textId="70CF7A40" w:rsidR="00175103" w:rsidRDefault="00175103" w:rsidP="009413D6">
                      <w:pPr>
                        <w:ind w:left="0"/>
                      </w:pPr>
                      <w:r w:rsidRPr="009413D6">
                        <w:t>Similarly, in the Place Standard Survey (Spring 2018), in response to the question ‘Do I feel safe?’, a mean score of 5.02 was returned.  (Scoring is on a scale from 1 to 7 where 1 means there is a lot of room for improvement and 7 means there is little room for improvement.)</w:t>
                      </w:r>
                    </w:p>
                  </w:txbxContent>
                </v:textbox>
                <w10:wrap type="square" anchorx="margin"/>
              </v:shape>
            </w:pict>
          </mc:Fallback>
        </mc:AlternateContent>
      </w:r>
      <w:r w:rsidR="004445D6">
        <w:t xml:space="preserve">An estimated 85% of people in the City said they felt safe when walking alone in their neighbourhood at night and 98% felt safe in their home at night. </w:t>
      </w:r>
    </w:p>
    <w:p w14:paraId="192D5560" w14:textId="1CD3554B" w:rsidR="004445D6" w:rsidRDefault="004445D6" w:rsidP="000125DC"/>
    <w:p w14:paraId="727BE128" w14:textId="5FE0DA15" w:rsidR="0012552F" w:rsidRPr="000125DC" w:rsidRDefault="0012552F" w:rsidP="000125DC">
      <w:r w:rsidRPr="0012552F">
        <w:t>(Source: Scottish Household Survey, 2016</w:t>
      </w:r>
      <w:r>
        <w:t>, available at:</w:t>
      </w:r>
      <w:r w:rsidRPr="0012552F">
        <w:t xml:space="preserve"> </w:t>
      </w:r>
      <w:hyperlink r:id="rId163" w:history="1">
        <w:r w:rsidRPr="008547A1">
          <w:rPr>
            <w:rStyle w:val="Hyperlink"/>
          </w:rPr>
          <w:t>http://www.gov.scot/Resource/0053/00531141.pdf</w:t>
        </w:r>
      </w:hyperlink>
      <w:r>
        <w:t xml:space="preserve">  </w:t>
      </w:r>
      <w:r w:rsidRPr="0012552F">
        <w:t>)</w:t>
      </w:r>
      <w:r>
        <w:t>.</w:t>
      </w:r>
    </w:p>
    <w:p w14:paraId="0F6F7AFA" w14:textId="11F934DB" w:rsidR="008B0376" w:rsidRDefault="008B0376" w:rsidP="008B0376"/>
    <w:p w14:paraId="33C7056C" w14:textId="77777777" w:rsidR="009A2A07" w:rsidRPr="009A2A07" w:rsidRDefault="009A2A07" w:rsidP="009A2A07"/>
    <w:p w14:paraId="322C3B4A" w14:textId="033BBEB3" w:rsidR="009A2A07" w:rsidRDefault="00986BA0" w:rsidP="009A2A07">
      <w:pPr>
        <w:pStyle w:val="Heading2"/>
        <w:numPr>
          <w:ilvl w:val="1"/>
          <w:numId w:val="4"/>
        </w:numPr>
      </w:pPr>
      <w:bookmarkStart w:id="92" w:name="_Toc519088624"/>
      <w:r>
        <w:t>Dwelling</w:t>
      </w:r>
      <w:r w:rsidR="009A2A07">
        <w:t xml:space="preserve"> fires</w:t>
      </w:r>
      <w:bookmarkEnd w:id="92"/>
    </w:p>
    <w:p w14:paraId="74CCF133" w14:textId="77068B1D" w:rsidR="00877C86" w:rsidRDefault="00877C86" w:rsidP="00877C86">
      <w:r>
        <w:t xml:space="preserve">In 2016/17 there were 350 dwelling fires in Aberdeen City.  Of these </w:t>
      </w:r>
      <w:r w:rsidR="003F6081" w:rsidRPr="003F6081">
        <w:t xml:space="preserve">51 (44.3 per 100,000 dwellings) were deliberate </w:t>
      </w:r>
      <w:r w:rsidR="003F6081">
        <w:t xml:space="preserve">and </w:t>
      </w:r>
      <w:r>
        <w:t>299 were accidental (rate of 259.8 per 100,000 dwellings)</w:t>
      </w:r>
      <w:r w:rsidR="003F6081">
        <w:t xml:space="preserve"> – 2 fatal casualties and 21 non-fatal casualties.</w:t>
      </w:r>
    </w:p>
    <w:p w14:paraId="3A55A8E8" w14:textId="021AEBB5" w:rsidR="00986BA0" w:rsidRDefault="00986BA0" w:rsidP="00877C86"/>
    <w:p w14:paraId="5DD13F6A" w14:textId="5D029060" w:rsidR="00986BA0" w:rsidRDefault="00986BA0" w:rsidP="00877C86">
      <w:r>
        <w:t>The rate of accidental dwelling fires is considerably higher in Aberdeen than in Scotland (259.8 per 100,000 dwellings compared to 191.3 in Scotland) and is the 6</w:t>
      </w:r>
      <w:r w:rsidRPr="00986BA0">
        <w:rPr>
          <w:vertAlign w:val="superscript"/>
        </w:rPr>
        <w:t>th</w:t>
      </w:r>
      <w:r>
        <w:t xml:space="preserve"> highest out of all local authorities.  </w:t>
      </w:r>
    </w:p>
    <w:p w14:paraId="41D38425" w14:textId="583C18E6" w:rsidR="00986BA0" w:rsidRDefault="00986BA0" w:rsidP="00877C86"/>
    <w:p w14:paraId="3E97B101" w14:textId="77777777" w:rsidR="009413D6" w:rsidRPr="009413D6" w:rsidRDefault="009413D6" w:rsidP="009413D6">
      <w:r w:rsidRPr="009413D6">
        <w:t>Impairment due to alcohol/drugs was suspected to be a contributory factor to accidental dwelling fires in Aberdeen in 17% of cases – higher than the rate for Scotland of 14% and equal 6</w:t>
      </w:r>
      <w:r w:rsidRPr="009413D6">
        <w:rPr>
          <w:vertAlign w:val="superscript"/>
        </w:rPr>
        <w:t>th</w:t>
      </w:r>
      <w:r w:rsidRPr="009413D6">
        <w:t xml:space="preserve"> highest of all local authorities.</w:t>
      </w:r>
    </w:p>
    <w:p w14:paraId="5C6E4543" w14:textId="77777777" w:rsidR="009413D6" w:rsidRPr="009413D6" w:rsidRDefault="009413D6" w:rsidP="009413D6"/>
    <w:p w14:paraId="149403ED" w14:textId="77777777" w:rsidR="009413D6" w:rsidRDefault="009413D6" w:rsidP="00877C86"/>
    <w:p w14:paraId="04CEEBC8" w14:textId="7403F6C9" w:rsidR="00986BA0" w:rsidRPr="00877C86" w:rsidRDefault="00986BA0" w:rsidP="00877C86">
      <w:r>
        <w:rPr>
          <w:noProof/>
        </w:rPr>
        <w:lastRenderedPageBreak/>
        <w:drawing>
          <wp:inline distT="0" distB="0" distL="0" distR="0" wp14:anchorId="571F65D8" wp14:editId="1887F2F7">
            <wp:extent cx="4981699" cy="2677886"/>
            <wp:effectExtent l="0" t="0" r="9525" b="8255"/>
            <wp:docPr id="249" name="Chart 249">
              <a:extLst xmlns:a="http://schemas.openxmlformats.org/drawingml/2006/main">
                <a:ext uri="{FF2B5EF4-FFF2-40B4-BE49-F238E27FC236}">
                  <a16:creationId xmlns:a16="http://schemas.microsoft.com/office/drawing/2014/main" id="{D65E2A62-9EB8-4943-A6E9-B22B79DB15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3BA14439" w14:textId="7EBD5FB1" w:rsidR="00986BA0" w:rsidRDefault="00986BA0" w:rsidP="009A2A07">
      <w:pPr>
        <w:rPr>
          <w:sz w:val="16"/>
          <w:szCs w:val="16"/>
        </w:rPr>
      </w:pPr>
      <w:r w:rsidRPr="00986BA0">
        <w:rPr>
          <w:sz w:val="16"/>
          <w:szCs w:val="16"/>
        </w:rPr>
        <w:t xml:space="preserve">Source: Fire Scotland, available at:  </w:t>
      </w:r>
      <w:hyperlink r:id="rId165" w:history="1">
        <w:r w:rsidRPr="00986BA0">
          <w:rPr>
            <w:rStyle w:val="Hyperlink"/>
            <w:sz w:val="16"/>
            <w:szCs w:val="16"/>
          </w:rPr>
          <w:t>http://www.firescotland.gov.uk/about-us/fire-and-rescue-statistics.aspx</w:t>
        </w:r>
      </w:hyperlink>
      <w:r w:rsidRPr="00986BA0">
        <w:rPr>
          <w:sz w:val="16"/>
          <w:szCs w:val="16"/>
        </w:rPr>
        <w:t xml:space="preserve"> </w:t>
      </w:r>
    </w:p>
    <w:p w14:paraId="2721FFC7" w14:textId="051883BB" w:rsidR="00986BA0" w:rsidRDefault="00986BA0" w:rsidP="009A2A07">
      <w:pPr>
        <w:rPr>
          <w:sz w:val="16"/>
          <w:szCs w:val="16"/>
        </w:rPr>
      </w:pPr>
    </w:p>
    <w:p w14:paraId="0AFCD307" w14:textId="5541FB44" w:rsidR="00662E5C" w:rsidRDefault="00662E5C" w:rsidP="00662E5C">
      <w:pPr>
        <w:pStyle w:val="Heading2"/>
        <w:numPr>
          <w:ilvl w:val="1"/>
          <w:numId w:val="4"/>
        </w:numPr>
      </w:pPr>
      <w:bookmarkStart w:id="93" w:name="_Toc519088625"/>
      <w:r>
        <w:t>Road safety</w:t>
      </w:r>
      <w:bookmarkEnd w:id="93"/>
    </w:p>
    <w:p w14:paraId="3CB7A163" w14:textId="1C04B2A1" w:rsidR="00D91FE5" w:rsidRDefault="00D91FE5" w:rsidP="00D91FE5"/>
    <w:p w14:paraId="7B45847B" w14:textId="0F02D08D" w:rsidR="00D91FE5" w:rsidRDefault="00D91FE5" w:rsidP="00D91FE5">
      <w:r>
        <w:t xml:space="preserve">In 2016 there were 175 road traffic accidents in Aberdeen City involving 210 casualties (of whom 10 were children).  There were 3 fatalities and 63 serious injuries.  </w:t>
      </w:r>
    </w:p>
    <w:p w14:paraId="7A075F9A" w14:textId="5687A555" w:rsidR="00877C86" w:rsidRDefault="00877C86" w:rsidP="00D91FE5"/>
    <w:p w14:paraId="2CDE92E2" w14:textId="4471A3FB" w:rsidR="00877C86" w:rsidRDefault="00877C86" w:rsidP="00D91FE5">
      <w:r>
        <w:t>While the total number of accidents where one or more people were injured has more than halved in the last 10 years</w:t>
      </w:r>
      <w:r w:rsidR="00D46785">
        <w:t xml:space="preserve"> (from 393 to 175)</w:t>
      </w:r>
      <w:r>
        <w:t>, the number of people who were seriously injured has not – with serious injury occurring in almost a third of road traffic accidents (where one or more people were injured) in 2016 compared to 13% in 2006.</w:t>
      </w:r>
    </w:p>
    <w:p w14:paraId="7AB85A08" w14:textId="5285042F" w:rsidR="005A5A01" w:rsidRDefault="005A5A01" w:rsidP="00D91FE5"/>
    <w:p w14:paraId="53994DFD" w14:textId="50DA4E05" w:rsidR="005A5A01" w:rsidRDefault="005A5A01" w:rsidP="005A5A01">
      <w:r>
        <w:rPr>
          <w:noProof/>
        </w:rPr>
        <w:drawing>
          <wp:inline distT="0" distB="0" distL="0" distR="0" wp14:anchorId="448E6D51" wp14:editId="55055989">
            <wp:extent cx="5279666" cy="2743200"/>
            <wp:effectExtent l="0" t="0" r="16510" b="0"/>
            <wp:docPr id="248" name="Chart 248">
              <a:extLst xmlns:a="http://schemas.openxmlformats.org/drawingml/2006/main">
                <a:ext uri="{FF2B5EF4-FFF2-40B4-BE49-F238E27FC236}">
                  <a16:creationId xmlns:a16="http://schemas.microsoft.com/office/drawing/2014/main" id="{84042DA8-10D1-4993-9546-B0F1EC9945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4A2D4433" w14:textId="420D054F" w:rsidR="00D91FE5" w:rsidRPr="005A5A01" w:rsidRDefault="005A5A01" w:rsidP="00D91FE5">
      <w:pPr>
        <w:rPr>
          <w:sz w:val="16"/>
          <w:szCs w:val="16"/>
        </w:rPr>
      </w:pPr>
      <w:r w:rsidRPr="005A5A01">
        <w:rPr>
          <w:sz w:val="16"/>
          <w:szCs w:val="16"/>
        </w:rPr>
        <w:t xml:space="preserve">Source: Transport Scotland, available at: </w:t>
      </w:r>
      <w:hyperlink r:id="rId167" w:anchor="tba" w:history="1">
        <w:r w:rsidRPr="005A5A01">
          <w:rPr>
            <w:rStyle w:val="Hyperlink"/>
            <w:sz w:val="16"/>
            <w:szCs w:val="16"/>
          </w:rPr>
          <w:t>https://www.transport.gov.scot/publication/reported-road-casualties-scotland-2016/summary/#tba</w:t>
        </w:r>
      </w:hyperlink>
      <w:r w:rsidRPr="005A5A01">
        <w:rPr>
          <w:sz w:val="16"/>
          <w:szCs w:val="16"/>
        </w:rPr>
        <w:t xml:space="preserve"> </w:t>
      </w:r>
    </w:p>
    <w:p w14:paraId="2591796A" w14:textId="27B92C8A" w:rsidR="00D91FE5" w:rsidRPr="00D91FE5" w:rsidRDefault="00D91FE5" w:rsidP="00D91FE5"/>
    <w:p w14:paraId="30AE2DFD" w14:textId="5FC7136B" w:rsidR="004F4B84" w:rsidRPr="004F4B84" w:rsidRDefault="004F4B84" w:rsidP="004F4B84"/>
    <w:p w14:paraId="252712C9" w14:textId="682AC9CA" w:rsidR="004F4B84" w:rsidRPr="009413D6" w:rsidRDefault="004F4B84" w:rsidP="004F4B84">
      <w:pPr>
        <w:pStyle w:val="Heading2"/>
        <w:numPr>
          <w:ilvl w:val="1"/>
          <w:numId w:val="4"/>
        </w:numPr>
      </w:pPr>
      <w:bookmarkStart w:id="94" w:name="_Toc519088626"/>
      <w:r w:rsidRPr="009413D6">
        <w:t>Travel/transpor</w:t>
      </w:r>
      <w:r w:rsidR="002F08E5" w:rsidRPr="009413D6">
        <w:t>t</w:t>
      </w:r>
      <w:bookmarkEnd w:id="94"/>
    </w:p>
    <w:p w14:paraId="1C4303F2" w14:textId="77777777" w:rsidR="00B945D7" w:rsidRPr="00B945D7" w:rsidRDefault="00B945D7" w:rsidP="00B945D7">
      <w:pPr>
        <w:rPr>
          <w:highlight w:val="yellow"/>
        </w:rPr>
      </w:pPr>
    </w:p>
    <w:p w14:paraId="14491703" w14:textId="6AC6865C" w:rsidR="00B945D7" w:rsidRPr="00B945D7" w:rsidRDefault="009413D6" w:rsidP="002F08E5">
      <w:r>
        <w:t>To follow.</w:t>
      </w:r>
    </w:p>
    <w:p w14:paraId="007E213B" w14:textId="4725D3AE" w:rsidR="003F6081" w:rsidRPr="00B945D7" w:rsidRDefault="003F6081" w:rsidP="003F6081">
      <w:pPr>
        <w:pStyle w:val="Heading2"/>
        <w:numPr>
          <w:ilvl w:val="2"/>
          <w:numId w:val="4"/>
        </w:numPr>
      </w:pPr>
      <w:bookmarkStart w:id="95" w:name="_Toc519088627"/>
      <w:r w:rsidRPr="00B945D7">
        <w:lastRenderedPageBreak/>
        <w:t>Aberdeen Western Peripheral Route</w:t>
      </w:r>
      <w:bookmarkEnd w:id="95"/>
    </w:p>
    <w:p w14:paraId="04BA4F40" w14:textId="0DD94C78" w:rsidR="003F6081" w:rsidRDefault="003F6081" w:rsidP="003F6081">
      <w:r w:rsidRPr="003F6081">
        <w:t>The AWPR is a major transport infrastructure project which will significantly improve travel in and around Aberdeen and the North East of Scotland. The £745m investment of the AWPR is just one of a number of transport infrastructure projects in the pipeline which will significantly improve road safety and accessibility, reduce congestion and grow the local economy - ensuring the North East remains a competitive business location</w:t>
      </w:r>
      <w:r w:rsidR="00B945D7">
        <w:t>.</w:t>
      </w:r>
    </w:p>
    <w:p w14:paraId="7AF19D86" w14:textId="35CC2A1F" w:rsidR="003F6081" w:rsidRDefault="003F6081" w:rsidP="002F08E5">
      <w:pPr>
        <w:rPr>
          <w:highlight w:val="yellow"/>
        </w:rPr>
      </w:pPr>
    </w:p>
    <w:p w14:paraId="7478B077" w14:textId="4EB6F989" w:rsidR="009413D6" w:rsidRPr="009413D6" w:rsidRDefault="009413D6" w:rsidP="009413D6">
      <w:pPr>
        <w:pStyle w:val="Heading2"/>
        <w:numPr>
          <w:ilvl w:val="2"/>
          <w:numId w:val="4"/>
        </w:numPr>
      </w:pPr>
      <w:bookmarkStart w:id="96" w:name="_Toc519088628"/>
      <w:r w:rsidRPr="009413D6">
        <w:t>Berryden Corridor improvement scheme</w:t>
      </w:r>
      <w:bookmarkEnd w:id="96"/>
    </w:p>
    <w:p w14:paraId="742EA452" w14:textId="58512A4D" w:rsidR="0001345B" w:rsidRPr="0001345B" w:rsidRDefault="0001345B" w:rsidP="002F08E5">
      <w:r w:rsidRPr="0001345B">
        <w:rPr>
          <w:lang w:val="en"/>
        </w:rPr>
        <w:t>The £26.4million Berryden Corridor improvement scheme is designed to help traffic move around the city better and work alongside the improvements already delivered by the new crossing over the River Don which opened in 2016, the Diamond Bridge. </w:t>
      </w:r>
    </w:p>
    <w:p w14:paraId="36FD838A" w14:textId="5F5D1AC5" w:rsidR="009413D6" w:rsidRPr="009413D6" w:rsidRDefault="009413D6" w:rsidP="009413D6">
      <w:r w:rsidRPr="009413D6">
        <w:t xml:space="preserve">Berryden Corridor improvement scheme: </w:t>
      </w:r>
      <w:hyperlink r:id="rId168" w:history="1">
        <w:r w:rsidRPr="00D331F7">
          <w:rPr>
            <w:rStyle w:val="Hyperlink"/>
          </w:rPr>
          <w:t>https://www.aberdeencity.gov.uk/services/roads-transport-and-parking/berryden-corridor-improvement-scheme</w:t>
        </w:r>
      </w:hyperlink>
      <w:r w:rsidRPr="009413D6">
        <w:t xml:space="preserve"> </w:t>
      </w:r>
    </w:p>
    <w:p w14:paraId="5D47257A" w14:textId="5EDB36BA" w:rsidR="00B04D7C" w:rsidRPr="009413D6" w:rsidRDefault="00B04D7C" w:rsidP="000F7A7A">
      <w:pPr>
        <w:ind w:left="0"/>
      </w:pPr>
    </w:p>
    <w:p w14:paraId="492D96FB" w14:textId="02F4F532" w:rsidR="00186331" w:rsidRDefault="00186331" w:rsidP="00186331">
      <w:pPr>
        <w:pStyle w:val="Heading2"/>
        <w:numPr>
          <w:ilvl w:val="1"/>
          <w:numId w:val="4"/>
        </w:numPr>
      </w:pPr>
      <w:bookmarkStart w:id="97" w:name="_Toc519088629"/>
      <w:r w:rsidRPr="00186331">
        <w:t>Environment</w:t>
      </w:r>
      <w:bookmarkEnd w:id="97"/>
    </w:p>
    <w:p w14:paraId="0ED08D64" w14:textId="77777777" w:rsidR="00CF1337" w:rsidRDefault="00CF1337" w:rsidP="00742B86">
      <w:pPr>
        <w:rPr>
          <w:highlight w:val="lightGray"/>
        </w:rPr>
      </w:pPr>
    </w:p>
    <w:p w14:paraId="03E4AEF1" w14:textId="7531658F" w:rsidR="00CF1337" w:rsidRPr="00CF1337" w:rsidRDefault="00CF1337" w:rsidP="005A67DA">
      <w:pPr>
        <w:pStyle w:val="Heading2"/>
        <w:numPr>
          <w:ilvl w:val="2"/>
          <w:numId w:val="4"/>
        </w:numPr>
      </w:pPr>
      <w:bookmarkStart w:id="98" w:name="_Toc519088630"/>
      <w:r w:rsidRPr="00CF1337">
        <w:t>Green space</w:t>
      </w:r>
      <w:bookmarkEnd w:id="98"/>
    </w:p>
    <w:p w14:paraId="53FF98ED" w14:textId="77777777" w:rsidR="00CF1337" w:rsidRDefault="00CF1337" w:rsidP="00742B86">
      <w:pPr>
        <w:rPr>
          <w:highlight w:val="lightGray"/>
        </w:rPr>
      </w:pPr>
    </w:p>
    <w:p w14:paraId="741E64E7" w14:textId="3D76FECF" w:rsidR="00742B86" w:rsidRDefault="00171D40" w:rsidP="00742B86">
      <w:r w:rsidRPr="00B04D7C">
        <w:t>Aberdeen City has healthy extent of greenspace, and within the city boundaries are four Sites of Special Scientific Interest, four Local Nature Reserves, one Special Area of Conservation</w:t>
      </w:r>
      <w:r w:rsidRPr="00B04D7C">
        <w:rPr>
          <w:vertAlign w:val="superscript"/>
        </w:rPr>
        <w:endnoteReference w:id="1"/>
      </w:r>
      <w:r w:rsidRPr="00B04D7C">
        <w:t xml:space="preserve"> and a number of Local Nature Conservation Sites.</w:t>
      </w:r>
      <w:r w:rsidRPr="00171D40">
        <w:t xml:space="preserve">    </w:t>
      </w:r>
    </w:p>
    <w:p w14:paraId="191A22B8" w14:textId="763EB412" w:rsidR="00A14BEF" w:rsidRDefault="00A14BEF" w:rsidP="00742B86"/>
    <w:p w14:paraId="7C0BD15C" w14:textId="77777777" w:rsidR="000F7A7A" w:rsidRPr="000F7A7A" w:rsidRDefault="00A14BEF" w:rsidP="000F7A7A">
      <w:r>
        <w:t>62% of people in Aberdeen live within a 5</w:t>
      </w:r>
      <w:r w:rsidR="00E95AF0">
        <w:t>-</w:t>
      </w:r>
      <w:r>
        <w:t>minute walk of their nearest green space with a further 18% living within a 6</w:t>
      </w:r>
      <w:r w:rsidR="00E95AF0">
        <w:t xml:space="preserve"> to </w:t>
      </w:r>
      <w:r>
        <w:t>10</w:t>
      </w:r>
      <w:r w:rsidR="00E95AF0">
        <w:t>-</w:t>
      </w:r>
      <w:r>
        <w:t xml:space="preserve">minute walk.  47% report visiting their nearest green space at least once a week. </w:t>
      </w:r>
      <w:r w:rsidR="00E95AF0">
        <w:t xml:space="preserve">  78% report being satisfied or fairly satisfied with their nearest green space. </w:t>
      </w:r>
      <w:r w:rsidR="000F7A7A" w:rsidRPr="000F7A7A">
        <w:rPr>
          <w:sz w:val="16"/>
          <w:szCs w:val="16"/>
        </w:rPr>
        <w:t xml:space="preserve">Source: SHS, available at: </w:t>
      </w:r>
      <w:hyperlink r:id="rId169" w:history="1">
        <w:r w:rsidR="000F7A7A" w:rsidRPr="000F7A7A">
          <w:rPr>
            <w:rStyle w:val="Hyperlink"/>
            <w:sz w:val="16"/>
            <w:szCs w:val="16"/>
          </w:rPr>
          <w:t>http://www.gov.scot/Resource/0053/00531141.pdf</w:t>
        </w:r>
      </w:hyperlink>
      <w:r w:rsidR="000F7A7A" w:rsidRPr="000F7A7A">
        <w:t xml:space="preserve"> </w:t>
      </w:r>
    </w:p>
    <w:p w14:paraId="5E8F1DA2" w14:textId="0A8D6C58" w:rsidR="00A14BEF" w:rsidRDefault="00A14BEF" w:rsidP="00742B86"/>
    <w:p w14:paraId="660D56C6" w14:textId="2E9554A2" w:rsidR="000F7A7A" w:rsidRDefault="000F7A7A" w:rsidP="00742B86">
      <w:r>
        <w:t>City Voice 42</w:t>
      </w:r>
      <w:r w:rsidR="00B04D7C">
        <w:t xml:space="preserve"> (January 201</w:t>
      </w:r>
      <w:r w:rsidR="0001345B">
        <w:t>8</w:t>
      </w:r>
      <w:r w:rsidR="00B04D7C">
        <w:t>)</w:t>
      </w:r>
      <w:r>
        <w:t xml:space="preserve"> – 25% visited green space at least once or twice a week.  70% reported being satisfied or fairly satisfied with their local green space.</w:t>
      </w:r>
    </w:p>
    <w:p w14:paraId="34F6E2F3" w14:textId="77777777" w:rsidR="000F7A7A" w:rsidRDefault="000F7A7A" w:rsidP="000F7A7A">
      <w:pPr>
        <w:ind w:left="0"/>
      </w:pPr>
    </w:p>
    <w:p w14:paraId="25C557F2" w14:textId="77777777" w:rsidR="000F7A7A" w:rsidRDefault="000F7A7A" w:rsidP="00742B86">
      <w:r w:rsidRPr="000F7A7A">
        <w:rPr>
          <w:b/>
        </w:rPr>
        <w:t>Outdoors:</w:t>
      </w:r>
      <w:r>
        <w:t xml:space="preserve">  </w:t>
      </w:r>
      <w:r w:rsidR="00A14BEF">
        <w:t xml:space="preserve">58% make a visit to the outdoors at least once a week with a further 12% visiting the outdoors at least once a month. </w:t>
      </w:r>
    </w:p>
    <w:p w14:paraId="629E22AC" w14:textId="581B2E20" w:rsidR="00E95AF0" w:rsidRDefault="00E95AF0" w:rsidP="00742B86">
      <w:r w:rsidRPr="000F7A7A">
        <w:rPr>
          <w:sz w:val="16"/>
          <w:szCs w:val="16"/>
        </w:rPr>
        <w:t xml:space="preserve">Source: SHS, available at: </w:t>
      </w:r>
      <w:hyperlink r:id="rId170" w:history="1">
        <w:r w:rsidR="000F7A7A" w:rsidRPr="008547A1">
          <w:rPr>
            <w:rStyle w:val="Hyperlink"/>
            <w:sz w:val="16"/>
            <w:szCs w:val="16"/>
          </w:rPr>
          <w:t>http://www.gov.scot/Resource/0053/00531141.pdf</w:t>
        </w:r>
      </w:hyperlink>
      <w:r>
        <w:t xml:space="preserve"> </w:t>
      </w:r>
    </w:p>
    <w:p w14:paraId="11A233C2" w14:textId="77777777" w:rsidR="00CF1337" w:rsidRDefault="00CF1337" w:rsidP="00742B86"/>
    <w:p w14:paraId="02D2FF49" w14:textId="68722962" w:rsidR="009D7711" w:rsidRDefault="009D7711" w:rsidP="00742B86">
      <w:r w:rsidRPr="00B04D7C">
        <w:rPr>
          <w:b/>
        </w:rPr>
        <w:t>Allotments:</w:t>
      </w:r>
      <w:r>
        <w:t xml:space="preserve"> </w:t>
      </w:r>
      <w:r w:rsidRPr="009D7711">
        <w:rPr>
          <w:lang w:val="en"/>
        </w:rPr>
        <w:t>Aberdeen has 496 Council owned allotment plots located across 21 sites. In addition to this there are also a few sites in private ownership.</w:t>
      </w:r>
      <w:r>
        <w:rPr>
          <w:lang w:val="en"/>
        </w:rPr>
        <w:t xml:space="preserve">  </w:t>
      </w:r>
      <w:r w:rsidRPr="009D7711">
        <w:rPr>
          <w:sz w:val="16"/>
          <w:szCs w:val="16"/>
          <w:lang w:val="en"/>
        </w:rPr>
        <w:t xml:space="preserve">Source: ACC, </w:t>
      </w:r>
      <w:hyperlink r:id="rId171" w:history="1">
        <w:r w:rsidRPr="009D7711">
          <w:rPr>
            <w:rStyle w:val="Hyperlink"/>
            <w:sz w:val="16"/>
            <w:szCs w:val="16"/>
            <w:lang w:val="en"/>
          </w:rPr>
          <w:t>https://www.aberdeencity.gov.uk/services/leisure-culture-and-sport/allotments</w:t>
        </w:r>
      </w:hyperlink>
      <w:r>
        <w:rPr>
          <w:lang w:val="en"/>
        </w:rPr>
        <w:t xml:space="preserve"> </w:t>
      </w:r>
    </w:p>
    <w:p w14:paraId="30B6DB5A" w14:textId="54BD5D3D" w:rsidR="00CF1337" w:rsidRDefault="00CF1337" w:rsidP="00742B86"/>
    <w:p w14:paraId="7FAED130" w14:textId="77777777" w:rsidR="000F7A7A" w:rsidRDefault="000F7A7A" w:rsidP="00742B86"/>
    <w:p w14:paraId="0E765AAF" w14:textId="76ABFABB" w:rsidR="00EF68E6" w:rsidRDefault="00EF68E6" w:rsidP="00EF68E6">
      <w:pPr>
        <w:pStyle w:val="Heading2"/>
        <w:numPr>
          <w:ilvl w:val="2"/>
          <w:numId w:val="4"/>
        </w:numPr>
      </w:pPr>
      <w:bookmarkStart w:id="99" w:name="_Toc519088631"/>
      <w:r>
        <w:t>Travel and transport</w:t>
      </w:r>
      <w:r w:rsidR="009413D6">
        <w:t xml:space="preserve"> - environment</w:t>
      </w:r>
      <w:bookmarkEnd w:id="99"/>
    </w:p>
    <w:p w14:paraId="44E1A2AC" w14:textId="77777777" w:rsidR="00B04D7C" w:rsidRPr="00B04D7C" w:rsidRDefault="00B04D7C" w:rsidP="00B04D7C"/>
    <w:p w14:paraId="3F98CB47" w14:textId="77777777" w:rsidR="0001345B" w:rsidRPr="0001345B" w:rsidRDefault="0001345B" w:rsidP="0001345B">
      <w:r w:rsidRPr="0001345B">
        <w:rPr>
          <w:b/>
        </w:rPr>
        <w:t>Travel to work:</w:t>
      </w:r>
      <w:r w:rsidRPr="0001345B">
        <w:t xml:space="preserve">  In 2011, 58.7% of people (16-74 years who were in employment) used the car to travel to work, 15.4% walked and 12.3% used the bus (2011 Census).</w:t>
      </w:r>
    </w:p>
    <w:p w14:paraId="63BB3117" w14:textId="77777777" w:rsidR="0001345B" w:rsidRPr="0001345B" w:rsidRDefault="0001345B" w:rsidP="0001345B"/>
    <w:p w14:paraId="0E63E510" w14:textId="4DC0C7AC" w:rsidR="009D7711" w:rsidRDefault="0001345B" w:rsidP="00742B86">
      <w:r w:rsidRPr="0001345B">
        <w:rPr>
          <w:b/>
        </w:rPr>
        <w:t>Car or van availability</w:t>
      </w:r>
      <w:r w:rsidRPr="0001345B">
        <w:t xml:space="preserve">:  In 2011, 44.9% of households in the city had access to a car or van with a further 23.8% having access to two or more cars or vans.  31.4% of households did not have access to a car or van.  </w:t>
      </w:r>
    </w:p>
    <w:p w14:paraId="7A40E2A9" w14:textId="1243EF89" w:rsidR="00626339" w:rsidRDefault="00626339" w:rsidP="00626339">
      <w:pPr>
        <w:pStyle w:val="Heading2"/>
        <w:numPr>
          <w:ilvl w:val="2"/>
          <w:numId w:val="4"/>
        </w:numPr>
      </w:pPr>
      <w:bookmarkStart w:id="100" w:name="_Toc519088632"/>
      <w:r>
        <w:lastRenderedPageBreak/>
        <w:t>CO</w:t>
      </w:r>
      <w:r>
        <w:rPr>
          <w:vertAlign w:val="subscript"/>
        </w:rPr>
        <w:t>2</w:t>
      </w:r>
      <w:r>
        <w:t xml:space="preserve"> emissions</w:t>
      </w:r>
      <w:bookmarkEnd w:id="100"/>
    </w:p>
    <w:p w14:paraId="264467AE" w14:textId="77777777" w:rsidR="00626339" w:rsidRDefault="00626339" w:rsidP="00626339"/>
    <w:p w14:paraId="294A4279" w14:textId="77777777" w:rsidR="00626339" w:rsidRDefault="00626339" w:rsidP="00626339">
      <w:r w:rsidRPr="00D21933">
        <w:t>Carbon dioxide (CO</w:t>
      </w:r>
      <w:r>
        <w:rPr>
          <w:vertAlign w:val="subscript"/>
        </w:rPr>
        <w:t>2</w:t>
      </w:r>
      <w:r w:rsidRPr="00D21933">
        <w:t>) is the main greenhouse gas and accounts for over 80% of greenhouse gas emissions</w:t>
      </w:r>
      <w:r>
        <w:t xml:space="preserve"> in the UK</w:t>
      </w:r>
      <w:r w:rsidRPr="00D21933">
        <w:t xml:space="preserve">. </w:t>
      </w:r>
      <w:r>
        <w:t>In 2015 CO</w:t>
      </w:r>
      <w:r>
        <w:rPr>
          <w:vertAlign w:val="subscript"/>
        </w:rPr>
        <w:t>2</w:t>
      </w:r>
      <w:r>
        <w:t xml:space="preserve"> emissions in Aberdeen totalled 1,335.2 kt (down from 1,813.6 in 2005).  Of this, 45% is attributed to industry and commerce, 30% to domestic use and 24% to transport. </w:t>
      </w:r>
    </w:p>
    <w:p w14:paraId="20E4E1A4" w14:textId="77777777" w:rsidR="00626339" w:rsidRDefault="00626339" w:rsidP="00626339"/>
    <w:p w14:paraId="07B12793" w14:textId="77777777" w:rsidR="00626339" w:rsidRDefault="00626339" w:rsidP="00626339">
      <w:r>
        <w:t>Between 2005 and 2015, per capita CO</w:t>
      </w:r>
      <w:r>
        <w:rPr>
          <w:vertAlign w:val="subscript"/>
        </w:rPr>
        <w:t xml:space="preserve">2 </w:t>
      </w:r>
      <w:r>
        <w:t>emissions (kt CO</w:t>
      </w:r>
      <w:r>
        <w:rPr>
          <w:vertAlign w:val="subscript"/>
        </w:rPr>
        <w:t>2</w:t>
      </w:r>
      <w:r>
        <w:t>) have fallen in both Aberdeen and Scotland.  In 2015 the per capital levels were slightly lower in Aberdeen than in Scotland (5.8 compared to 6.1).</w:t>
      </w:r>
    </w:p>
    <w:p w14:paraId="3247E175" w14:textId="77777777" w:rsidR="00626339" w:rsidRDefault="00626339" w:rsidP="00626339"/>
    <w:p w14:paraId="1098C0E8" w14:textId="1EB4E3AE" w:rsidR="00B74DBB" w:rsidRDefault="00626339" w:rsidP="00626339">
      <w:pPr>
        <w:pStyle w:val="Heading2"/>
        <w:numPr>
          <w:ilvl w:val="2"/>
          <w:numId w:val="4"/>
        </w:numPr>
      </w:pPr>
      <w:bookmarkStart w:id="101" w:name="_Toc519088633"/>
      <w:r>
        <w:t>F</w:t>
      </w:r>
      <w:r w:rsidR="00A17F66">
        <w:t>l</w:t>
      </w:r>
      <w:r>
        <w:t>ood risk</w:t>
      </w:r>
      <w:bookmarkEnd w:id="101"/>
    </w:p>
    <w:p w14:paraId="65FC5ECA" w14:textId="77777777" w:rsidR="00626339" w:rsidRDefault="00626339" w:rsidP="00B74DBB"/>
    <w:p w14:paraId="2BA1E5D7" w14:textId="211267B5" w:rsidR="00B74DBB" w:rsidRDefault="00B74DBB" w:rsidP="00B74DBB">
      <w:r w:rsidRPr="00B74DBB">
        <w:t>Scotland has been separated into 14 Local Plan Districts for flood risk management purposes. These districts are based on river catchments and coastal areas which cross administrative and institutional boundaries.  SEPA, working with others, has produced a Flood Risk Management Strategy for each Local Plan District.</w:t>
      </w:r>
      <w:r w:rsidRPr="00B74DBB">
        <w:rPr>
          <w:b/>
        </w:rPr>
        <w:t xml:space="preserve"> </w:t>
      </w:r>
      <w:r w:rsidRPr="00B74DBB">
        <w:t xml:space="preserve">The </w:t>
      </w:r>
      <w:r>
        <w:t xml:space="preserve">latest </w:t>
      </w:r>
      <w:r w:rsidRPr="00B74DBB">
        <w:t>Flood Risk Management Strategy</w:t>
      </w:r>
      <w:r>
        <w:rPr>
          <w:b/>
        </w:rPr>
        <w:t xml:space="preserve"> </w:t>
      </w:r>
      <w:r>
        <w:t>produced by SEPA for the North East Local Plan District identifies 4 areas in Aberdeen</w:t>
      </w:r>
      <w:r w:rsidR="00626339">
        <w:t xml:space="preserve"> City</w:t>
      </w:r>
      <w:r>
        <w:t xml:space="preserve"> that are potentially vulnerable to flooding – Peterculter, Bridge of Don, Denmore, and Deeside.</w:t>
      </w:r>
      <w:r w:rsidR="00E7226D">
        <w:t xml:space="preserve">  Total annual average damages = £17,370,000</w:t>
      </w:r>
    </w:p>
    <w:p w14:paraId="4D595C1C" w14:textId="6BB872B3" w:rsidR="00E7226D" w:rsidRDefault="00E7226D" w:rsidP="00B74DBB"/>
    <w:p w14:paraId="1E15319E" w14:textId="59AAC1EF" w:rsidR="00E7226D" w:rsidRDefault="00E7226D" w:rsidP="00B74DBB">
      <w:r>
        <w:t xml:space="preserve">Average annual damages for each area: </w:t>
      </w:r>
    </w:p>
    <w:p w14:paraId="06DED06F" w14:textId="33957727" w:rsidR="00E7226D" w:rsidRDefault="00E7226D" w:rsidP="00E7226D">
      <w:pPr>
        <w:pStyle w:val="ListParagraph"/>
        <w:numPr>
          <w:ilvl w:val="0"/>
          <w:numId w:val="30"/>
        </w:numPr>
      </w:pPr>
      <w:r>
        <w:t>Aberdeen City – Deeside:  £12 million (River 86%, Coastal 1% and Surface Water 14%)</w:t>
      </w:r>
    </w:p>
    <w:p w14:paraId="0808EB23" w14:textId="240CB1F2" w:rsidR="00E7226D" w:rsidRDefault="00E7226D" w:rsidP="00E7226D">
      <w:pPr>
        <w:pStyle w:val="ListParagraph"/>
        <w:numPr>
          <w:ilvl w:val="0"/>
          <w:numId w:val="30"/>
        </w:numPr>
      </w:pPr>
      <w:r>
        <w:t>Aberdeen City – Bridge of Don: £4.5 million (River 81%, Coastal &lt;1%, Surface Water 19%)</w:t>
      </w:r>
    </w:p>
    <w:p w14:paraId="161345E4" w14:textId="6F4F28FC" w:rsidR="00E7226D" w:rsidRDefault="00E7226D" w:rsidP="00E7226D">
      <w:pPr>
        <w:pStyle w:val="ListParagraph"/>
        <w:numPr>
          <w:ilvl w:val="0"/>
          <w:numId w:val="30"/>
        </w:numPr>
      </w:pPr>
      <w:r>
        <w:t>Aberdeen City – Denmore: £570,000 (89% River)</w:t>
      </w:r>
    </w:p>
    <w:p w14:paraId="4AE43BDD" w14:textId="71C91382" w:rsidR="00E7226D" w:rsidRDefault="00E7226D" w:rsidP="00E7226D">
      <w:pPr>
        <w:pStyle w:val="ListParagraph"/>
        <w:numPr>
          <w:ilvl w:val="0"/>
          <w:numId w:val="30"/>
        </w:numPr>
      </w:pPr>
      <w:r>
        <w:t>Peterculter - £300,000 (River 94%, Surface Water 6%)</w:t>
      </w:r>
    </w:p>
    <w:p w14:paraId="67C28EEC" w14:textId="2489FF2A" w:rsidR="00E7226D" w:rsidRDefault="00E7226D" w:rsidP="00E7226D">
      <w:pPr>
        <w:ind w:left="0"/>
      </w:pPr>
    </w:p>
    <w:p w14:paraId="5D0EB1D8" w14:textId="72F1826E" w:rsidR="00E7226D" w:rsidRPr="00E7226D" w:rsidRDefault="00E7226D" w:rsidP="00E7226D">
      <w:pPr>
        <w:rPr>
          <w:b/>
        </w:rPr>
      </w:pPr>
      <w:r w:rsidRPr="00E7226D">
        <w:rPr>
          <w:b/>
          <w:noProof/>
        </w:rPr>
        <w:drawing>
          <wp:anchor distT="0" distB="0" distL="114300" distR="114300" simplePos="0" relativeHeight="251658240" behindDoc="0" locked="0" layoutInCell="1" allowOverlap="1" wp14:anchorId="2F79B016" wp14:editId="17D8DA77">
            <wp:simplePos x="0" y="0"/>
            <wp:positionH relativeFrom="column">
              <wp:posOffset>457200</wp:posOffset>
            </wp:positionH>
            <wp:positionV relativeFrom="paragraph">
              <wp:posOffset>429</wp:posOffset>
            </wp:positionV>
            <wp:extent cx="2244436" cy="1219737"/>
            <wp:effectExtent l="0" t="0" r="381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244436" cy="1219737"/>
                    </a:xfrm>
                    <a:prstGeom prst="rect">
                      <a:avLst/>
                    </a:prstGeom>
                    <a:noFill/>
                    <a:ln>
                      <a:noFill/>
                    </a:ln>
                  </pic:spPr>
                </pic:pic>
              </a:graphicData>
            </a:graphic>
          </wp:anchor>
        </w:drawing>
      </w:r>
      <w:r w:rsidRPr="00E7226D">
        <w:rPr>
          <w:b/>
        </w:rPr>
        <w:t>Aberdeen City – Deeside</w:t>
      </w:r>
    </w:p>
    <w:p w14:paraId="54CCB377" w14:textId="670E3DF4" w:rsidR="00E7226D" w:rsidRDefault="00E7226D" w:rsidP="00E7226D"/>
    <w:p w14:paraId="286BB9B2" w14:textId="0FE7FC6B" w:rsidR="00E7226D" w:rsidRDefault="00E7226D" w:rsidP="00E7226D"/>
    <w:p w14:paraId="51CB414E" w14:textId="5700BA5A" w:rsidR="00E7226D" w:rsidRDefault="00E7226D" w:rsidP="00E7226D"/>
    <w:p w14:paraId="51F9F98B" w14:textId="2F4FEC4E" w:rsidR="00E7226D" w:rsidRDefault="00E7226D" w:rsidP="00E7226D"/>
    <w:p w14:paraId="28293E4F" w14:textId="77777777" w:rsidR="00E7226D" w:rsidRDefault="00E7226D" w:rsidP="00E7226D"/>
    <w:p w14:paraId="7A96F354" w14:textId="7E6598F7" w:rsidR="00B74DBB" w:rsidRDefault="00B74DBB" w:rsidP="00B74DBB"/>
    <w:p w14:paraId="1AAA254F" w14:textId="70CB955D" w:rsidR="00B74DBB" w:rsidRDefault="00B74DBB" w:rsidP="00B74DBB">
      <w:r>
        <w:t xml:space="preserve">Source:  </w:t>
      </w:r>
      <w:hyperlink r:id="rId173" w:history="1">
        <w:r w:rsidRPr="000A69DF">
          <w:rPr>
            <w:rStyle w:val="Hyperlink"/>
          </w:rPr>
          <w:t>http://apps.sepa.org.uk/FRMStrategies/north-east.html</w:t>
        </w:r>
      </w:hyperlink>
      <w:r>
        <w:t xml:space="preserve"> </w:t>
      </w:r>
    </w:p>
    <w:p w14:paraId="4D2DF2DE" w14:textId="7250B0EB" w:rsidR="00A04661" w:rsidRDefault="00A04661" w:rsidP="00B74DBB"/>
    <w:p w14:paraId="1CA0161E" w14:textId="3B465622" w:rsidR="00A04661" w:rsidRDefault="00A04661" w:rsidP="00B74DBB">
      <w:r>
        <w:t>Total average annual damages for the North East local plan area = £21,746,500.  Therefore, 80% of average annual damages for flooding are within Aberdeen City.</w:t>
      </w:r>
    </w:p>
    <w:p w14:paraId="344DFC77" w14:textId="535FBDD5" w:rsidR="008B0376" w:rsidRDefault="008B0376" w:rsidP="00B74DBB"/>
    <w:p w14:paraId="050C2CF7" w14:textId="30D4C36A" w:rsidR="00A644FD" w:rsidRDefault="00A644FD" w:rsidP="00A644FD">
      <w:pPr>
        <w:pStyle w:val="Heading2"/>
        <w:numPr>
          <w:ilvl w:val="2"/>
          <w:numId w:val="4"/>
        </w:numPr>
      </w:pPr>
      <w:bookmarkStart w:id="102" w:name="_Toc519088634"/>
      <w:r>
        <w:t>Waste and recycling</w:t>
      </w:r>
      <w:bookmarkEnd w:id="102"/>
    </w:p>
    <w:p w14:paraId="1B268D8E" w14:textId="44E26D82" w:rsidR="000D47EF" w:rsidRDefault="000D47EF" w:rsidP="000D47EF"/>
    <w:p w14:paraId="3D8FE18E" w14:textId="4AA350CE" w:rsidR="000D47EF" w:rsidRDefault="000D47EF" w:rsidP="000D47EF">
      <w:r>
        <w:t>In 2016, 96,123 tonnes of waste were generated in Aberdeen City.  Most (60.4%) went to landfill with 39% being recycled.</w:t>
      </w:r>
      <w:r w:rsidR="00B11867">
        <w:t xml:space="preserve"> Less than 1% was manged by other methods (e.g. incineration). </w:t>
      </w:r>
      <w:r>
        <w:t xml:space="preserve">  In Scotland, 45% of waste generated went to landfill with 45.2% being recycled (with the remainder being managed by other methods).  </w:t>
      </w:r>
    </w:p>
    <w:p w14:paraId="765FBFAE" w14:textId="162F9958" w:rsidR="00B11867" w:rsidRDefault="00B11867" w:rsidP="000D47EF"/>
    <w:p w14:paraId="3B1A80D7" w14:textId="58E6A2FA" w:rsidR="00B11867" w:rsidRDefault="00B11867" w:rsidP="000D47EF">
      <w:r>
        <w:t>The proportion of household waste being recycled in Aberdeen increased from 35.7% in 2011 to 39.0% in 2016.</w:t>
      </w:r>
    </w:p>
    <w:p w14:paraId="23072AD0" w14:textId="4C8A652C" w:rsidR="008B0376" w:rsidRDefault="008B0376" w:rsidP="000D47EF"/>
    <w:p w14:paraId="704E9297" w14:textId="3834BA04" w:rsidR="000D47EF" w:rsidRDefault="00B11867" w:rsidP="00B11867">
      <w:r>
        <w:rPr>
          <w:noProof/>
        </w:rPr>
        <w:drawing>
          <wp:inline distT="0" distB="0" distL="0" distR="0" wp14:anchorId="00D82F36" wp14:editId="4C9FCA28">
            <wp:extent cx="5372100" cy="3305175"/>
            <wp:effectExtent l="0" t="0" r="0" b="9525"/>
            <wp:docPr id="98" name="Chart 98">
              <a:extLst xmlns:a="http://schemas.openxmlformats.org/drawingml/2006/main">
                <a:ext uri="{FF2B5EF4-FFF2-40B4-BE49-F238E27FC236}">
                  <a16:creationId xmlns:a16="http://schemas.microsoft.com/office/drawing/2014/main" id="{6CD8AFBF-FFB3-4809-821A-53B44E85CC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083B155C" w14:textId="64892B8D" w:rsidR="000D47EF" w:rsidRPr="000D47EF" w:rsidRDefault="000D47EF" w:rsidP="000D47EF">
      <w:r>
        <w:t xml:space="preserve">Source: </w:t>
      </w:r>
      <w:hyperlink r:id="rId175" w:history="1">
        <w:r w:rsidRPr="00240F1B">
          <w:rPr>
            <w:rStyle w:val="Hyperlink"/>
          </w:rPr>
          <w:t>https://www.environment.gov.scot/data/data-analysis/household-waste/</w:t>
        </w:r>
      </w:hyperlink>
      <w:r>
        <w:t xml:space="preserve"> </w:t>
      </w:r>
    </w:p>
    <w:p w14:paraId="3A52C2E2" w14:textId="77777777" w:rsidR="000D47EF" w:rsidRDefault="000D47EF" w:rsidP="00F346FA">
      <w:pPr>
        <w:rPr>
          <w:highlight w:val="yellow"/>
        </w:rPr>
      </w:pPr>
    </w:p>
    <w:p w14:paraId="2A921E29" w14:textId="4437B7F3" w:rsidR="00A644FD" w:rsidRDefault="00A644FD" w:rsidP="00A644FD"/>
    <w:p w14:paraId="2898C32A" w14:textId="3E3CDDCC" w:rsidR="00A644FD" w:rsidRDefault="00A644FD" w:rsidP="00A644FD">
      <w:pPr>
        <w:pStyle w:val="Heading2"/>
        <w:numPr>
          <w:ilvl w:val="2"/>
          <w:numId w:val="4"/>
        </w:numPr>
      </w:pPr>
      <w:bookmarkStart w:id="103" w:name="_Toc519088635"/>
      <w:r>
        <w:t>Air pollution</w:t>
      </w:r>
      <w:r w:rsidR="008F6F36">
        <w:t xml:space="preserve"> – particulate matter (PM10) concentrations</w:t>
      </w:r>
      <w:bookmarkEnd w:id="103"/>
    </w:p>
    <w:p w14:paraId="7367A070" w14:textId="50B467F5" w:rsidR="008F6F36" w:rsidRDefault="008F6F36" w:rsidP="008F6F36">
      <w:r w:rsidRPr="008F6F36">
        <w:t>Particulate pollution can harm the human respiratory and cardiovascular systems and is linked to asthma and mortality.</w:t>
      </w:r>
      <w:r w:rsidR="00BE6F36">
        <w:t xml:space="preserve">  </w:t>
      </w:r>
      <w:r w:rsidR="00BE6F36" w:rsidRPr="00BE6F36">
        <w:t>Current targets focus on particles less than 10µm in diameter (PM10), the greatest source of which is combustion.</w:t>
      </w:r>
      <w:r w:rsidR="00BE6F36">
        <w:t xml:space="preserve"> One of the </w:t>
      </w:r>
      <w:r w:rsidR="00BE6F36" w:rsidRPr="00BE6F36">
        <w:t>Air Quality Strategy (AQS) objectives for PM10</w:t>
      </w:r>
      <w:r w:rsidR="00BE6F36">
        <w:t xml:space="preserve"> was to achieve </w:t>
      </w:r>
      <w:r w:rsidR="00BE6F36" w:rsidRPr="00BE6F36">
        <w:t>an annual mean of 18μg/m3</w:t>
      </w:r>
      <w:r w:rsidR="00BE6F36">
        <w:t xml:space="preserve"> by 2010.  In 2011 this target was met at only 2 monitoring stations.  However, by 2016, all 6 monitoring stations met the target.</w:t>
      </w:r>
    </w:p>
    <w:p w14:paraId="4A758943" w14:textId="1F073B67" w:rsidR="008F6F36" w:rsidRDefault="008F6F36" w:rsidP="008F6F36">
      <w:pPr>
        <w:rPr>
          <w:noProof/>
        </w:rPr>
      </w:pPr>
    </w:p>
    <w:p w14:paraId="737EB110" w14:textId="3FF44D71" w:rsidR="00BE6F36" w:rsidRPr="008F6F36" w:rsidRDefault="00BE6F36" w:rsidP="008F6F36">
      <w:r>
        <w:rPr>
          <w:noProof/>
        </w:rPr>
        <w:drawing>
          <wp:inline distT="0" distB="0" distL="0" distR="0" wp14:anchorId="1A4BBA8D" wp14:editId="70DA4A65">
            <wp:extent cx="4945380" cy="2408830"/>
            <wp:effectExtent l="0" t="0" r="7620" b="10795"/>
            <wp:docPr id="251" name="Chart 251">
              <a:extLst xmlns:a="http://schemas.openxmlformats.org/drawingml/2006/main">
                <a:ext uri="{FF2B5EF4-FFF2-40B4-BE49-F238E27FC236}">
                  <a16:creationId xmlns:a16="http://schemas.microsoft.com/office/drawing/2014/main" id="{208A5722-91F8-4DED-B664-0FE92FF959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4B56803F" w14:textId="7D58B209" w:rsidR="00ED0D42" w:rsidRPr="007A6668" w:rsidRDefault="008F6F36" w:rsidP="00A644FD">
      <w:pPr>
        <w:rPr>
          <w:sz w:val="16"/>
          <w:szCs w:val="16"/>
        </w:rPr>
      </w:pPr>
      <w:r w:rsidRPr="007A6668">
        <w:rPr>
          <w:sz w:val="16"/>
          <w:szCs w:val="16"/>
        </w:rPr>
        <w:t xml:space="preserve">Source:  Scottish environment statistics online, available at: </w:t>
      </w:r>
      <w:hyperlink r:id="rId177" w:history="1">
        <w:r w:rsidRPr="007A6668">
          <w:rPr>
            <w:rStyle w:val="Hyperlink"/>
            <w:sz w:val="16"/>
            <w:szCs w:val="16"/>
          </w:rPr>
          <w:t>http://www.gov.scot/seso/Datasets.aspx?TID=2</w:t>
        </w:r>
      </w:hyperlink>
      <w:r w:rsidRPr="007A6668">
        <w:rPr>
          <w:sz w:val="16"/>
          <w:szCs w:val="16"/>
        </w:rPr>
        <w:t xml:space="preserve"> </w:t>
      </w:r>
    </w:p>
    <w:p w14:paraId="0845F362" w14:textId="4908126D" w:rsidR="005A6414" w:rsidRDefault="005A6414" w:rsidP="005A6414">
      <w:pPr>
        <w:pStyle w:val="Heading2"/>
        <w:numPr>
          <w:ilvl w:val="2"/>
          <w:numId w:val="4"/>
        </w:numPr>
      </w:pPr>
      <w:bookmarkStart w:id="104" w:name="_Toc519088636"/>
      <w:r>
        <w:lastRenderedPageBreak/>
        <w:t>Cleanliness score</w:t>
      </w:r>
      <w:bookmarkEnd w:id="104"/>
    </w:p>
    <w:p w14:paraId="76D3F553" w14:textId="77777777" w:rsidR="00626339" w:rsidRPr="00626339" w:rsidRDefault="00626339" w:rsidP="00626339"/>
    <w:p w14:paraId="3BCC2585" w14:textId="250CB8D3" w:rsidR="00B14742" w:rsidRDefault="00B14742" w:rsidP="00B14742">
      <w:r>
        <w:t xml:space="preserve">In 2016-2017 Aberdeen City had a Street Cleanliness Score of 88% (i.e. percentage </w:t>
      </w:r>
      <w:r w:rsidRPr="00B14742">
        <w:t>streets at an acceptable A or B grade standard</w:t>
      </w:r>
      <w:r>
        <w:t>).  This was the lowest score of all local authorities in Scotland.  However, it is an increase of 7% from the 2015</w:t>
      </w:r>
      <w:r w:rsidR="002750A1">
        <w:t>-</w:t>
      </w:r>
      <w:r>
        <w:t xml:space="preserve">2016 score.  </w:t>
      </w:r>
    </w:p>
    <w:p w14:paraId="72BD7055" w14:textId="5D62358C" w:rsidR="00B14742" w:rsidRDefault="00B14742" w:rsidP="00B14742">
      <w:r>
        <w:t xml:space="preserve">Source:  </w:t>
      </w:r>
      <w:r w:rsidRPr="00B14742">
        <w:t xml:space="preserve"> </w:t>
      </w:r>
      <w:hyperlink r:id="rId178" w:history="1">
        <w:r w:rsidRPr="008576C6">
          <w:rPr>
            <w:rStyle w:val="Hyperlink"/>
          </w:rPr>
          <w:t>https://www.keepscotlandbeautiful.org/media/1561095/16_17-leams-benchmarking-report.pdf</w:t>
        </w:r>
      </w:hyperlink>
      <w:r>
        <w:t xml:space="preserve"> </w:t>
      </w:r>
    </w:p>
    <w:p w14:paraId="1BAD1999" w14:textId="3A35C2B2" w:rsidR="00B14742" w:rsidRDefault="00B14742" w:rsidP="00B14742"/>
    <w:p w14:paraId="3B7AEB39" w14:textId="0AE61DDE" w:rsidR="00B14742" w:rsidRDefault="00B14742" w:rsidP="00B14742">
      <w:r>
        <w:t>In 2017</w:t>
      </w:r>
      <w:r w:rsidR="002750A1">
        <w:t>-</w:t>
      </w:r>
      <w:r>
        <w:t>16 Aberdeen City Council spent £</w:t>
      </w:r>
      <w:r w:rsidR="002750A1">
        <w:t>9,211 per 1,000 people on street cleaning. This was the 6</w:t>
      </w:r>
      <w:r w:rsidR="002750A1" w:rsidRPr="002750A1">
        <w:rPr>
          <w:vertAlign w:val="superscript"/>
        </w:rPr>
        <w:t>th</w:t>
      </w:r>
      <w:r w:rsidR="002750A1">
        <w:t xml:space="preserve"> lowest amount of all local authorities and lower than the average for Scotland of £14,431 per 1,000 people.  Since 2013-14 the amount of money spent on street cleaning has increased from £8,061 per 1,000 people – an increase of 14.3%.</w:t>
      </w:r>
    </w:p>
    <w:p w14:paraId="506F44AF" w14:textId="593CC429" w:rsidR="002750A1" w:rsidRDefault="002750A1" w:rsidP="00B14742"/>
    <w:p w14:paraId="0B3E34C3" w14:textId="07509E42" w:rsidR="00F17623" w:rsidRDefault="00F17623" w:rsidP="00B14742">
      <w:r>
        <w:t xml:space="preserve">In 2014-17 68.7% of Aberdeen’s residents were satisfied with local street cleanliness compared to 72.3% for Scotland.  Since 2013-16, the proportion of satisfied residents has risen in Aberdeen (from 66%) and decreased in Scotland (from 73.7%).  </w:t>
      </w:r>
    </w:p>
    <w:p w14:paraId="3AD402C6" w14:textId="77777777" w:rsidR="00626339" w:rsidRDefault="00626339" w:rsidP="00B14742"/>
    <w:p w14:paraId="4EE02F97" w14:textId="3DD1E479" w:rsidR="002750A1" w:rsidRPr="00B14742" w:rsidRDefault="002750A1" w:rsidP="00B14742">
      <w:r>
        <w:rPr>
          <w:noProof/>
        </w:rPr>
        <w:drawing>
          <wp:inline distT="0" distB="0" distL="0" distR="0" wp14:anchorId="3836C66E" wp14:editId="2D5588FF">
            <wp:extent cx="4702629" cy="2576945"/>
            <wp:effectExtent l="0" t="0" r="3175" b="1397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02948553" w14:textId="6D00ADBB" w:rsidR="005A6414" w:rsidRPr="002750A1" w:rsidRDefault="002750A1" w:rsidP="005A6414">
      <w:pPr>
        <w:rPr>
          <w:sz w:val="16"/>
          <w:szCs w:val="16"/>
        </w:rPr>
      </w:pPr>
      <w:r w:rsidRPr="002750A1">
        <w:rPr>
          <w:sz w:val="16"/>
          <w:szCs w:val="16"/>
        </w:rPr>
        <w:t xml:space="preserve">Source: Scottish Improvement Service, Local Government Benchmarking Framework, available at: </w:t>
      </w:r>
      <w:hyperlink r:id="rId180" w:history="1">
        <w:r w:rsidRPr="002750A1">
          <w:rPr>
            <w:rStyle w:val="Hyperlink"/>
            <w:sz w:val="16"/>
            <w:szCs w:val="16"/>
          </w:rPr>
          <w:t>http://www.improvementservice.org.uk/benchmarking/explore-the-data.html</w:t>
        </w:r>
      </w:hyperlink>
      <w:r w:rsidRPr="002750A1">
        <w:rPr>
          <w:sz w:val="16"/>
          <w:szCs w:val="16"/>
        </w:rPr>
        <w:t xml:space="preserve"> </w:t>
      </w:r>
    </w:p>
    <w:p w14:paraId="256DA830" w14:textId="77777777" w:rsidR="005A6414" w:rsidRDefault="005A6414" w:rsidP="00186331"/>
    <w:p w14:paraId="396DD5BB" w14:textId="2A2786C6" w:rsidR="003E2DE0" w:rsidRDefault="003E2DE0" w:rsidP="00552E55"/>
    <w:p w14:paraId="148AC634" w14:textId="3523DD8E" w:rsidR="004A6195" w:rsidRDefault="004A6195" w:rsidP="004A6195">
      <w:pPr>
        <w:pStyle w:val="Heading1"/>
        <w:numPr>
          <w:ilvl w:val="0"/>
          <w:numId w:val="4"/>
        </w:numPr>
        <w:spacing w:after="240"/>
      </w:pPr>
      <w:bookmarkStart w:id="105" w:name="_Toc519088637"/>
      <w:r>
        <w:t>Economy</w:t>
      </w:r>
      <w:bookmarkEnd w:id="105"/>
    </w:p>
    <w:p w14:paraId="19ADE7B9" w14:textId="246FBE7F" w:rsidR="00696C57" w:rsidRPr="007A6668" w:rsidRDefault="00696C57" w:rsidP="00696C57">
      <w:pPr>
        <w:pStyle w:val="Heading2"/>
        <w:numPr>
          <w:ilvl w:val="1"/>
          <w:numId w:val="4"/>
        </w:numPr>
      </w:pPr>
      <w:bookmarkStart w:id="106" w:name="_Toc519088638"/>
      <w:r w:rsidRPr="007A6668">
        <w:t>Overview of Aberdeen’s economy</w:t>
      </w:r>
      <w:bookmarkEnd w:id="106"/>
    </w:p>
    <w:p w14:paraId="70DCA85B" w14:textId="751999AC" w:rsidR="007A6668" w:rsidRPr="007A6668" w:rsidRDefault="007A6668" w:rsidP="007A6668">
      <w:r w:rsidRPr="007A6668">
        <w:t>To follow.</w:t>
      </w:r>
    </w:p>
    <w:p w14:paraId="7886AD46" w14:textId="263BEDA8" w:rsidR="00696C57" w:rsidRDefault="00696C57" w:rsidP="00696C57"/>
    <w:p w14:paraId="641903B2" w14:textId="7AFCA1A5" w:rsidR="00C06D58" w:rsidRDefault="00C06D58" w:rsidP="00C06D58">
      <w:pPr>
        <w:pStyle w:val="Heading2"/>
        <w:numPr>
          <w:ilvl w:val="2"/>
          <w:numId w:val="4"/>
        </w:numPr>
        <w:spacing w:after="240"/>
      </w:pPr>
      <w:bookmarkStart w:id="107" w:name="_Toc519088639"/>
      <w:r>
        <w:t>Good growth for cities index</w:t>
      </w:r>
      <w:bookmarkEnd w:id="107"/>
    </w:p>
    <w:p w14:paraId="015DD6F9" w14:textId="55EE99E9" w:rsidR="00C06D58" w:rsidRDefault="00232E95" w:rsidP="00C06D58">
      <w:pPr>
        <w:rPr>
          <w:lang w:val="en"/>
        </w:rPr>
      </w:pPr>
      <w:r>
        <w:t>Based on the good growth for cities index</w:t>
      </w:r>
      <w:r w:rsidR="00626339">
        <w:t xml:space="preserve"> (2014-2016)</w:t>
      </w:r>
      <w:r>
        <w:t>, Aberdeen has the second highest rating in Scotland after Edinburg</w:t>
      </w:r>
      <w:r w:rsidR="00E60AF5">
        <w:t>h (Score of 0.53 on the overall index compared to 0.72 for Edinburgh)</w:t>
      </w:r>
      <w:r>
        <w:t xml:space="preserve">.  The index </w:t>
      </w:r>
      <w:r w:rsidRPr="00232E95">
        <w:rPr>
          <w:lang w:val="en"/>
        </w:rPr>
        <w:t>measures the current performance of a range of the largest UK cities</w:t>
      </w:r>
      <w:r>
        <w:rPr>
          <w:lang w:val="en"/>
        </w:rPr>
        <w:t xml:space="preserve"> against 10 indicators.</w:t>
      </w:r>
      <w:r w:rsidR="0098768E">
        <w:rPr>
          <w:lang w:val="en"/>
        </w:rPr>
        <w:t xml:space="preserve">  While Aberdeen scores well for Income, Skills, Jobs, New Business and </w:t>
      </w:r>
      <w:r w:rsidR="0098768E">
        <w:rPr>
          <w:lang w:val="en"/>
        </w:rPr>
        <w:lastRenderedPageBreak/>
        <w:t>Environment, it scores poorly for Income Distribution, House Price to Earnings</w:t>
      </w:r>
      <w:r w:rsidR="00626339">
        <w:rPr>
          <w:lang w:val="en"/>
        </w:rPr>
        <w:t>,</w:t>
      </w:r>
      <w:r w:rsidR="0098768E">
        <w:rPr>
          <w:lang w:val="en"/>
        </w:rPr>
        <w:t xml:space="preserve"> and Work-life Balance.</w:t>
      </w:r>
    </w:p>
    <w:p w14:paraId="102D3E24" w14:textId="6D699006" w:rsidR="0098768E" w:rsidRDefault="0098768E" w:rsidP="00C06D58">
      <w:pPr>
        <w:rPr>
          <w:lang w:val="en"/>
        </w:rPr>
      </w:pPr>
    </w:p>
    <w:p w14:paraId="401453B2" w14:textId="269863F1" w:rsidR="00E60AF5" w:rsidRDefault="00E60AF5" w:rsidP="00C06D58">
      <w:pPr>
        <w:rPr>
          <w:lang w:val="en"/>
        </w:rPr>
      </w:pPr>
      <w:r>
        <w:rPr>
          <w:noProof/>
        </w:rPr>
        <w:drawing>
          <wp:inline distT="0" distB="0" distL="0" distR="0" wp14:anchorId="3F3ECF72" wp14:editId="24362777">
            <wp:extent cx="4932703" cy="2784144"/>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956638" cy="2797653"/>
                    </a:xfrm>
                    <a:prstGeom prst="rect">
                      <a:avLst/>
                    </a:prstGeom>
                    <a:noFill/>
                  </pic:spPr>
                </pic:pic>
              </a:graphicData>
            </a:graphic>
          </wp:inline>
        </w:drawing>
      </w:r>
    </w:p>
    <w:p w14:paraId="67856B6B" w14:textId="77777777" w:rsidR="00E60AF5" w:rsidRPr="007A6668" w:rsidRDefault="00E60AF5" w:rsidP="00E60AF5">
      <w:pPr>
        <w:rPr>
          <w:sz w:val="16"/>
          <w:szCs w:val="16"/>
          <w:lang w:val="en"/>
        </w:rPr>
      </w:pPr>
      <w:r w:rsidRPr="007A6668">
        <w:rPr>
          <w:sz w:val="16"/>
          <w:szCs w:val="16"/>
          <w:lang w:val="en"/>
        </w:rPr>
        <w:t xml:space="preserve">Source: </w:t>
      </w:r>
      <w:hyperlink r:id="rId182" w:history="1">
        <w:r w:rsidRPr="007A6668">
          <w:rPr>
            <w:rStyle w:val="Hyperlink"/>
            <w:sz w:val="16"/>
            <w:szCs w:val="16"/>
            <w:lang w:val="en"/>
          </w:rPr>
          <w:t>https://www.pwc.co.uk/industries/government-public-sector/good-growth.html</w:t>
        </w:r>
      </w:hyperlink>
      <w:r w:rsidRPr="007A6668">
        <w:rPr>
          <w:sz w:val="16"/>
          <w:szCs w:val="16"/>
          <w:lang w:val="en"/>
        </w:rPr>
        <w:t xml:space="preserve"> </w:t>
      </w:r>
    </w:p>
    <w:p w14:paraId="0476CF47" w14:textId="77777777" w:rsidR="00E60AF5" w:rsidRPr="00E60AF5" w:rsidRDefault="00E60AF5" w:rsidP="00E60AF5">
      <w:pPr>
        <w:rPr>
          <w:lang w:val="en"/>
        </w:rPr>
      </w:pPr>
    </w:p>
    <w:p w14:paraId="1177CD6E" w14:textId="7F99AFFF" w:rsidR="007B1F2D" w:rsidRDefault="007B1F2D" w:rsidP="007B1F2D">
      <w:pPr>
        <w:pStyle w:val="Heading2"/>
        <w:numPr>
          <w:ilvl w:val="2"/>
          <w:numId w:val="4"/>
        </w:numPr>
        <w:spacing w:after="240"/>
      </w:pPr>
      <w:bookmarkStart w:id="108" w:name="_Toc519088640"/>
      <w:r>
        <w:t>GVA</w:t>
      </w:r>
      <w:bookmarkEnd w:id="108"/>
    </w:p>
    <w:p w14:paraId="1934D92C" w14:textId="055EAE64" w:rsidR="00F40A23" w:rsidRDefault="00F40A23" w:rsidP="00F40A23">
      <w:r>
        <w:t xml:space="preserve">In 2016 Aberdeen City had a GVA of £10,607 million – equivalent to 7.9% of Scotland’s total GVA (third highest behind Glasgow at £20,371 million and Edinburgh at £19,942 million).  Aberdeen City was one of 4 local authorities which saw economic output decrease in 2016 - </w:t>
      </w:r>
      <w:r w:rsidRPr="00F40A23">
        <w:rPr>
          <w:lang w:val="en"/>
        </w:rPr>
        <w:t>Aberdeen City (-2.2%), Aberdeenshire (-1.4%), Na h-Eileanan Siar (-1.1%), and West Dunbartonshire (-0.7%) all saw economic output decline.</w:t>
      </w:r>
    </w:p>
    <w:p w14:paraId="1062A1D5" w14:textId="78B38D84" w:rsidR="00F40A23" w:rsidRDefault="00F40A23" w:rsidP="00F40A23"/>
    <w:p w14:paraId="1B48EA61" w14:textId="0E36D587" w:rsidR="00F40A23" w:rsidRDefault="00F40A23" w:rsidP="00F40A23">
      <w:pPr>
        <w:rPr>
          <w:lang w:val="en"/>
        </w:rPr>
      </w:pPr>
      <w:r>
        <w:rPr>
          <w:lang w:val="en"/>
        </w:rPr>
        <w:t xml:space="preserve">In 2016, </w:t>
      </w:r>
      <w:r w:rsidRPr="00F40A23">
        <w:rPr>
          <w:lang w:val="en"/>
        </w:rPr>
        <w:t>Aberdeen City had the highest GVA per head ratio at £46,151</w:t>
      </w:r>
      <w:r>
        <w:rPr>
          <w:lang w:val="en"/>
        </w:rPr>
        <w:t xml:space="preserve"> compared to £24,800 for Scotland.  GVA per head fell by </w:t>
      </w:r>
      <w:r w:rsidR="00626339">
        <w:rPr>
          <w:lang w:val="en"/>
        </w:rPr>
        <w:t>£</w:t>
      </w:r>
      <w:r>
        <w:rPr>
          <w:lang w:val="en"/>
        </w:rPr>
        <w:t>3,715 between 2014 and 2016.</w:t>
      </w:r>
    </w:p>
    <w:p w14:paraId="45A5E4E8" w14:textId="77777777" w:rsidR="00F40A23" w:rsidRPr="00F40A23" w:rsidRDefault="00F40A23" w:rsidP="00F40A23"/>
    <w:p w14:paraId="0D1E2EBE" w14:textId="0BD12CC4" w:rsidR="00F40A23" w:rsidRDefault="00F40A23" w:rsidP="0036133B">
      <w:r>
        <w:rPr>
          <w:noProof/>
        </w:rPr>
        <w:drawing>
          <wp:inline distT="0" distB="0" distL="0" distR="0" wp14:anchorId="72AF13C5" wp14:editId="52194AD0">
            <wp:extent cx="4572000" cy="2661313"/>
            <wp:effectExtent l="0" t="0" r="0" b="5715"/>
            <wp:docPr id="8" name="Chart 8">
              <a:extLst xmlns:a="http://schemas.openxmlformats.org/drawingml/2006/main">
                <a:ext uri="{FF2B5EF4-FFF2-40B4-BE49-F238E27FC236}">
                  <a16:creationId xmlns:a16="http://schemas.microsoft.com/office/drawing/2014/main" id="{191081C8-0E1F-47BA-A847-57C9A35644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0B372300" w14:textId="4417B099" w:rsidR="0036133B" w:rsidRDefault="00F40A23" w:rsidP="0036133B">
      <w:pPr>
        <w:rPr>
          <w:sz w:val="16"/>
          <w:szCs w:val="16"/>
        </w:rPr>
      </w:pPr>
      <w:r w:rsidRPr="00F40A23">
        <w:rPr>
          <w:sz w:val="16"/>
          <w:szCs w:val="16"/>
        </w:rPr>
        <w:t xml:space="preserve">Source: </w:t>
      </w:r>
      <w:hyperlink r:id="rId184" w:anchor="Local-authority-GVA" w:history="1">
        <w:r w:rsidRPr="00F40A23">
          <w:rPr>
            <w:rStyle w:val="Hyperlink"/>
            <w:sz w:val="16"/>
            <w:szCs w:val="16"/>
          </w:rPr>
          <w:t>https://digitalpublications.parliament.scot/ResearchBriefings/Report/2018/2/23/A-Guide-to-Gross-Value-Added--GVA--in-Scotland#Local-authority-GVA</w:t>
        </w:r>
      </w:hyperlink>
      <w:r w:rsidRPr="00F40A23">
        <w:rPr>
          <w:sz w:val="16"/>
          <w:szCs w:val="16"/>
        </w:rPr>
        <w:t xml:space="preserve"> </w:t>
      </w:r>
    </w:p>
    <w:p w14:paraId="42ADFE05" w14:textId="0C812D69" w:rsidR="00F40A23" w:rsidRDefault="00F40A23" w:rsidP="0036133B">
      <w:pPr>
        <w:rPr>
          <w:sz w:val="16"/>
          <w:szCs w:val="16"/>
        </w:rPr>
      </w:pPr>
    </w:p>
    <w:p w14:paraId="08138528" w14:textId="417E98CF" w:rsidR="007B1F2D" w:rsidRDefault="00C608EB" w:rsidP="00C608EB">
      <w:pPr>
        <w:pStyle w:val="Heading2"/>
        <w:numPr>
          <w:ilvl w:val="1"/>
          <w:numId w:val="4"/>
        </w:numPr>
        <w:spacing w:after="240"/>
      </w:pPr>
      <w:bookmarkStart w:id="109" w:name="_Toc519088641"/>
      <w:r>
        <w:lastRenderedPageBreak/>
        <w:t>Key Sectors</w:t>
      </w:r>
      <w:bookmarkEnd w:id="109"/>
    </w:p>
    <w:p w14:paraId="5C16775A" w14:textId="2C206965" w:rsidR="00C608EB" w:rsidRDefault="00C608EB" w:rsidP="00C608EB">
      <w:r w:rsidRPr="00E42A8A">
        <w:t>Scotland’s Economic Strategy recognises the importance of key industries in the continued growth of the country.  The Strategy has identified six sectors where Scotland has a distinct comparative advantage – Food and Drink (including fisheries and agriculture), Creative Industries (including digital), Sustainable Tourism, Energy (including renewables), Financial and Business Services, and Life Sciences.</w:t>
      </w:r>
    </w:p>
    <w:p w14:paraId="72780D86" w14:textId="1ACF22DB" w:rsidR="00A05C13" w:rsidRDefault="00A05C13" w:rsidP="00C608EB"/>
    <w:p w14:paraId="1778F8D0" w14:textId="18903B3E" w:rsidR="00A05C13" w:rsidRDefault="00A05C13" w:rsidP="00C608EB">
      <w:r>
        <w:t xml:space="preserve">The table below gives an overview of statistics for </w:t>
      </w:r>
      <w:r w:rsidR="007A6668">
        <w:t>five of these</w:t>
      </w:r>
      <w:r>
        <w:t xml:space="preserve"> key </w:t>
      </w:r>
      <w:r w:rsidR="007A6668">
        <w:t>sectors</w:t>
      </w:r>
      <w:r>
        <w:t xml:space="preserve"> in Aberdeen City </w:t>
      </w:r>
    </w:p>
    <w:p w14:paraId="0A532D6E" w14:textId="77777777" w:rsidR="00A05C13" w:rsidRDefault="00A05C13" w:rsidP="00C608EB"/>
    <w:tbl>
      <w:tblPr>
        <w:tblStyle w:val="TableGrid"/>
        <w:tblW w:w="8363" w:type="dxa"/>
        <w:tblInd w:w="846" w:type="dxa"/>
        <w:tblLayout w:type="fixed"/>
        <w:tblLook w:val="04A0" w:firstRow="1" w:lastRow="0" w:firstColumn="1" w:lastColumn="0" w:noHBand="0" w:noVBand="1"/>
      </w:tblPr>
      <w:tblGrid>
        <w:gridCol w:w="1393"/>
        <w:gridCol w:w="1394"/>
        <w:gridCol w:w="1394"/>
        <w:gridCol w:w="1394"/>
        <w:gridCol w:w="1394"/>
        <w:gridCol w:w="1394"/>
      </w:tblGrid>
      <w:tr w:rsidR="00A05C13" w:rsidRPr="00A05C13" w14:paraId="55CBEE35" w14:textId="77777777" w:rsidTr="00A05C13">
        <w:trPr>
          <w:trHeight w:val="600"/>
        </w:trPr>
        <w:tc>
          <w:tcPr>
            <w:tcW w:w="1393" w:type="dxa"/>
            <w:shd w:val="clear" w:color="auto" w:fill="D9E2F3" w:themeFill="accent1" w:themeFillTint="33"/>
            <w:noWrap/>
            <w:hideMark/>
          </w:tcPr>
          <w:p w14:paraId="4DD4A194" w14:textId="77777777" w:rsidR="00A05C13" w:rsidRPr="00A05C13" w:rsidRDefault="00A05C13" w:rsidP="00067951">
            <w:pPr>
              <w:ind w:left="0"/>
              <w:rPr>
                <w:b/>
              </w:rPr>
            </w:pPr>
            <w:r w:rsidRPr="00A05C13">
              <w:rPr>
                <w:b/>
              </w:rPr>
              <w:t> </w:t>
            </w:r>
          </w:p>
        </w:tc>
        <w:tc>
          <w:tcPr>
            <w:tcW w:w="1394" w:type="dxa"/>
            <w:shd w:val="clear" w:color="auto" w:fill="D9E2F3" w:themeFill="accent1" w:themeFillTint="33"/>
            <w:noWrap/>
            <w:vAlign w:val="center"/>
            <w:hideMark/>
          </w:tcPr>
          <w:p w14:paraId="71478A39" w14:textId="77777777" w:rsidR="00A05C13" w:rsidRPr="00A05C13" w:rsidRDefault="00A05C13" w:rsidP="00067951">
            <w:pPr>
              <w:ind w:left="0"/>
              <w:jc w:val="center"/>
              <w:rPr>
                <w:b/>
              </w:rPr>
            </w:pPr>
            <w:r w:rsidRPr="00A05C13">
              <w:rPr>
                <w:b/>
              </w:rPr>
              <w:t>No. of enterprises 2016</w:t>
            </w:r>
          </w:p>
        </w:tc>
        <w:tc>
          <w:tcPr>
            <w:tcW w:w="1394" w:type="dxa"/>
            <w:shd w:val="clear" w:color="auto" w:fill="D9E2F3" w:themeFill="accent1" w:themeFillTint="33"/>
            <w:noWrap/>
            <w:vAlign w:val="center"/>
            <w:hideMark/>
          </w:tcPr>
          <w:p w14:paraId="608E9648" w14:textId="77777777" w:rsidR="00A05C13" w:rsidRPr="00A05C13" w:rsidRDefault="00A05C13" w:rsidP="00067951">
            <w:pPr>
              <w:ind w:left="0"/>
              <w:jc w:val="center"/>
              <w:rPr>
                <w:b/>
              </w:rPr>
            </w:pPr>
            <w:r w:rsidRPr="00A05C13">
              <w:rPr>
                <w:b/>
              </w:rPr>
              <w:t>Total turnover 2014 (£, M)</w:t>
            </w:r>
          </w:p>
        </w:tc>
        <w:tc>
          <w:tcPr>
            <w:tcW w:w="1394" w:type="dxa"/>
            <w:shd w:val="clear" w:color="auto" w:fill="D9E2F3" w:themeFill="accent1" w:themeFillTint="33"/>
            <w:noWrap/>
            <w:vAlign w:val="center"/>
            <w:hideMark/>
          </w:tcPr>
          <w:p w14:paraId="59281F72" w14:textId="77777777" w:rsidR="00A05C13" w:rsidRPr="00A05C13" w:rsidRDefault="00A05C13" w:rsidP="00067951">
            <w:pPr>
              <w:ind w:left="0"/>
              <w:jc w:val="center"/>
              <w:rPr>
                <w:b/>
              </w:rPr>
            </w:pPr>
            <w:r w:rsidRPr="00A05C13">
              <w:rPr>
                <w:b/>
              </w:rPr>
              <w:t>GVA 2014</w:t>
            </w:r>
          </w:p>
          <w:p w14:paraId="734B49B4" w14:textId="77777777" w:rsidR="00A05C13" w:rsidRPr="00A05C13" w:rsidRDefault="00A05C13" w:rsidP="00067951">
            <w:pPr>
              <w:ind w:left="0"/>
              <w:jc w:val="center"/>
              <w:rPr>
                <w:b/>
              </w:rPr>
            </w:pPr>
            <w:r w:rsidRPr="00A05C13">
              <w:rPr>
                <w:b/>
              </w:rPr>
              <w:t>(£, M)</w:t>
            </w:r>
          </w:p>
        </w:tc>
        <w:tc>
          <w:tcPr>
            <w:tcW w:w="1394" w:type="dxa"/>
            <w:shd w:val="clear" w:color="auto" w:fill="D9E2F3" w:themeFill="accent1" w:themeFillTint="33"/>
            <w:noWrap/>
            <w:vAlign w:val="center"/>
            <w:hideMark/>
          </w:tcPr>
          <w:p w14:paraId="2A5770CF" w14:textId="77777777" w:rsidR="00A05C13" w:rsidRPr="00A05C13" w:rsidRDefault="00A05C13" w:rsidP="00067951">
            <w:pPr>
              <w:ind w:left="0"/>
              <w:jc w:val="center"/>
              <w:rPr>
                <w:b/>
              </w:rPr>
            </w:pPr>
            <w:r w:rsidRPr="00A05C13">
              <w:rPr>
                <w:b/>
              </w:rPr>
              <w:t>GVA per head 2014 (£)</w:t>
            </w:r>
          </w:p>
        </w:tc>
        <w:tc>
          <w:tcPr>
            <w:tcW w:w="1394" w:type="dxa"/>
            <w:shd w:val="clear" w:color="auto" w:fill="D9E2F3" w:themeFill="accent1" w:themeFillTint="33"/>
            <w:noWrap/>
            <w:vAlign w:val="center"/>
            <w:hideMark/>
          </w:tcPr>
          <w:p w14:paraId="778F76C2" w14:textId="77777777" w:rsidR="00A05C13" w:rsidRPr="00A05C13" w:rsidRDefault="00A05C13" w:rsidP="00067951">
            <w:pPr>
              <w:ind w:left="0"/>
              <w:jc w:val="center"/>
              <w:rPr>
                <w:b/>
              </w:rPr>
            </w:pPr>
            <w:r w:rsidRPr="00A05C13">
              <w:rPr>
                <w:b/>
              </w:rPr>
              <w:t>Employment 2015</w:t>
            </w:r>
          </w:p>
        </w:tc>
      </w:tr>
      <w:tr w:rsidR="00A05C13" w:rsidRPr="00A05C13" w14:paraId="5114D386" w14:textId="77777777" w:rsidTr="00067951">
        <w:trPr>
          <w:trHeight w:val="300"/>
        </w:trPr>
        <w:tc>
          <w:tcPr>
            <w:tcW w:w="1393" w:type="dxa"/>
            <w:noWrap/>
            <w:hideMark/>
          </w:tcPr>
          <w:p w14:paraId="0B7E394E" w14:textId="77777777" w:rsidR="00A05C13" w:rsidRPr="00A05C13" w:rsidRDefault="00A05C13" w:rsidP="00067951">
            <w:pPr>
              <w:ind w:left="0"/>
            </w:pPr>
            <w:r w:rsidRPr="00A05C13">
              <w:t>Tourism</w:t>
            </w:r>
          </w:p>
        </w:tc>
        <w:tc>
          <w:tcPr>
            <w:tcW w:w="1394" w:type="dxa"/>
            <w:noWrap/>
            <w:vAlign w:val="center"/>
            <w:hideMark/>
          </w:tcPr>
          <w:p w14:paraId="046914D8" w14:textId="77777777" w:rsidR="00A05C13" w:rsidRPr="00A05C13" w:rsidRDefault="00A05C13" w:rsidP="00067951">
            <w:pPr>
              <w:ind w:left="0"/>
              <w:jc w:val="center"/>
            </w:pPr>
            <w:r w:rsidRPr="00A05C13">
              <w:t>540</w:t>
            </w:r>
          </w:p>
        </w:tc>
        <w:tc>
          <w:tcPr>
            <w:tcW w:w="1394" w:type="dxa"/>
            <w:noWrap/>
            <w:vAlign w:val="center"/>
            <w:hideMark/>
          </w:tcPr>
          <w:p w14:paraId="4E515C17" w14:textId="77777777" w:rsidR="00A05C13" w:rsidRPr="00A05C13" w:rsidRDefault="00A05C13" w:rsidP="00067951">
            <w:pPr>
              <w:ind w:left="0"/>
              <w:jc w:val="center"/>
            </w:pPr>
            <w:r w:rsidRPr="00A05C13">
              <w:t>456</w:t>
            </w:r>
          </w:p>
        </w:tc>
        <w:tc>
          <w:tcPr>
            <w:tcW w:w="1394" w:type="dxa"/>
            <w:noWrap/>
            <w:vAlign w:val="center"/>
            <w:hideMark/>
          </w:tcPr>
          <w:p w14:paraId="2246ABFC" w14:textId="77777777" w:rsidR="00A05C13" w:rsidRPr="00A05C13" w:rsidRDefault="00A05C13" w:rsidP="00067951">
            <w:pPr>
              <w:ind w:left="0"/>
              <w:jc w:val="center"/>
            </w:pPr>
            <w:r w:rsidRPr="00A05C13">
              <w:t>271</w:t>
            </w:r>
          </w:p>
        </w:tc>
        <w:tc>
          <w:tcPr>
            <w:tcW w:w="1394" w:type="dxa"/>
            <w:noWrap/>
            <w:vAlign w:val="center"/>
            <w:hideMark/>
          </w:tcPr>
          <w:p w14:paraId="0C409CEB" w14:textId="77777777" w:rsidR="00A05C13" w:rsidRPr="00A05C13" w:rsidRDefault="00A05C13" w:rsidP="00067951">
            <w:pPr>
              <w:ind w:left="0"/>
              <w:jc w:val="center"/>
            </w:pPr>
            <w:r w:rsidRPr="00A05C13">
              <w:t>26,150</w:t>
            </w:r>
          </w:p>
        </w:tc>
        <w:tc>
          <w:tcPr>
            <w:tcW w:w="1394" w:type="dxa"/>
            <w:noWrap/>
            <w:vAlign w:val="center"/>
            <w:hideMark/>
          </w:tcPr>
          <w:p w14:paraId="25D0A9F5" w14:textId="77777777" w:rsidR="00A05C13" w:rsidRPr="00A05C13" w:rsidRDefault="00A05C13" w:rsidP="00067951">
            <w:pPr>
              <w:ind w:left="0"/>
              <w:jc w:val="center"/>
            </w:pPr>
            <w:r w:rsidRPr="00A05C13">
              <w:t>11,300</w:t>
            </w:r>
          </w:p>
        </w:tc>
      </w:tr>
      <w:tr w:rsidR="00A05C13" w:rsidRPr="00A05C13" w14:paraId="327AA158" w14:textId="77777777" w:rsidTr="00067951">
        <w:trPr>
          <w:trHeight w:val="300"/>
        </w:trPr>
        <w:tc>
          <w:tcPr>
            <w:tcW w:w="1393" w:type="dxa"/>
            <w:noWrap/>
            <w:hideMark/>
          </w:tcPr>
          <w:p w14:paraId="2703AC60" w14:textId="77777777" w:rsidR="00A05C13" w:rsidRPr="00A05C13" w:rsidRDefault="00A05C13" w:rsidP="00067951">
            <w:pPr>
              <w:ind w:left="0"/>
            </w:pPr>
            <w:r w:rsidRPr="00A05C13">
              <w:t>Energy</w:t>
            </w:r>
          </w:p>
        </w:tc>
        <w:tc>
          <w:tcPr>
            <w:tcW w:w="1394" w:type="dxa"/>
            <w:noWrap/>
            <w:vAlign w:val="center"/>
            <w:hideMark/>
          </w:tcPr>
          <w:p w14:paraId="52F8998B" w14:textId="77777777" w:rsidR="00A05C13" w:rsidRPr="00A05C13" w:rsidRDefault="00A05C13" w:rsidP="00067951">
            <w:pPr>
              <w:ind w:left="0"/>
              <w:jc w:val="center"/>
            </w:pPr>
            <w:r w:rsidRPr="00A05C13">
              <w:t>795</w:t>
            </w:r>
          </w:p>
        </w:tc>
        <w:tc>
          <w:tcPr>
            <w:tcW w:w="1394" w:type="dxa"/>
            <w:noWrap/>
            <w:vAlign w:val="center"/>
            <w:hideMark/>
          </w:tcPr>
          <w:p w14:paraId="26274BF4" w14:textId="77777777" w:rsidR="00A05C13" w:rsidRPr="00A05C13" w:rsidRDefault="00A05C13" w:rsidP="00067951">
            <w:pPr>
              <w:ind w:left="0"/>
              <w:jc w:val="center"/>
            </w:pPr>
            <w:r w:rsidRPr="00A05C13">
              <w:t>21,991</w:t>
            </w:r>
          </w:p>
        </w:tc>
        <w:tc>
          <w:tcPr>
            <w:tcW w:w="1394" w:type="dxa"/>
            <w:noWrap/>
            <w:vAlign w:val="center"/>
            <w:hideMark/>
          </w:tcPr>
          <w:p w14:paraId="4C999D0B" w14:textId="77777777" w:rsidR="00A05C13" w:rsidRPr="00A05C13" w:rsidRDefault="00A05C13" w:rsidP="00067951">
            <w:pPr>
              <w:ind w:left="0"/>
              <w:jc w:val="center"/>
            </w:pPr>
            <w:r w:rsidRPr="00A05C13">
              <w:t>8,770</w:t>
            </w:r>
          </w:p>
        </w:tc>
        <w:tc>
          <w:tcPr>
            <w:tcW w:w="1394" w:type="dxa"/>
            <w:noWrap/>
            <w:vAlign w:val="center"/>
            <w:hideMark/>
          </w:tcPr>
          <w:p w14:paraId="3C2A7AD3" w14:textId="77777777" w:rsidR="00A05C13" w:rsidRPr="00A05C13" w:rsidRDefault="00A05C13" w:rsidP="00067951">
            <w:pPr>
              <w:ind w:left="0"/>
              <w:jc w:val="center"/>
            </w:pPr>
            <w:r w:rsidRPr="00A05C13">
              <w:t>299,905</w:t>
            </w:r>
          </w:p>
        </w:tc>
        <w:tc>
          <w:tcPr>
            <w:tcW w:w="1394" w:type="dxa"/>
            <w:noWrap/>
            <w:vAlign w:val="center"/>
            <w:hideMark/>
          </w:tcPr>
          <w:p w14:paraId="44B6C399" w14:textId="77777777" w:rsidR="00A05C13" w:rsidRPr="00A05C13" w:rsidRDefault="00A05C13" w:rsidP="00067951">
            <w:pPr>
              <w:ind w:left="0"/>
              <w:jc w:val="center"/>
            </w:pPr>
            <w:r w:rsidRPr="00A05C13">
              <w:t>30,800</w:t>
            </w:r>
          </w:p>
        </w:tc>
      </w:tr>
      <w:tr w:rsidR="00A05C13" w:rsidRPr="00A05C13" w14:paraId="4645D844" w14:textId="77777777" w:rsidTr="00067951">
        <w:trPr>
          <w:trHeight w:val="300"/>
        </w:trPr>
        <w:tc>
          <w:tcPr>
            <w:tcW w:w="1393" w:type="dxa"/>
            <w:noWrap/>
            <w:hideMark/>
          </w:tcPr>
          <w:p w14:paraId="258C81DD" w14:textId="77777777" w:rsidR="00A05C13" w:rsidRPr="00A05C13" w:rsidRDefault="00A05C13" w:rsidP="00067951">
            <w:pPr>
              <w:ind w:left="0"/>
            </w:pPr>
            <w:r w:rsidRPr="00A05C13">
              <w:t>Food &amp; Drink</w:t>
            </w:r>
          </w:p>
        </w:tc>
        <w:tc>
          <w:tcPr>
            <w:tcW w:w="1394" w:type="dxa"/>
            <w:noWrap/>
            <w:vAlign w:val="center"/>
            <w:hideMark/>
          </w:tcPr>
          <w:p w14:paraId="1A5ECD69" w14:textId="77777777" w:rsidR="00A05C13" w:rsidRPr="00A05C13" w:rsidRDefault="00A05C13" w:rsidP="00067951">
            <w:pPr>
              <w:ind w:left="0"/>
              <w:jc w:val="center"/>
            </w:pPr>
            <w:r w:rsidRPr="00A05C13">
              <w:t>125</w:t>
            </w:r>
          </w:p>
        </w:tc>
        <w:tc>
          <w:tcPr>
            <w:tcW w:w="1394" w:type="dxa"/>
            <w:noWrap/>
            <w:vAlign w:val="center"/>
            <w:hideMark/>
          </w:tcPr>
          <w:p w14:paraId="41FAEB9E" w14:textId="77777777" w:rsidR="00A05C13" w:rsidRPr="00A05C13" w:rsidRDefault="00A05C13" w:rsidP="00067951">
            <w:pPr>
              <w:ind w:left="0"/>
              <w:jc w:val="center"/>
            </w:pPr>
            <w:r w:rsidRPr="00A05C13">
              <w:t>321</w:t>
            </w:r>
          </w:p>
        </w:tc>
        <w:tc>
          <w:tcPr>
            <w:tcW w:w="1394" w:type="dxa"/>
            <w:noWrap/>
            <w:vAlign w:val="center"/>
            <w:hideMark/>
          </w:tcPr>
          <w:p w14:paraId="522DE842" w14:textId="77777777" w:rsidR="00A05C13" w:rsidRPr="00A05C13" w:rsidRDefault="00A05C13" w:rsidP="00067951">
            <w:pPr>
              <w:ind w:left="0"/>
              <w:jc w:val="center"/>
            </w:pPr>
            <w:r w:rsidRPr="00A05C13">
              <w:t>125</w:t>
            </w:r>
          </w:p>
        </w:tc>
        <w:tc>
          <w:tcPr>
            <w:tcW w:w="1394" w:type="dxa"/>
            <w:noWrap/>
            <w:vAlign w:val="center"/>
            <w:hideMark/>
          </w:tcPr>
          <w:p w14:paraId="46342057" w14:textId="77777777" w:rsidR="00A05C13" w:rsidRPr="00A05C13" w:rsidRDefault="00A05C13" w:rsidP="00067951">
            <w:pPr>
              <w:ind w:left="0"/>
              <w:jc w:val="center"/>
            </w:pPr>
            <w:r w:rsidRPr="00A05C13">
              <w:t>110,498</w:t>
            </w:r>
          </w:p>
        </w:tc>
        <w:tc>
          <w:tcPr>
            <w:tcW w:w="1394" w:type="dxa"/>
            <w:noWrap/>
            <w:vAlign w:val="center"/>
            <w:hideMark/>
          </w:tcPr>
          <w:p w14:paraId="58C986D1" w14:textId="77777777" w:rsidR="00A05C13" w:rsidRPr="00A05C13" w:rsidRDefault="00A05C13" w:rsidP="00067951">
            <w:pPr>
              <w:ind w:left="0"/>
              <w:jc w:val="center"/>
            </w:pPr>
            <w:r w:rsidRPr="00A05C13">
              <w:t>1,300</w:t>
            </w:r>
          </w:p>
        </w:tc>
      </w:tr>
      <w:tr w:rsidR="00A05C13" w:rsidRPr="00A05C13" w14:paraId="0D40F30C" w14:textId="77777777" w:rsidTr="00067951">
        <w:trPr>
          <w:trHeight w:val="300"/>
        </w:trPr>
        <w:tc>
          <w:tcPr>
            <w:tcW w:w="1393" w:type="dxa"/>
            <w:noWrap/>
            <w:hideMark/>
          </w:tcPr>
          <w:p w14:paraId="00868877" w14:textId="77777777" w:rsidR="00A05C13" w:rsidRPr="00A05C13" w:rsidRDefault="00A05C13" w:rsidP="00067951">
            <w:pPr>
              <w:ind w:left="0"/>
            </w:pPr>
            <w:r w:rsidRPr="00A05C13">
              <w:t>Life Sciences</w:t>
            </w:r>
          </w:p>
        </w:tc>
        <w:tc>
          <w:tcPr>
            <w:tcW w:w="1394" w:type="dxa"/>
            <w:noWrap/>
            <w:vAlign w:val="center"/>
            <w:hideMark/>
          </w:tcPr>
          <w:p w14:paraId="442DF5F4" w14:textId="77777777" w:rsidR="00A05C13" w:rsidRPr="00A05C13" w:rsidRDefault="00A05C13" w:rsidP="00067951">
            <w:pPr>
              <w:ind w:left="0"/>
              <w:jc w:val="center"/>
            </w:pPr>
            <w:r w:rsidRPr="00A05C13">
              <w:t>35</w:t>
            </w:r>
          </w:p>
        </w:tc>
        <w:tc>
          <w:tcPr>
            <w:tcW w:w="1394" w:type="dxa"/>
            <w:noWrap/>
            <w:vAlign w:val="center"/>
            <w:hideMark/>
          </w:tcPr>
          <w:p w14:paraId="32415860" w14:textId="77777777" w:rsidR="00A05C13" w:rsidRPr="00A05C13" w:rsidRDefault="00A05C13" w:rsidP="00067951">
            <w:pPr>
              <w:ind w:left="0"/>
              <w:jc w:val="center"/>
            </w:pPr>
            <w:r w:rsidRPr="00A05C13">
              <w:t>53</w:t>
            </w:r>
          </w:p>
        </w:tc>
        <w:tc>
          <w:tcPr>
            <w:tcW w:w="1394" w:type="dxa"/>
            <w:noWrap/>
            <w:vAlign w:val="center"/>
            <w:hideMark/>
          </w:tcPr>
          <w:p w14:paraId="0FE82BCD" w14:textId="77777777" w:rsidR="00A05C13" w:rsidRPr="00A05C13" w:rsidRDefault="00A05C13" w:rsidP="00067951">
            <w:pPr>
              <w:ind w:left="0"/>
              <w:jc w:val="center"/>
            </w:pPr>
            <w:r w:rsidRPr="00A05C13">
              <w:t>28</w:t>
            </w:r>
          </w:p>
        </w:tc>
        <w:tc>
          <w:tcPr>
            <w:tcW w:w="1394" w:type="dxa"/>
            <w:noWrap/>
            <w:vAlign w:val="center"/>
            <w:hideMark/>
          </w:tcPr>
          <w:p w14:paraId="58E5118A" w14:textId="77777777" w:rsidR="00A05C13" w:rsidRPr="00A05C13" w:rsidRDefault="00A05C13" w:rsidP="00067951">
            <w:pPr>
              <w:ind w:left="0"/>
              <w:jc w:val="center"/>
            </w:pPr>
            <w:r w:rsidRPr="00A05C13">
              <w:t>40,091</w:t>
            </w:r>
          </w:p>
        </w:tc>
        <w:tc>
          <w:tcPr>
            <w:tcW w:w="1394" w:type="dxa"/>
            <w:noWrap/>
            <w:vAlign w:val="center"/>
            <w:hideMark/>
          </w:tcPr>
          <w:p w14:paraId="66DED291" w14:textId="77777777" w:rsidR="00A05C13" w:rsidRPr="00A05C13" w:rsidRDefault="00A05C13" w:rsidP="00067951">
            <w:pPr>
              <w:ind w:left="0"/>
              <w:jc w:val="center"/>
            </w:pPr>
            <w:r w:rsidRPr="00A05C13">
              <w:t>700</w:t>
            </w:r>
          </w:p>
        </w:tc>
      </w:tr>
      <w:tr w:rsidR="00A05C13" w:rsidRPr="00A05C13" w14:paraId="31B43F2A" w14:textId="77777777" w:rsidTr="00067951">
        <w:trPr>
          <w:trHeight w:val="300"/>
        </w:trPr>
        <w:tc>
          <w:tcPr>
            <w:tcW w:w="1393" w:type="dxa"/>
            <w:noWrap/>
            <w:hideMark/>
          </w:tcPr>
          <w:p w14:paraId="0FB8DC31" w14:textId="77777777" w:rsidR="00A05C13" w:rsidRPr="00A05C13" w:rsidRDefault="00A05C13" w:rsidP="00067951">
            <w:pPr>
              <w:ind w:left="0"/>
            </w:pPr>
            <w:r w:rsidRPr="00A05C13">
              <w:t>Creative Indust</w:t>
            </w:r>
            <w:r>
              <w:t>ri</w:t>
            </w:r>
            <w:r w:rsidRPr="00A05C13">
              <w:t>es</w:t>
            </w:r>
          </w:p>
        </w:tc>
        <w:tc>
          <w:tcPr>
            <w:tcW w:w="1394" w:type="dxa"/>
            <w:noWrap/>
            <w:vAlign w:val="center"/>
            <w:hideMark/>
          </w:tcPr>
          <w:p w14:paraId="41E40C8E" w14:textId="77777777" w:rsidR="00A05C13" w:rsidRPr="00A05C13" w:rsidRDefault="00A05C13" w:rsidP="00067951">
            <w:pPr>
              <w:ind w:left="0"/>
              <w:jc w:val="center"/>
            </w:pPr>
            <w:r w:rsidRPr="00A05C13">
              <w:t>915</w:t>
            </w:r>
          </w:p>
        </w:tc>
        <w:tc>
          <w:tcPr>
            <w:tcW w:w="1394" w:type="dxa"/>
            <w:noWrap/>
            <w:vAlign w:val="center"/>
            <w:hideMark/>
          </w:tcPr>
          <w:p w14:paraId="64C28BBC" w14:textId="77777777" w:rsidR="00A05C13" w:rsidRPr="00A05C13" w:rsidRDefault="00A05C13" w:rsidP="00067951">
            <w:pPr>
              <w:ind w:left="0"/>
              <w:jc w:val="center"/>
            </w:pPr>
            <w:r w:rsidRPr="00A05C13">
              <w:t>582</w:t>
            </w:r>
          </w:p>
        </w:tc>
        <w:tc>
          <w:tcPr>
            <w:tcW w:w="1394" w:type="dxa"/>
            <w:noWrap/>
            <w:vAlign w:val="center"/>
            <w:hideMark/>
          </w:tcPr>
          <w:p w14:paraId="16779792" w14:textId="77777777" w:rsidR="00A05C13" w:rsidRPr="00A05C13" w:rsidRDefault="00A05C13" w:rsidP="00067951">
            <w:pPr>
              <w:ind w:left="0"/>
              <w:jc w:val="center"/>
            </w:pPr>
            <w:r w:rsidRPr="00A05C13">
              <w:t>346</w:t>
            </w:r>
          </w:p>
        </w:tc>
        <w:tc>
          <w:tcPr>
            <w:tcW w:w="1394" w:type="dxa"/>
            <w:noWrap/>
            <w:vAlign w:val="center"/>
            <w:hideMark/>
          </w:tcPr>
          <w:p w14:paraId="04FE8194" w14:textId="77777777" w:rsidR="00A05C13" w:rsidRPr="00A05C13" w:rsidRDefault="00A05C13" w:rsidP="00067951">
            <w:pPr>
              <w:ind w:left="0"/>
              <w:jc w:val="center"/>
            </w:pPr>
            <w:r w:rsidRPr="00A05C13">
              <w:t>80,601</w:t>
            </w:r>
          </w:p>
        </w:tc>
        <w:tc>
          <w:tcPr>
            <w:tcW w:w="1394" w:type="dxa"/>
            <w:noWrap/>
            <w:vAlign w:val="center"/>
            <w:hideMark/>
          </w:tcPr>
          <w:p w14:paraId="32BDAD75" w14:textId="77777777" w:rsidR="00A05C13" w:rsidRPr="00A05C13" w:rsidRDefault="00A05C13" w:rsidP="00067951">
            <w:pPr>
              <w:ind w:left="0"/>
              <w:jc w:val="center"/>
            </w:pPr>
            <w:r w:rsidRPr="00A05C13">
              <w:t>4,500</w:t>
            </w:r>
          </w:p>
        </w:tc>
      </w:tr>
    </w:tbl>
    <w:p w14:paraId="2BABE5C6" w14:textId="29AF9F3F" w:rsidR="00A05C13" w:rsidRDefault="00A05C13" w:rsidP="00C608EB">
      <w:r>
        <w:t xml:space="preserve">Source: </w:t>
      </w:r>
      <w:r w:rsidRPr="00A05C13">
        <w:t>S</w:t>
      </w:r>
      <w:r w:rsidR="007A6668">
        <w:t xml:space="preserve">cottish </w:t>
      </w:r>
      <w:r w:rsidRPr="00A05C13">
        <w:t>G</w:t>
      </w:r>
      <w:r w:rsidR="007A6668">
        <w:t>overnment</w:t>
      </w:r>
      <w:r w:rsidRPr="00A05C13">
        <w:t xml:space="preserve"> Growth Sector Statistics</w:t>
      </w:r>
    </w:p>
    <w:p w14:paraId="4869E1C3" w14:textId="227BE61A" w:rsidR="00A05C13" w:rsidRDefault="00A05C13" w:rsidP="00C608EB"/>
    <w:p w14:paraId="4471E2DE" w14:textId="5C66D796" w:rsidR="00A05C13" w:rsidRDefault="00A05C13" w:rsidP="00A05C13">
      <w:pPr>
        <w:pStyle w:val="Heading2"/>
        <w:numPr>
          <w:ilvl w:val="2"/>
          <w:numId w:val="4"/>
        </w:numPr>
        <w:spacing w:after="240"/>
      </w:pPr>
      <w:bookmarkStart w:id="110" w:name="_Toc519088642"/>
      <w:r>
        <w:t>Tourism</w:t>
      </w:r>
      <w:bookmarkEnd w:id="110"/>
      <w:r>
        <w:t xml:space="preserve"> </w:t>
      </w:r>
    </w:p>
    <w:p w14:paraId="42CA27D4" w14:textId="226E7959" w:rsidR="00A05C13" w:rsidRDefault="00A05C13" w:rsidP="00A05C13">
      <w:r w:rsidRPr="00A05C13">
        <w:rPr>
          <w:b/>
        </w:rPr>
        <w:t>Hotel rates</w:t>
      </w:r>
      <w:r>
        <w:t>:  Between December 2014 and Q1 of 2017, the average price for a hotel room in Aberdeen dropped from £92.87 to £60.56.</w:t>
      </w:r>
    </w:p>
    <w:p w14:paraId="7B4868AC" w14:textId="77777777" w:rsidR="00A05C13" w:rsidRPr="00A05C13" w:rsidRDefault="00A05C13" w:rsidP="00A05C13"/>
    <w:p w14:paraId="5A5EB781" w14:textId="6782EFA0" w:rsidR="00A05C13" w:rsidRDefault="00A05C13" w:rsidP="00C608EB">
      <w:r>
        <w:rPr>
          <w:noProof/>
        </w:rPr>
        <w:drawing>
          <wp:inline distT="0" distB="0" distL="0" distR="0" wp14:anchorId="252FAC83" wp14:editId="759F52FF">
            <wp:extent cx="5311140" cy="2886324"/>
            <wp:effectExtent l="0" t="0" r="3810" b="9525"/>
            <wp:docPr id="245" name="Chart 245">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48DEA7F3" w14:textId="056E8386" w:rsidR="00A05C13" w:rsidRDefault="00A05C13" w:rsidP="00C608EB">
      <w:r>
        <w:t>Source: (Jamie), SG Growth Sector Statistics</w:t>
      </w:r>
    </w:p>
    <w:p w14:paraId="7BB870FC" w14:textId="3DC96482" w:rsidR="00E42A8A" w:rsidRDefault="00E42A8A" w:rsidP="00C608EB"/>
    <w:p w14:paraId="7221B6A0" w14:textId="2120304C" w:rsidR="00E42A8A" w:rsidRDefault="00E42A8A" w:rsidP="00C608EB">
      <w:r w:rsidRPr="00E42A8A">
        <w:rPr>
          <w:b/>
        </w:rPr>
        <w:t xml:space="preserve">Air passengers:  </w:t>
      </w:r>
      <w:r w:rsidRPr="00E42A8A">
        <w:t>In 201</w:t>
      </w:r>
      <w:r w:rsidR="00081D78">
        <w:t>6</w:t>
      </w:r>
      <w:r w:rsidRPr="00E42A8A">
        <w:t xml:space="preserve"> there were</w:t>
      </w:r>
      <w:r>
        <w:rPr>
          <w:b/>
        </w:rPr>
        <w:t xml:space="preserve"> </w:t>
      </w:r>
      <w:r w:rsidR="00081D78">
        <w:t>2.96</w:t>
      </w:r>
      <w:r>
        <w:t xml:space="preserve"> million air passengers through Aberdeen Airport. This is a drop of </w:t>
      </w:r>
      <w:r w:rsidR="00081D78">
        <w:t>20.4</w:t>
      </w:r>
      <w:r>
        <w:t>% on the numbers from 2014 (3.72 million).</w:t>
      </w:r>
    </w:p>
    <w:p w14:paraId="6AE98523" w14:textId="0EC6833E" w:rsidR="00DA3F6B" w:rsidRDefault="00DA3F6B" w:rsidP="00C608EB"/>
    <w:p w14:paraId="0D9D7657" w14:textId="6EA88B8E" w:rsidR="00DA3F6B" w:rsidRDefault="00DA3F6B" w:rsidP="00DA3F6B">
      <w:r>
        <w:rPr>
          <w:noProof/>
        </w:rPr>
        <w:lastRenderedPageBreak/>
        <w:drawing>
          <wp:inline distT="0" distB="0" distL="0" distR="0" wp14:anchorId="6508675F" wp14:editId="0E729BA7">
            <wp:extent cx="4572000" cy="2743200"/>
            <wp:effectExtent l="0" t="0" r="0" b="0"/>
            <wp:docPr id="255" name="Chart 255">
              <a:extLst xmlns:a="http://schemas.openxmlformats.org/drawingml/2006/main">
                <a:ext uri="{FF2B5EF4-FFF2-40B4-BE49-F238E27FC236}">
                  <a16:creationId xmlns:a16="http://schemas.microsoft.com/office/drawing/2014/main" id="{4C5602C8-DDFA-41AD-B24F-22C2851C0D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3785EB6D" w14:textId="5BDEBE8A" w:rsidR="00081D78" w:rsidRPr="00DA3F6B" w:rsidRDefault="00081D78" w:rsidP="00C608EB">
      <w:pPr>
        <w:rPr>
          <w:sz w:val="16"/>
          <w:szCs w:val="16"/>
        </w:rPr>
      </w:pPr>
      <w:r w:rsidRPr="00DA3F6B">
        <w:rPr>
          <w:b/>
          <w:sz w:val="16"/>
          <w:szCs w:val="16"/>
        </w:rPr>
        <w:t>Source:</w:t>
      </w:r>
      <w:r w:rsidRPr="00DA3F6B">
        <w:rPr>
          <w:sz w:val="16"/>
          <w:szCs w:val="16"/>
        </w:rPr>
        <w:t xml:space="preserve"> Transport Scotland, Scottish Transport</w:t>
      </w:r>
      <w:r w:rsidR="00DA3F6B" w:rsidRPr="00DA3F6B">
        <w:rPr>
          <w:sz w:val="16"/>
          <w:szCs w:val="16"/>
        </w:rPr>
        <w:t xml:space="preserve"> Statistics, available at: </w:t>
      </w:r>
      <w:r w:rsidRPr="00DA3F6B">
        <w:rPr>
          <w:sz w:val="16"/>
          <w:szCs w:val="16"/>
        </w:rPr>
        <w:t xml:space="preserve"> </w:t>
      </w:r>
      <w:hyperlink r:id="rId187" w:history="1">
        <w:r w:rsidR="00DA3F6B" w:rsidRPr="00DA3F6B">
          <w:rPr>
            <w:rStyle w:val="Hyperlink"/>
            <w:sz w:val="16"/>
            <w:szCs w:val="16"/>
          </w:rPr>
          <w:t>https://www.transport.gov.scot/publication/scottish-transport-statistics-no-36-datasets/</w:t>
        </w:r>
      </w:hyperlink>
      <w:r w:rsidR="00DA3F6B" w:rsidRPr="00DA3F6B">
        <w:rPr>
          <w:sz w:val="16"/>
          <w:szCs w:val="16"/>
        </w:rPr>
        <w:t xml:space="preserve"> </w:t>
      </w:r>
    </w:p>
    <w:p w14:paraId="0A927A0F" w14:textId="531C39EF" w:rsidR="004942AF" w:rsidRDefault="004942AF" w:rsidP="00C608EB"/>
    <w:p w14:paraId="7CE75578" w14:textId="18C7514E" w:rsidR="007A6668" w:rsidRPr="00E42A8A" w:rsidRDefault="007A6668" w:rsidP="00C608EB">
      <w:r w:rsidRPr="007A6668">
        <w:rPr>
          <w:b/>
        </w:rPr>
        <w:t>Number of tourists:</w:t>
      </w:r>
      <w:r>
        <w:t xml:space="preserve">  to follow</w:t>
      </w:r>
    </w:p>
    <w:p w14:paraId="285E2EDB" w14:textId="72947015" w:rsidR="004942AF" w:rsidRPr="00C608EB" w:rsidRDefault="00A5175B" w:rsidP="00C608EB">
      <w:r>
        <w:t xml:space="preserve">                                      </w:t>
      </w:r>
    </w:p>
    <w:p w14:paraId="36C3DE96" w14:textId="6500EFA1" w:rsidR="0098768E" w:rsidRDefault="0098768E" w:rsidP="0098768E">
      <w:pPr>
        <w:pStyle w:val="Heading2"/>
        <w:numPr>
          <w:ilvl w:val="2"/>
          <w:numId w:val="4"/>
        </w:numPr>
        <w:spacing w:after="240"/>
      </w:pPr>
      <w:bookmarkStart w:id="111" w:name="_Toc519088643"/>
      <w:r>
        <w:t>Oil and Gas</w:t>
      </w:r>
      <w:bookmarkEnd w:id="111"/>
    </w:p>
    <w:p w14:paraId="6C25BEB6" w14:textId="2490156A" w:rsidR="0098768E" w:rsidRDefault="007A6668" w:rsidP="0098768E">
      <w:r>
        <w:t>To follow.</w:t>
      </w:r>
    </w:p>
    <w:p w14:paraId="46925BB3" w14:textId="77777777" w:rsidR="007A6668" w:rsidRPr="0098768E" w:rsidRDefault="007A6668" w:rsidP="0098768E"/>
    <w:p w14:paraId="727AFF0A" w14:textId="7865DEE5" w:rsidR="00C06D58" w:rsidRDefault="0098768E" w:rsidP="00C06D58">
      <w:r w:rsidRPr="0098768E">
        <w:rPr>
          <w:noProof/>
        </w:rPr>
        <w:drawing>
          <wp:inline distT="0" distB="0" distL="0" distR="0" wp14:anchorId="1C55E354" wp14:editId="44B5C6D4">
            <wp:extent cx="4286250" cy="3664424"/>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292276" cy="3669576"/>
                    </a:xfrm>
                    <a:prstGeom prst="rect">
                      <a:avLst/>
                    </a:prstGeom>
                  </pic:spPr>
                </pic:pic>
              </a:graphicData>
            </a:graphic>
          </wp:inline>
        </w:drawing>
      </w:r>
    </w:p>
    <w:p w14:paraId="7724E230" w14:textId="0B408FA0" w:rsidR="0098768E" w:rsidRDefault="0098768E" w:rsidP="00C06D58">
      <w:r>
        <w:t xml:space="preserve">Source:  </w:t>
      </w:r>
      <w:hyperlink r:id="rId189" w:history="1">
        <w:r w:rsidR="00FE1C04" w:rsidRPr="00FC6F1C">
          <w:rPr>
            <w:rStyle w:val="Hyperlink"/>
          </w:rPr>
          <w:t>https://www.nasdaq.com/markets/crude-oil-brent.aspx?timeframe=4y</w:t>
        </w:r>
      </w:hyperlink>
      <w:r w:rsidR="00FE1C04">
        <w:t xml:space="preserve"> (18</w:t>
      </w:r>
      <w:r w:rsidR="00FE1C04" w:rsidRPr="00FE1C04">
        <w:rPr>
          <w:vertAlign w:val="superscript"/>
        </w:rPr>
        <w:t>th</w:t>
      </w:r>
      <w:r w:rsidR="00FE1C04">
        <w:t xml:space="preserve"> June 2018)</w:t>
      </w:r>
    </w:p>
    <w:p w14:paraId="349A5B2F" w14:textId="3FAFED85" w:rsidR="00FE1C04" w:rsidRDefault="00FE1C04" w:rsidP="00C06D58"/>
    <w:p w14:paraId="5B37E640" w14:textId="7E3B54BC" w:rsidR="00FE1C04" w:rsidRDefault="00FE1C04" w:rsidP="00C06D58">
      <w:r w:rsidRPr="00FE1C04">
        <w:rPr>
          <w:b/>
        </w:rPr>
        <w:lastRenderedPageBreak/>
        <w:t xml:space="preserve">Employment:  </w:t>
      </w:r>
      <w:r w:rsidRPr="00FE1C04">
        <w:t>The</w:t>
      </w:r>
      <w:r>
        <w:rPr>
          <w:b/>
        </w:rPr>
        <w:t xml:space="preserve"> </w:t>
      </w:r>
      <w:r w:rsidRPr="00FE1C04">
        <w:t>latest</w:t>
      </w:r>
      <w:r>
        <w:rPr>
          <w:b/>
        </w:rPr>
        <w:t xml:space="preserve"> </w:t>
      </w:r>
      <w:r w:rsidRPr="00FE1C04">
        <w:t>Oil and Gas UK</w:t>
      </w:r>
      <w:r>
        <w:rPr>
          <w:b/>
        </w:rPr>
        <w:t xml:space="preserve"> </w:t>
      </w:r>
      <w:r>
        <w:t xml:space="preserve">Economic Report estimates </w:t>
      </w:r>
      <w:r w:rsidRPr="00FE1C04">
        <w:t xml:space="preserve">that in 2017 there </w:t>
      </w:r>
      <w:r>
        <w:t xml:space="preserve">were 28,300 people in the UK who were directly employed in the Oil and Gas sector.  This is a drop of 31.5% from the total number directly employed in the sector in 2014 (41,300).  In the same period the number indirectly supported has fallen from 206,100 to 141,900 – a drop of 31.1%.  </w:t>
      </w:r>
    </w:p>
    <w:p w14:paraId="558F2385" w14:textId="6AEF67B6" w:rsidR="007B1F2D" w:rsidRDefault="007B1F2D" w:rsidP="00C06D58"/>
    <w:p w14:paraId="597DC833" w14:textId="14828FAB" w:rsidR="00C608EB" w:rsidRDefault="003370E9" w:rsidP="003370E9">
      <w:pPr>
        <w:pStyle w:val="Heading2"/>
        <w:numPr>
          <w:ilvl w:val="1"/>
          <w:numId w:val="4"/>
        </w:numPr>
        <w:spacing w:after="240"/>
      </w:pPr>
      <w:bookmarkStart w:id="112" w:name="_Toc519088644"/>
      <w:r>
        <w:t>Universities</w:t>
      </w:r>
      <w:bookmarkEnd w:id="112"/>
    </w:p>
    <w:p w14:paraId="5C62EAB2" w14:textId="672B69A3" w:rsidR="00F40A23" w:rsidRDefault="00875DD2" w:rsidP="00F40A23">
      <w:r>
        <w:t>Aberdeen is home to two major universities, University of Aberdeen and Robert Gordon University as well as a further education college, North East Scotland College.  The total number of students in 2017/18 was 41,684 (includes full-time and part-time).</w:t>
      </w:r>
    </w:p>
    <w:p w14:paraId="4EDC0D1F" w14:textId="77777777" w:rsidR="00875DD2" w:rsidRDefault="00875DD2" w:rsidP="00F40A23"/>
    <w:tbl>
      <w:tblPr>
        <w:tblStyle w:val="TableGrid"/>
        <w:tblW w:w="0" w:type="auto"/>
        <w:tblInd w:w="704" w:type="dxa"/>
        <w:tblLayout w:type="fixed"/>
        <w:tblLook w:val="04A0" w:firstRow="1" w:lastRow="0" w:firstColumn="1" w:lastColumn="0" w:noHBand="0" w:noVBand="1"/>
      </w:tblPr>
      <w:tblGrid>
        <w:gridCol w:w="2835"/>
        <w:gridCol w:w="1456"/>
        <w:gridCol w:w="1457"/>
        <w:gridCol w:w="1457"/>
      </w:tblGrid>
      <w:tr w:rsidR="00875DD2" w:rsidRPr="00875DD2" w14:paraId="57AD649E" w14:textId="77777777" w:rsidTr="00875DD2">
        <w:trPr>
          <w:trHeight w:val="300"/>
        </w:trPr>
        <w:tc>
          <w:tcPr>
            <w:tcW w:w="7205" w:type="dxa"/>
            <w:gridSpan w:val="4"/>
            <w:noWrap/>
            <w:hideMark/>
          </w:tcPr>
          <w:p w14:paraId="284017A3" w14:textId="77777777" w:rsidR="00875DD2" w:rsidRPr="00875DD2" w:rsidRDefault="00875DD2" w:rsidP="00875DD2">
            <w:pPr>
              <w:ind w:left="0"/>
              <w:rPr>
                <w:b/>
                <w:bCs/>
              </w:rPr>
            </w:pPr>
            <w:r w:rsidRPr="00875DD2">
              <w:rPr>
                <w:b/>
                <w:bCs/>
              </w:rPr>
              <w:t>Further &amp; higher education student numbers, 2017/18</w:t>
            </w:r>
          </w:p>
        </w:tc>
      </w:tr>
      <w:tr w:rsidR="00875DD2" w:rsidRPr="00875DD2" w14:paraId="430577A0" w14:textId="77777777" w:rsidTr="00875DD2">
        <w:trPr>
          <w:trHeight w:val="300"/>
        </w:trPr>
        <w:tc>
          <w:tcPr>
            <w:tcW w:w="2835" w:type="dxa"/>
            <w:noWrap/>
            <w:hideMark/>
          </w:tcPr>
          <w:p w14:paraId="31F9D698" w14:textId="77777777" w:rsidR="00875DD2" w:rsidRPr="00875DD2" w:rsidRDefault="00875DD2" w:rsidP="00875DD2">
            <w:pPr>
              <w:ind w:left="0"/>
            </w:pPr>
          </w:p>
        </w:tc>
        <w:tc>
          <w:tcPr>
            <w:tcW w:w="1456" w:type="dxa"/>
            <w:noWrap/>
            <w:vAlign w:val="center"/>
            <w:hideMark/>
          </w:tcPr>
          <w:p w14:paraId="58AA4CD9" w14:textId="77777777" w:rsidR="00875DD2" w:rsidRPr="00875DD2" w:rsidRDefault="00875DD2" w:rsidP="00875DD2">
            <w:pPr>
              <w:ind w:left="0"/>
              <w:jc w:val="center"/>
            </w:pPr>
          </w:p>
        </w:tc>
        <w:tc>
          <w:tcPr>
            <w:tcW w:w="1457" w:type="dxa"/>
            <w:noWrap/>
            <w:vAlign w:val="center"/>
            <w:hideMark/>
          </w:tcPr>
          <w:p w14:paraId="1853138D" w14:textId="77777777" w:rsidR="00875DD2" w:rsidRPr="00875DD2" w:rsidRDefault="00875DD2" w:rsidP="00875DD2">
            <w:pPr>
              <w:ind w:left="0"/>
              <w:jc w:val="center"/>
            </w:pPr>
          </w:p>
        </w:tc>
        <w:tc>
          <w:tcPr>
            <w:tcW w:w="1457" w:type="dxa"/>
            <w:noWrap/>
            <w:vAlign w:val="center"/>
            <w:hideMark/>
          </w:tcPr>
          <w:p w14:paraId="4621BF38" w14:textId="77777777" w:rsidR="00875DD2" w:rsidRPr="00875DD2" w:rsidRDefault="00875DD2" w:rsidP="00875DD2">
            <w:pPr>
              <w:ind w:left="0"/>
              <w:jc w:val="center"/>
            </w:pPr>
          </w:p>
        </w:tc>
      </w:tr>
      <w:tr w:rsidR="00875DD2" w:rsidRPr="00875DD2" w14:paraId="3F59878B" w14:textId="77777777" w:rsidTr="00875DD2">
        <w:trPr>
          <w:trHeight w:val="300"/>
        </w:trPr>
        <w:tc>
          <w:tcPr>
            <w:tcW w:w="2835" w:type="dxa"/>
            <w:noWrap/>
            <w:hideMark/>
          </w:tcPr>
          <w:p w14:paraId="43CB1B2D" w14:textId="77777777" w:rsidR="00875DD2" w:rsidRPr="00875DD2" w:rsidRDefault="00875DD2" w:rsidP="00875DD2">
            <w:pPr>
              <w:ind w:left="0"/>
              <w:rPr>
                <w:b/>
                <w:bCs/>
              </w:rPr>
            </w:pPr>
            <w:r w:rsidRPr="00875DD2">
              <w:rPr>
                <w:b/>
                <w:bCs/>
              </w:rPr>
              <w:t>Name of Institution</w:t>
            </w:r>
          </w:p>
        </w:tc>
        <w:tc>
          <w:tcPr>
            <w:tcW w:w="1456" w:type="dxa"/>
            <w:noWrap/>
            <w:vAlign w:val="center"/>
            <w:hideMark/>
          </w:tcPr>
          <w:p w14:paraId="61DE7652" w14:textId="77777777" w:rsidR="00875DD2" w:rsidRPr="00875DD2" w:rsidRDefault="00875DD2" w:rsidP="00875DD2">
            <w:pPr>
              <w:ind w:left="0"/>
              <w:jc w:val="center"/>
              <w:rPr>
                <w:b/>
                <w:bCs/>
              </w:rPr>
            </w:pPr>
            <w:r w:rsidRPr="00875DD2">
              <w:rPr>
                <w:b/>
                <w:bCs/>
              </w:rPr>
              <w:t>Total</w:t>
            </w:r>
          </w:p>
        </w:tc>
        <w:tc>
          <w:tcPr>
            <w:tcW w:w="1457" w:type="dxa"/>
            <w:noWrap/>
            <w:vAlign w:val="center"/>
            <w:hideMark/>
          </w:tcPr>
          <w:p w14:paraId="2E6E13FD" w14:textId="77777777" w:rsidR="00875DD2" w:rsidRPr="00875DD2" w:rsidRDefault="00875DD2" w:rsidP="00875DD2">
            <w:pPr>
              <w:ind w:left="0"/>
              <w:jc w:val="center"/>
              <w:rPr>
                <w:b/>
                <w:bCs/>
              </w:rPr>
            </w:pPr>
            <w:r w:rsidRPr="00875DD2">
              <w:rPr>
                <w:b/>
                <w:bCs/>
              </w:rPr>
              <w:t>Full time</w:t>
            </w:r>
          </w:p>
        </w:tc>
        <w:tc>
          <w:tcPr>
            <w:tcW w:w="1457" w:type="dxa"/>
            <w:noWrap/>
            <w:vAlign w:val="center"/>
            <w:hideMark/>
          </w:tcPr>
          <w:p w14:paraId="50018F7A" w14:textId="77777777" w:rsidR="00875DD2" w:rsidRPr="00875DD2" w:rsidRDefault="00875DD2" w:rsidP="00875DD2">
            <w:pPr>
              <w:ind w:left="0"/>
              <w:jc w:val="center"/>
              <w:rPr>
                <w:b/>
                <w:bCs/>
              </w:rPr>
            </w:pPr>
            <w:r w:rsidRPr="00875DD2">
              <w:rPr>
                <w:b/>
                <w:bCs/>
              </w:rPr>
              <w:t>Part time</w:t>
            </w:r>
          </w:p>
        </w:tc>
      </w:tr>
      <w:tr w:rsidR="00875DD2" w:rsidRPr="00875DD2" w14:paraId="2764055A" w14:textId="77777777" w:rsidTr="00875DD2">
        <w:trPr>
          <w:trHeight w:val="300"/>
        </w:trPr>
        <w:tc>
          <w:tcPr>
            <w:tcW w:w="2835" w:type="dxa"/>
            <w:noWrap/>
            <w:hideMark/>
          </w:tcPr>
          <w:p w14:paraId="68B1BB22" w14:textId="77777777" w:rsidR="00875DD2" w:rsidRPr="00875DD2" w:rsidRDefault="00875DD2" w:rsidP="00875DD2">
            <w:pPr>
              <w:ind w:left="0"/>
            </w:pPr>
            <w:r w:rsidRPr="00875DD2">
              <w:t>University of Aberdeen</w:t>
            </w:r>
          </w:p>
        </w:tc>
        <w:tc>
          <w:tcPr>
            <w:tcW w:w="1456" w:type="dxa"/>
            <w:noWrap/>
            <w:vAlign w:val="center"/>
            <w:hideMark/>
          </w:tcPr>
          <w:p w14:paraId="0564E6D0" w14:textId="4C6FA03B" w:rsidR="00875DD2" w:rsidRPr="00875DD2" w:rsidRDefault="00875DD2" w:rsidP="00875DD2">
            <w:pPr>
              <w:ind w:left="0"/>
              <w:jc w:val="center"/>
            </w:pPr>
            <w:r w:rsidRPr="00875DD2">
              <w:t>14,793</w:t>
            </w:r>
          </w:p>
        </w:tc>
        <w:tc>
          <w:tcPr>
            <w:tcW w:w="1457" w:type="dxa"/>
            <w:noWrap/>
            <w:vAlign w:val="center"/>
            <w:hideMark/>
          </w:tcPr>
          <w:p w14:paraId="0AF77CC7" w14:textId="761A6693" w:rsidR="00875DD2" w:rsidRPr="00875DD2" w:rsidRDefault="00875DD2" w:rsidP="00875DD2">
            <w:pPr>
              <w:ind w:left="0"/>
              <w:jc w:val="center"/>
            </w:pPr>
            <w:r w:rsidRPr="00875DD2">
              <w:t>12,814</w:t>
            </w:r>
          </w:p>
        </w:tc>
        <w:tc>
          <w:tcPr>
            <w:tcW w:w="1457" w:type="dxa"/>
            <w:noWrap/>
            <w:vAlign w:val="center"/>
            <w:hideMark/>
          </w:tcPr>
          <w:p w14:paraId="537A8F25" w14:textId="7A29817C" w:rsidR="00875DD2" w:rsidRPr="00875DD2" w:rsidRDefault="00875DD2" w:rsidP="00875DD2">
            <w:pPr>
              <w:ind w:left="0"/>
              <w:jc w:val="center"/>
            </w:pPr>
            <w:r w:rsidRPr="00875DD2">
              <w:t>1,979</w:t>
            </w:r>
          </w:p>
        </w:tc>
      </w:tr>
      <w:tr w:rsidR="00875DD2" w:rsidRPr="00875DD2" w14:paraId="7639E86B" w14:textId="77777777" w:rsidTr="00875DD2">
        <w:trPr>
          <w:trHeight w:val="300"/>
        </w:trPr>
        <w:tc>
          <w:tcPr>
            <w:tcW w:w="2835" w:type="dxa"/>
            <w:noWrap/>
            <w:hideMark/>
          </w:tcPr>
          <w:p w14:paraId="432E219D" w14:textId="77777777" w:rsidR="00875DD2" w:rsidRPr="00875DD2" w:rsidRDefault="00875DD2" w:rsidP="00875DD2">
            <w:pPr>
              <w:ind w:left="0"/>
            </w:pPr>
            <w:r w:rsidRPr="00875DD2">
              <w:t>Robert Gordon University</w:t>
            </w:r>
          </w:p>
        </w:tc>
        <w:tc>
          <w:tcPr>
            <w:tcW w:w="1456" w:type="dxa"/>
            <w:noWrap/>
            <w:vAlign w:val="center"/>
            <w:hideMark/>
          </w:tcPr>
          <w:p w14:paraId="5BCC6EA8" w14:textId="7455896C" w:rsidR="00875DD2" w:rsidRPr="00875DD2" w:rsidRDefault="00875DD2" w:rsidP="00875DD2">
            <w:pPr>
              <w:ind w:left="0"/>
              <w:jc w:val="center"/>
            </w:pPr>
            <w:r w:rsidRPr="00875DD2">
              <w:t>15,338</w:t>
            </w:r>
          </w:p>
        </w:tc>
        <w:tc>
          <w:tcPr>
            <w:tcW w:w="1457" w:type="dxa"/>
            <w:noWrap/>
            <w:vAlign w:val="center"/>
            <w:hideMark/>
          </w:tcPr>
          <w:p w14:paraId="4CBE0F14" w14:textId="7F440FBE" w:rsidR="00875DD2" w:rsidRPr="00875DD2" w:rsidRDefault="00875DD2" w:rsidP="00875DD2">
            <w:pPr>
              <w:ind w:left="0"/>
              <w:jc w:val="center"/>
            </w:pPr>
            <w:r w:rsidRPr="00875DD2">
              <w:t>10,379</w:t>
            </w:r>
          </w:p>
        </w:tc>
        <w:tc>
          <w:tcPr>
            <w:tcW w:w="1457" w:type="dxa"/>
            <w:noWrap/>
            <w:vAlign w:val="center"/>
            <w:hideMark/>
          </w:tcPr>
          <w:p w14:paraId="32554942" w14:textId="7CC1E8D9" w:rsidR="00875DD2" w:rsidRPr="00875DD2" w:rsidRDefault="00875DD2" w:rsidP="00875DD2">
            <w:pPr>
              <w:ind w:left="0"/>
              <w:jc w:val="center"/>
            </w:pPr>
            <w:r w:rsidRPr="00875DD2">
              <w:t>4,959</w:t>
            </w:r>
          </w:p>
        </w:tc>
      </w:tr>
      <w:tr w:rsidR="00875DD2" w:rsidRPr="00875DD2" w14:paraId="6CB1EF53" w14:textId="77777777" w:rsidTr="00875DD2">
        <w:trPr>
          <w:trHeight w:val="300"/>
        </w:trPr>
        <w:tc>
          <w:tcPr>
            <w:tcW w:w="2835" w:type="dxa"/>
            <w:noWrap/>
            <w:hideMark/>
          </w:tcPr>
          <w:p w14:paraId="269655B9" w14:textId="77777777" w:rsidR="00875DD2" w:rsidRPr="00875DD2" w:rsidRDefault="00875DD2" w:rsidP="00875DD2">
            <w:pPr>
              <w:ind w:left="0"/>
            </w:pPr>
            <w:r w:rsidRPr="00875DD2">
              <w:t>North East Scotland College</w:t>
            </w:r>
          </w:p>
        </w:tc>
        <w:tc>
          <w:tcPr>
            <w:tcW w:w="1456" w:type="dxa"/>
            <w:noWrap/>
            <w:vAlign w:val="center"/>
            <w:hideMark/>
          </w:tcPr>
          <w:p w14:paraId="70634FA1" w14:textId="6EB4BCD8" w:rsidR="00875DD2" w:rsidRPr="00875DD2" w:rsidRDefault="00875DD2" w:rsidP="00875DD2">
            <w:pPr>
              <w:ind w:left="0"/>
              <w:jc w:val="center"/>
            </w:pPr>
            <w:r w:rsidRPr="00875DD2">
              <w:t>11,553</w:t>
            </w:r>
          </w:p>
        </w:tc>
        <w:tc>
          <w:tcPr>
            <w:tcW w:w="1457" w:type="dxa"/>
            <w:noWrap/>
            <w:vAlign w:val="center"/>
            <w:hideMark/>
          </w:tcPr>
          <w:p w14:paraId="2CF2C0E3" w14:textId="541B87E2" w:rsidR="00875DD2" w:rsidRPr="00875DD2" w:rsidRDefault="00875DD2" w:rsidP="00875DD2">
            <w:pPr>
              <w:ind w:left="0"/>
              <w:jc w:val="center"/>
            </w:pPr>
            <w:r w:rsidRPr="00875DD2">
              <w:t>6,736</w:t>
            </w:r>
          </w:p>
        </w:tc>
        <w:tc>
          <w:tcPr>
            <w:tcW w:w="1457" w:type="dxa"/>
            <w:noWrap/>
            <w:vAlign w:val="center"/>
            <w:hideMark/>
          </w:tcPr>
          <w:p w14:paraId="77DE7F6E" w14:textId="033BDF74" w:rsidR="00875DD2" w:rsidRPr="00875DD2" w:rsidRDefault="00875DD2" w:rsidP="00875DD2">
            <w:pPr>
              <w:ind w:left="0"/>
              <w:jc w:val="center"/>
            </w:pPr>
            <w:r w:rsidRPr="00875DD2">
              <w:t>4,817</w:t>
            </w:r>
          </w:p>
        </w:tc>
      </w:tr>
    </w:tbl>
    <w:p w14:paraId="614B031E" w14:textId="3FEA6AB5" w:rsidR="00875DD2" w:rsidRPr="00EA1BC3" w:rsidRDefault="00875DD2">
      <w:pPr>
        <w:rPr>
          <w:sz w:val="16"/>
          <w:szCs w:val="16"/>
        </w:rPr>
      </w:pPr>
      <w:r w:rsidRPr="00EA1BC3">
        <w:rPr>
          <w:iCs/>
          <w:sz w:val="16"/>
          <w:szCs w:val="16"/>
        </w:rPr>
        <w:t>Source: Aberdeen University, Robert Gordon University, North East Scotland College</w:t>
      </w:r>
    </w:p>
    <w:p w14:paraId="41B7744F" w14:textId="77777777" w:rsidR="00875DD2" w:rsidRPr="00F40A23" w:rsidRDefault="00875DD2" w:rsidP="00F40A23"/>
    <w:p w14:paraId="28761407" w14:textId="77777777" w:rsidR="00C2653A" w:rsidRPr="00FE1C04" w:rsidRDefault="00C2653A" w:rsidP="00C06D58"/>
    <w:p w14:paraId="60AEBA7C" w14:textId="7C2BD107" w:rsidR="002C3028" w:rsidRDefault="002C3028" w:rsidP="00BC3178">
      <w:pPr>
        <w:pStyle w:val="Heading2"/>
        <w:numPr>
          <w:ilvl w:val="1"/>
          <w:numId w:val="4"/>
        </w:numPr>
        <w:spacing w:after="240"/>
      </w:pPr>
      <w:bookmarkStart w:id="113" w:name="_Toc519088645"/>
      <w:r>
        <w:t>Businesses</w:t>
      </w:r>
      <w:bookmarkEnd w:id="113"/>
    </w:p>
    <w:p w14:paraId="349177D3" w14:textId="413EF0E7" w:rsidR="0050488A" w:rsidRDefault="0050488A" w:rsidP="0050488A">
      <w:pPr>
        <w:pStyle w:val="Heading2"/>
        <w:numPr>
          <w:ilvl w:val="2"/>
          <w:numId w:val="4"/>
        </w:numPr>
        <w:spacing w:after="120"/>
      </w:pPr>
      <w:bookmarkStart w:id="114" w:name="_Toc519088646"/>
      <w:r>
        <w:t>Business Count</w:t>
      </w:r>
      <w:bookmarkEnd w:id="114"/>
    </w:p>
    <w:p w14:paraId="4BAEA58E" w14:textId="12CF333E" w:rsidR="0050488A" w:rsidRDefault="0050488A" w:rsidP="0050488A">
      <w:r>
        <w:t>In 2017, there were 8,700 enterprises in Aberdeen City</w:t>
      </w:r>
      <w:r w:rsidR="000E5961">
        <w:t xml:space="preserve"> (11,485 business units)</w:t>
      </w:r>
      <w:r>
        <w:t xml:space="preserve">.  Most (85.6%) were classified as Micro (0 to 9), 11% were Small (10 to 49), 2.6% were Medium (50 to 249) and 0.7% were Large (250+).   </w:t>
      </w:r>
    </w:p>
    <w:p w14:paraId="79610878" w14:textId="77777777" w:rsidR="0050488A" w:rsidRDefault="0050488A" w:rsidP="0050488A"/>
    <w:p w14:paraId="06121281" w14:textId="77777777" w:rsidR="0050488A" w:rsidRPr="00E97DC9" w:rsidRDefault="0050488A" w:rsidP="0050488A">
      <w:r>
        <w:rPr>
          <w:noProof/>
        </w:rPr>
        <w:drawing>
          <wp:inline distT="0" distB="0" distL="0" distR="0" wp14:anchorId="62101014" wp14:editId="24C0DE98">
            <wp:extent cx="4572000" cy="2286000"/>
            <wp:effectExtent l="0" t="0" r="0" b="0"/>
            <wp:docPr id="89" name="Chart 89">
              <a:extLst xmlns:a="http://schemas.openxmlformats.org/drawingml/2006/main">
                <a:ext uri="{FF2B5EF4-FFF2-40B4-BE49-F238E27FC236}">
                  <a16:creationId xmlns:a16="http://schemas.microsoft.com/office/drawing/2014/main" id="{45D580A3-8467-4A4D-97FC-0A2CB34DCE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7E5C9123" w14:textId="46D29849" w:rsidR="0050488A" w:rsidRPr="00DD2FB6" w:rsidRDefault="0050488A" w:rsidP="0050488A">
      <w:r w:rsidRPr="00BF0A34">
        <w:rPr>
          <w:sz w:val="16"/>
          <w:szCs w:val="16"/>
        </w:rPr>
        <w:t xml:space="preserve">Source: Nomis, ONS </w:t>
      </w:r>
      <w:r>
        <w:rPr>
          <w:sz w:val="16"/>
          <w:szCs w:val="16"/>
        </w:rPr>
        <w:t xml:space="preserve">Inter Departmental </w:t>
      </w:r>
      <w:r w:rsidRPr="00BF0A34">
        <w:rPr>
          <w:sz w:val="16"/>
          <w:szCs w:val="16"/>
        </w:rPr>
        <w:t xml:space="preserve">Business Register, (Labour Market Profile); available at: </w:t>
      </w:r>
      <w:hyperlink r:id="rId191" w:anchor="ld" w:history="1">
        <w:r w:rsidRPr="00BF0A34">
          <w:rPr>
            <w:rStyle w:val="Hyperlink"/>
            <w:sz w:val="16"/>
            <w:szCs w:val="16"/>
          </w:rPr>
          <w:t>https://www.nomisweb.co.uk/reports/lmp/la/1946157405/report.aspx?#ld</w:t>
        </w:r>
      </w:hyperlink>
    </w:p>
    <w:p w14:paraId="4038E759" w14:textId="1DBA40A1" w:rsidR="0050488A" w:rsidRDefault="0050488A" w:rsidP="0050488A"/>
    <w:p w14:paraId="0D4E3157" w14:textId="0A2D32B1" w:rsidR="0050488A" w:rsidRDefault="0050488A" w:rsidP="0050488A">
      <w:r>
        <w:t xml:space="preserve">The number of businesses in Aberdeen has decreased in the last </w:t>
      </w:r>
      <w:r w:rsidR="00EF33A5">
        <w:t>two</w:t>
      </w:r>
      <w:r>
        <w:t xml:space="preserve"> years </w:t>
      </w:r>
      <w:r w:rsidR="00EF33A5">
        <w:t xml:space="preserve">- </w:t>
      </w:r>
      <w:r>
        <w:t>from 9,185 in 2015 to 8,700 in 2017.</w:t>
      </w:r>
    </w:p>
    <w:p w14:paraId="3F2576FF" w14:textId="77777777" w:rsidR="00C452D4" w:rsidRDefault="00C452D4" w:rsidP="0050488A"/>
    <w:p w14:paraId="738B2E7A" w14:textId="71D3AA2D" w:rsidR="0050488A" w:rsidRDefault="0050488A" w:rsidP="0050488A">
      <w:r>
        <w:rPr>
          <w:noProof/>
        </w:rPr>
        <w:lastRenderedPageBreak/>
        <w:drawing>
          <wp:inline distT="0" distB="0" distL="0" distR="0" wp14:anchorId="77C2C11D" wp14:editId="2BEE1D3F">
            <wp:extent cx="4523740" cy="2169994"/>
            <wp:effectExtent l="0" t="0" r="10160" b="1905"/>
            <wp:docPr id="229" name="Chart 229">
              <a:extLst xmlns:a="http://schemas.openxmlformats.org/drawingml/2006/main">
                <a:ext uri="{FF2B5EF4-FFF2-40B4-BE49-F238E27FC236}">
                  <a16:creationId xmlns:a16="http://schemas.microsoft.com/office/drawing/2014/main" id="{D2A623D9-8071-4B24-BDEA-F119E68216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1E40A7F0" w14:textId="1828F3FA" w:rsidR="0050488A" w:rsidRDefault="0050488A" w:rsidP="0050488A">
      <w:pPr>
        <w:rPr>
          <w:rStyle w:val="Hyperlink"/>
          <w:sz w:val="16"/>
          <w:szCs w:val="16"/>
        </w:rPr>
      </w:pPr>
      <w:r w:rsidRPr="0050488A">
        <w:rPr>
          <w:sz w:val="16"/>
          <w:szCs w:val="16"/>
        </w:rPr>
        <w:t xml:space="preserve">Source: Nomis, ONS Inter Departmental Business Register, (Labour Market Profile); available at: </w:t>
      </w:r>
      <w:hyperlink r:id="rId193" w:anchor="ld" w:history="1">
        <w:r w:rsidRPr="0050488A">
          <w:rPr>
            <w:rStyle w:val="Hyperlink"/>
            <w:sz w:val="16"/>
            <w:szCs w:val="16"/>
          </w:rPr>
          <w:t>https://www.nomisweb.co.uk/reports/lmp/la/1946157405/report.aspx?#ld</w:t>
        </w:r>
      </w:hyperlink>
    </w:p>
    <w:p w14:paraId="12F6A85E" w14:textId="0304FB60" w:rsidR="00C608EB" w:rsidRDefault="00C608EB" w:rsidP="0050488A">
      <w:pPr>
        <w:rPr>
          <w:sz w:val="16"/>
          <w:szCs w:val="16"/>
        </w:rPr>
      </w:pPr>
    </w:p>
    <w:p w14:paraId="712C34DD" w14:textId="77777777" w:rsidR="00C608EB" w:rsidRPr="0050488A" w:rsidRDefault="00C608EB" w:rsidP="0050488A">
      <w:pPr>
        <w:rPr>
          <w:sz w:val="16"/>
          <w:szCs w:val="16"/>
        </w:rPr>
      </w:pPr>
    </w:p>
    <w:p w14:paraId="21ED75D7" w14:textId="3135C502" w:rsidR="002C3028" w:rsidRDefault="002C3028" w:rsidP="002C3028">
      <w:pPr>
        <w:pStyle w:val="Heading2"/>
        <w:numPr>
          <w:ilvl w:val="2"/>
          <w:numId w:val="4"/>
        </w:numPr>
        <w:spacing w:after="240"/>
      </w:pPr>
      <w:bookmarkStart w:id="115" w:name="_Toc519088647"/>
      <w:r>
        <w:t>Business births and deaths</w:t>
      </w:r>
      <w:bookmarkEnd w:id="115"/>
    </w:p>
    <w:p w14:paraId="41D36297" w14:textId="0B5DB8ED" w:rsidR="002C3028" w:rsidRDefault="00DE3A2C" w:rsidP="002C3028">
      <w:r>
        <w:t xml:space="preserve">The number of new businesses </w:t>
      </w:r>
      <w:r w:rsidR="00D617E1">
        <w:t>starting each year fell</w:t>
      </w:r>
      <w:r>
        <w:t xml:space="preserve"> between 2013 and 2015, before increasing slightly between 2015 and 2016 (from 1,090 to 1,160).   </w:t>
      </w:r>
      <w:r w:rsidR="00D617E1">
        <w:t xml:space="preserve">The fall in business births has been accompanied by a sharp rise in business deaths (from 880 in 2014 to 1,570 in 2016 – an increase of 78%). </w:t>
      </w:r>
    </w:p>
    <w:p w14:paraId="258C02D6" w14:textId="29EB9CF2" w:rsidR="00D617E1" w:rsidRDefault="00D617E1" w:rsidP="002C3028"/>
    <w:p w14:paraId="4EF0ACFB" w14:textId="3076F71D" w:rsidR="00D617E1" w:rsidRPr="002C3028" w:rsidRDefault="00D617E1" w:rsidP="002C3028">
      <w:r>
        <w:t>One</w:t>
      </w:r>
      <w:r w:rsidR="007B1F2D">
        <w:t>-</w:t>
      </w:r>
      <w:r>
        <w:t xml:space="preserve">year survival rates of 2015 business births was 89% in Aberdeen compared to 90% in Scotland. </w:t>
      </w:r>
      <w:r w:rsidR="00C608EB">
        <w:t xml:space="preserve">  Five-year survival rates of 2011 business births was 53.5% in Aberdeen compared to 45.6% in Scotland.  </w:t>
      </w:r>
    </w:p>
    <w:p w14:paraId="7EF51B02" w14:textId="1A12E04C" w:rsidR="002C3028" w:rsidRDefault="002C3028" w:rsidP="002C3028"/>
    <w:p w14:paraId="3A7CBC27" w14:textId="0959D7D8" w:rsidR="002C3028" w:rsidRDefault="002C3028" w:rsidP="002C3028">
      <w:r>
        <w:rPr>
          <w:noProof/>
        </w:rPr>
        <w:drawing>
          <wp:inline distT="0" distB="0" distL="0" distR="0" wp14:anchorId="27956050" wp14:editId="56BA36FC">
            <wp:extent cx="5305425" cy="2545307"/>
            <wp:effectExtent l="0" t="0" r="9525" b="7620"/>
            <wp:docPr id="227" name="Chart 227">
              <a:extLst xmlns:a="http://schemas.openxmlformats.org/drawingml/2006/main">
                <a:ext uri="{FF2B5EF4-FFF2-40B4-BE49-F238E27FC236}">
                  <a16:creationId xmlns:a16="http://schemas.microsoft.com/office/drawing/2014/main" id="{4F483530-F5C5-4350-AB89-A66A289317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789AB43A" w14:textId="4DA75A79" w:rsidR="00D617E1" w:rsidRPr="00D617E1" w:rsidRDefault="00D617E1" w:rsidP="002C3028">
      <w:pPr>
        <w:rPr>
          <w:sz w:val="16"/>
          <w:szCs w:val="16"/>
        </w:rPr>
      </w:pPr>
      <w:r w:rsidRPr="00D617E1">
        <w:rPr>
          <w:sz w:val="16"/>
          <w:szCs w:val="16"/>
        </w:rPr>
        <w:t xml:space="preserve">Source: ONS Business Demography, available at: </w:t>
      </w:r>
      <w:hyperlink r:id="rId195" w:history="1">
        <w:r w:rsidRPr="00D617E1">
          <w:rPr>
            <w:rStyle w:val="Hyperlink"/>
            <w:sz w:val="16"/>
            <w:szCs w:val="16"/>
          </w:rPr>
          <w:t>https://www.ons.gov.uk/businessindustryandtrade/business/activitysizeandlocation/datasets/businessdemographyreferencetable</w:t>
        </w:r>
      </w:hyperlink>
      <w:r w:rsidRPr="00D617E1">
        <w:rPr>
          <w:sz w:val="16"/>
          <w:szCs w:val="16"/>
        </w:rPr>
        <w:t xml:space="preserve"> </w:t>
      </w:r>
    </w:p>
    <w:p w14:paraId="138925AE" w14:textId="2B12122F" w:rsidR="00D617E1" w:rsidRDefault="00D617E1" w:rsidP="002C3028"/>
    <w:p w14:paraId="148857C7" w14:textId="06139B84" w:rsidR="00332C18" w:rsidRDefault="00332C18" w:rsidP="002C3028"/>
    <w:p w14:paraId="3941BC31" w14:textId="2D46C619" w:rsidR="00332C18" w:rsidRDefault="00332C18" w:rsidP="002C3028">
      <w:r>
        <w:rPr>
          <w:noProof/>
        </w:rPr>
        <w:lastRenderedPageBreak/>
        <mc:AlternateContent>
          <mc:Choice Requires="wps">
            <w:drawing>
              <wp:anchor distT="45720" distB="45720" distL="114300" distR="114300" simplePos="0" relativeHeight="251674624" behindDoc="0" locked="0" layoutInCell="1" allowOverlap="1" wp14:anchorId="668C0BB2" wp14:editId="2F0BDBA2">
                <wp:simplePos x="0" y="0"/>
                <wp:positionH relativeFrom="margin">
                  <wp:align>left</wp:align>
                </wp:positionH>
                <wp:positionV relativeFrom="paragraph">
                  <wp:posOffset>231775</wp:posOffset>
                </wp:positionV>
                <wp:extent cx="5704205" cy="3200400"/>
                <wp:effectExtent l="0" t="0" r="10795" b="19050"/>
                <wp:wrapSquare wrapText="bothSides"/>
                <wp:docPr id="1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05" cy="3200400"/>
                        </a:xfrm>
                        <a:prstGeom prst="rect">
                          <a:avLst/>
                        </a:prstGeom>
                        <a:solidFill>
                          <a:srgbClr val="FFFFFF"/>
                        </a:solidFill>
                        <a:ln w="9525">
                          <a:solidFill>
                            <a:srgbClr val="000000"/>
                          </a:solidFill>
                          <a:miter lim="800000"/>
                          <a:headEnd/>
                          <a:tailEnd/>
                        </a:ln>
                      </wps:spPr>
                      <wps:txbx>
                        <w:txbxContent>
                          <w:p w14:paraId="7A9D4884" w14:textId="6BBEF61E" w:rsidR="00175103" w:rsidRDefault="00175103" w:rsidP="00332C18">
                            <w:pPr>
                              <w:ind w:left="0"/>
                            </w:pPr>
                            <w:r>
                              <w:t>In City Voice 48, respondents were asked their views about business in Aberdeen.  9% of respondents strongly agreed that Aberdeen is a good business location, with a further 52% agreeing.  34% of respondents agreed that Aberdeen is a good place to start a new business.</w:t>
                            </w:r>
                          </w:p>
                          <w:p w14:paraId="6808C830" w14:textId="77777777" w:rsidR="00175103" w:rsidRDefault="00175103" w:rsidP="00332C18">
                            <w:pPr>
                              <w:ind w:left="0"/>
                            </w:pPr>
                          </w:p>
                          <w:p w14:paraId="7EF3FAF1" w14:textId="77777777" w:rsidR="00175103" w:rsidRDefault="00175103" w:rsidP="00332C18">
                            <w:r>
                              <w:rPr>
                                <w:noProof/>
                              </w:rPr>
                              <w:drawing>
                                <wp:inline distT="0" distB="0" distL="0" distR="0" wp14:anchorId="702A3673" wp14:editId="1E77DE2E">
                                  <wp:extent cx="4271749" cy="215546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276875" cy="2158046"/>
                                          </a:xfrm>
                                          <a:prstGeom prst="rect">
                                            <a:avLst/>
                                          </a:prstGeom>
                                          <a:noFill/>
                                        </pic:spPr>
                                      </pic:pic>
                                    </a:graphicData>
                                  </a:graphic>
                                </wp:inline>
                              </w:drawing>
                            </w:r>
                          </w:p>
                          <w:p w14:paraId="70EEEDA7" w14:textId="77777777" w:rsidR="00175103" w:rsidRDefault="00175103" w:rsidP="00332C18">
                            <w:pPr>
                              <w:rPr>
                                <w:i/>
                                <w:sz w:val="18"/>
                              </w:rPr>
                            </w:pPr>
                            <w:r w:rsidRPr="00751D5A">
                              <w:rPr>
                                <w:i/>
                                <w:sz w:val="18"/>
                              </w:rPr>
                              <w:t>Source: 38 Aberdeen City Voice (Base = 556, 553, 550, 551)</w:t>
                            </w:r>
                          </w:p>
                          <w:p w14:paraId="1920147C" w14:textId="77777777" w:rsidR="00175103" w:rsidRDefault="00175103" w:rsidP="00332C18">
                            <w:pPr>
                              <w:rPr>
                                <w:i/>
                                <w:sz w:val="18"/>
                              </w:rPr>
                            </w:pPr>
                          </w:p>
                          <w:p w14:paraId="7EBE936A" w14:textId="77777777" w:rsidR="00175103" w:rsidRDefault="00175103" w:rsidP="00332C18">
                            <w:pPr>
                              <w:ind w:left="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8C0BB2" id="_x0000_s1032" type="#_x0000_t202" style="position:absolute;left:0;text-align:left;margin-left:0;margin-top:18.25pt;width:449.15pt;height:252pt;z-index:2516746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kXWKAIAAE4EAAAOAAAAZHJzL2Uyb0RvYy54bWysVNtu2zAMfR+wfxD0vthJk16MOEWXLsOA&#10;7gK0+wBalmNhsqhJSuzu60fJSRZ028swPwiiSB2R55Be3g6dZnvpvEJT8ukk50wagbUy25J/fdq8&#10;uebMBzA1aDSy5M/S89vV61fL3hZyhi3qWjpGIMYXvS15G4ItssyLVnbgJ2ilIWeDroNApttmtYOe&#10;0DudzfL8MuvR1dahkN7T6f3o5KuE3zRShM9N42VguuSUW0irS2sV12y1hGLrwLZKHNKAf8iiA2Xo&#10;0RPUPQRgO6d+g+qUcOixCROBXYZNo4RMNVA10/xFNY8tWJlqIXK8PdHk/x+s+LT/4piqSbvpBWcG&#10;OhLpSQ6BvcWBzSI/vfUFhT1aCgwDHVNsqtXbBxTfPDO4bsFs5Z1z2LcSaspvGm9mZ1dHHB9Bqv4j&#10;1vQM7AImoKFxXSSP6GCETjo9n7SJqQg6XFzl81m+4EyQ74Kkn+dJvQyK43XrfHgvsWNxU3JH4id4&#10;2D/4ENOB4hgSX/OoVb1RWifDbau1dmwP1Cib9KUKXoRpw/qS3yxmi5GBv0Lk6fsTRKcCdbxWXcmv&#10;T0FQRN7emTr1YwClxz2lrM2ByMjdyGIYqiFpdnnUp8L6mZh1ODY4DSRtWnQ/OOupuUvuv+/ASc70&#10;B0Pq3Ezn8zgNyZgvrmZkuHNPde4BIwiq5IGzcbsOaYIibwbvSMVGJX6j3GMmh5SpaRPthwGLU3Fu&#10;p6hfv4HVTwAAAP//AwBQSwMEFAAGAAgAAAAhAH1Sg0XeAAAABwEAAA8AAABkcnMvZG93bnJldi54&#10;bWxMj8FOwzAQRO9I/IO1SFwQdSBNSEM2FUIC0RsUBFc33iYR8TrYbhr+HnOC42hGM2+q9WwGMZHz&#10;vWWEq0UCgrixuucW4e314bIA4YNirQbLhPBNHtb16UmlSm2P/ELTNrQilrAvFUIXwlhK6ZuOjPIL&#10;OxJHb2+dUSFK10rt1DGWm0FeJ0kujeo5LnRqpPuOms/twSAUy6fpw2/S5/cm3w+rcHEzPX45xPOz&#10;+e4WRKA5/IXhFz+iQx2ZdvbA2osBIR4JCGmegYhusSpSEDuEbJlkIOtK/uevfwAAAP//AwBQSwEC&#10;LQAUAAYACAAAACEAtoM4kv4AAADhAQAAEwAAAAAAAAAAAAAAAAAAAAAAW0NvbnRlbnRfVHlwZXNd&#10;LnhtbFBLAQItABQABgAIAAAAIQA4/SH/1gAAAJQBAAALAAAAAAAAAAAAAAAAAC8BAABfcmVscy8u&#10;cmVsc1BLAQItABQABgAIAAAAIQDKZkXWKAIAAE4EAAAOAAAAAAAAAAAAAAAAAC4CAABkcnMvZTJv&#10;RG9jLnhtbFBLAQItABQABgAIAAAAIQB9UoNF3gAAAAcBAAAPAAAAAAAAAAAAAAAAAIIEAABkcnMv&#10;ZG93bnJldi54bWxQSwUGAAAAAAQABADzAAAAjQUAAAAA&#10;">
                <v:textbox>
                  <w:txbxContent>
                    <w:p w14:paraId="7A9D4884" w14:textId="6BBEF61E" w:rsidR="00175103" w:rsidRDefault="00175103" w:rsidP="00332C18">
                      <w:pPr>
                        <w:ind w:left="0"/>
                      </w:pPr>
                      <w:r>
                        <w:t>In City Voice 48, respondents were asked their views about business in Aberdeen.  9% of respondents strongly agreed that Aberdeen is a good business location, with a further 52% agreeing.  34% of respondents agreed that Aberdeen is a good place to start a new business.</w:t>
                      </w:r>
                    </w:p>
                    <w:p w14:paraId="6808C830" w14:textId="77777777" w:rsidR="00175103" w:rsidRDefault="00175103" w:rsidP="00332C18">
                      <w:pPr>
                        <w:ind w:left="0"/>
                      </w:pPr>
                    </w:p>
                    <w:p w14:paraId="7EF3FAF1" w14:textId="77777777" w:rsidR="00175103" w:rsidRDefault="00175103" w:rsidP="00332C18">
                      <w:r>
                        <w:rPr>
                          <w:noProof/>
                        </w:rPr>
                        <w:drawing>
                          <wp:inline distT="0" distB="0" distL="0" distR="0" wp14:anchorId="702A3673" wp14:editId="1E77DE2E">
                            <wp:extent cx="4271749" cy="215546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276875" cy="2158046"/>
                                    </a:xfrm>
                                    <a:prstGeom prst="rect">
                                      <a:avLst/>
                                    </a:prstGeom>
                                    <a:noFill/>
                                  </pic:spPr>
                                </pic:pic>
                              </a:graphicData>
                            </a:graphic>
                          </wp:inline>
                        </w:drawing>
                      </w:r>
                    </w:p>
                    <w:p w14:paraId="70EEEDA7" w14:textId="77777777" w:rsidR="00175103" w:rsidRDefault="00175103" w:rsidP="00332C18">
                      <w:pPr>
                        <w:rPr>
                          <w:i/>
                          <w:sz w:val="18"/>
                        </w:rPr>
                      </w:pPr>
                      <w:r w:rsidRPr="00751D5A">
                        <w:rPr>
                          <w:i/>
                          <w:sz w:val="18"/>
                        </w:rPr>
                        <w:t>Source: 38 Aberdeen City Voice (Base = 556, 553, 550, 551)</w:t>
                      </w:r>
                    </w:p>
                    <w:p w14:paraId="1920147C" w14:textId="77777777" w:rsidR="00175103" w:rsidRDefault="00175103" w:rsidP="00332C18">
                      <w:pPr>
                        <w:rPr>
                          <w:i/>
                          <w:sz w:val="18"/>
                        </w:rPr>
                      </w:pPr>
                    </w:p>
                    <w:p w14:paraId="7EBE936A" w14:textId="77777777" w:rsidR="00175103" w:rsidRDefault="00175103" w:rsidP="00332C18">
                      <w:pPr>
                        <w:ind w:left="0"/>
                      </w:pPr>
                    </w:p>
                  </w:txbxContent>
                </v:textbox>
                <w10:wrap type="square" anchorx="margin"/>
              </v:shape>
            </w:pict>
          </mc:Fallback>
        </mc:AlternateContent>
      </w:r>
    </w:p>
    <w:p w14:paraId="0A4BBCBC" w14:textId="1C0CAC9D" w:rsidR="00332C18" w:rsidRDefault="00332C18" w:rsidP="002C3028"/>
    <w:p w14:paraId="3822CF6B" w14:textId="3D5C029D" w:rsidR="00117712" w:rsidRDefault="00117712" w:rsidP="00012C29">
      <w:pPr>
        <w:pStyle w:val="Heading2"/>
        <w:numPr>
          <w:ilvl w:val="2"/>
          <w:numId w:val="4"/>
        </w:numPr>
        <w:spacing w:after="240"/>
      </w:pPr>
      <w:bookmarkStart w:id="116" w:name="_Toc519088648"/>
      <w:r>
        <w:t>Innovation</w:t>
      </w:r>
      <w:bookmarkEnd w:id="116"/>
    </w:p>
    <w:p w14:paraId="5FE568D9" w14:textId="5F3561F7" w:rsidR="00012C29" w:rsidRDefault="00012C29" w:rsidP="00012C29">
      <w:r w:rsidRPr="00012C29">
        <w:t xml:space="preserve">Although an imperfect measure, patent data is widely used to measure innovation. While patents do not cover all forms of innovation – they exclude process innovations, trademarks and creative innovations - it </w:t>
      </w:r>
      <w:r>
        <w:t>can act as a proxy</w:t>
      </w:r>
      <w:r w:rsidRPr="00012C29">
        <w:t>.  Figures obtained by the Centre for Cities has revealed that</w:t>
      </w:r>
      <w:r>
        <w:t xml:space="preserve"> in 2015 there were 57.3 patent applications per 100,000 population in Aberdeen City – the sixth highest rate of any UK city.  </w:t>
      </w:r>
    </w:p>
    <w:p w14:paraId="1F9FA4EE" w14:textId="447FDC9F" w:rsidR="00012C29" w:rsidRDefault="00012C29" w:rsidP="00012C29">
      <w:pPr>
        <w:rPr>
          <w:sz w:val="16"/>
          <w:szCs w:val="16"/>
        </w:rPr>
      </w:pPr>
    </w:p>
    <w:p w14:paraId="783F9E51" w14:textId="443F0F1F" w:rsidR="00EA4975" w:rsidRDefault="00EA4975" w:rsidP="00012C29">
      <w:pPr>
        <w:rPr>
          <w:sz w:val="16"/>
          <w:szCs w:val="16"/>
        </w:rPr>
      </w:pPr>
    </w:p>
    <w:p w14:paraId="4233E357" w14:textId="4B0ED76E" w:rsidR="00EA4975" w:rsidRDefault="00EA4975" w:rsidP="00012C29">
      <w:pPr>
        <w:rPr>
          <w:sz w:val="16"/>
          <w:szCs w:val="16"/>
        </w:rPr>
      </w:pPr>
      <w:r>
        <w:rPr>
          <w:noProof/>
        </w:rPr>
        <w:drawing>
          <wp:inline distT="0" distB="0" distL="0" distR="0" wp14:anchorId="5F58CA34" wp14:editId="1BE5E11E">
            <wp:extent cx="5128591" cy="2743200"/>
            <wp:effectExtent l="0" t="0" r="15240" b="0"/>
            <wp:docPr id="254" name="Chart 254">
              <a:extLst xmlns:a="http://schemas.openxmlformats.org/drawingml/2006/main">
                <a:ext uri="{FF2B5EF4-FFF2-40B4-BE49-F238E27FC236}">
                  <a16:creationId xmlns:a16="http://schemas.microsoft.com/office/drawing/2014/main" id="{E046DB65-D86A-43FF-80FB-E1C61E074A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5E99995C" w14:textId="6E99E819" w:rsidR="002B031A" w:rsidRDefault="002B031A" w:rsidP="002B031A">
      <w:pPr>
        <w:rPr>
          <w:sz w:val="16"/>
          <w:szCs w:val="16"/>
        </w:rPr>
      </w:pPr>
      <w:r w:rsidRPr="00012C29">
        <w:rPr>
          <w:sz w:val="16"/>
          <w:szCs w:val="16"/>
        </w:rPr>
        <w:t xml:space="preserve">Source: Centre for Cities, available at: </w:t>
      </w:r>
      <w:hyperlink r:id="rId198" w:anchor="graph=bar&amp;city=show-all&amp;indicator=patent-applications\\single\\2015&amp;sortOrder=high" w:history="1">
        <w:r w:rsidRPr="00012C29">
          <w:rPr>
            <w:rStyle w:val="Hyperlink"/>
            <w:sz w:val="16"/>
            <w:szCs w:val="16"/>
          </w:rPr>
          <w:t>http://www.centreforcities.org/data-tool/#graph=bar&amp;city=show-all&amp;indicator=patent-applications\\single\\2015&amp;sortOrder=high</w:t>
        </w:r>
      </w:hyperlink>
      <w:r w:rsidRPr="00012C29">
        <w:rPr>
          <w:sz w:val="16"/>
          <w:szCs w:val="16"/>
        </w:rPr>
        <w:t xml:space="preserve"> </w:t>
      </w:r>
    </w:p>
    <w:p w14:paraId="459D4A8B" w14:textId="77777777" w:rsidR="002B031A" w:rsidRDefault="002B031A" w:rsidP="002B031A">
      <w:pPr>
        <w:rPr>
          <w:sz w:val="16"/>
          <w:szCs w:val="16"/>
        </w:rPr>
      </w:pPr>
    </w:p>
    <w:p w14:paraId="136B6424" w14:textId="77777777" w:rsidR="002B031A" w:rsidRPr="00012C29" w:rsidRDefault="002B031A" w:rsidP="00012C29">
      <w:pPr>
        <w:rPr>
          <w:sz w:val="16"/>
          <w:szCs w:val="16"/>
        </w:rPr>
      </w:pPr>
    </w:p>
    <w:p w14:paraId="2AE26733" w14:textId="42099379" w:rsidR="004A6195" w:rsidRDefault="00BC3178" w:rsidP="00BC3178">
      <w:pPr>
        <w:pStyle w:val="Heading2"/>
        <w:numPr>
          <w:ilvl w:val="1"/>
          <w:numId w:val="4"/>
        </w:numPr>
        <w:spacing w:after="240"/>
      </w:pPr>
      <w:bookmarkStart w:id="117" w:name="_Toc519088649"/>
      <w:r>
        <w:lastRenderedPageBreak/>
        <w:t>Income</w:t>
      </w:r>
      <w:r w:rsidR="00EF33A5">
        <w:t xml:space="preserve"> and earnings</w:t>
      </w:r>
      <w:bookmarkEnd w:id="117"/>
    </w:p>
    <w:p w14:paraId="66F99557" w14:textId="2DF6DF74" w:rsidR="0012744B" w:rsidRDefault="003D2882" w:rsidP="0012744B">
      <w:pPr>
        <w:pStyle w:val="Heading2"/>
        <w:numPr>
          <w:ilvl w:val="2"/>
          <w:numId w:val="4"/>
        </w:numPr>
        <w:spacing w:after="240"/>
      </w:pPr>
      <w:bookmarkStart w:id="118" w:name="_Toc519088650"/>
      <w:r>
        <w:t>Average weekly wage</w:t>
      </w:r>
      <w:r w:rsidR="0012744B">
        <w:t xml:space="preserve"> by place of work</w:t>
      </w:r>
      <w:bookmarkEnd w:id="118"/>
    </w:p>
    <w:p w14:paraId="11BDE8BB" w14:textId="0654F1FF" w:rsidR="003D2882" w:rsidRDefault="003D2882" w:rsidP="003D2882">
      <w:r>
        <w:t>In 2017, the median weekly wage</w:t>
      </w:r>
      <w:r w:rsidR="00657424">
        <w:t xml:space="preserve"> (excluding overtime)</w:t>
      </w:r>
      <w:r>
        <w:t xml:space="preserve"> for a full-time worker who works in Aberdeen City was £583.90 – higher than the figure for Scotland of £547.30.  Only City of Edinburgh has a higher median weekly wage at £598.50</w:t>
      </w:r>
      <w:r w:rsidR="00F35880">
        <w:t xml:space="preserve"> for people who work there</w:t>
      </w:r>
      <w:r>
        <w:t xml:space="preserve">.  </w:t>
      </w:r>
      <w:r w:rsidR="00F35880">
        <w:t xml:space="preserve">In Aberdeen (as in Scotland as a whole) the </w:t>
      </w:r>
      <w:r>
        <w:t>median wage was higher for males (£646.30) than females (£540.80).</w:t>
      </w:r>
      <w:r w:rsidR="00F35880">
        <w:t xml:space="preserve">  </w:t>
      </w:r>
      <w:r w:rsidR="003F292C">
        <w:t xml:space="preserve"> </w:t>
      </w:r>
      <w:r w:rsidR="00657424">
        <w:t>The gap between male and female earnings is higher in Aberdeen than in Scotland (16.3% compared to 14.1%).</w:t>
      </w:r>
    </w:p>
    <w:p w14:paraId="06778C87" w14:textId="63BF7B22" w:rsidR="003F292C" w:rsidRDefault="003F292C" w:rsidP="003D2882"/>
    <w:p w14:paraId="6A923FC8" w14:textId="6CDA7654" w:rsidR="003D2882" w:rsidRDefault="00532E95" w:rsidP="003D2882">
      <w:r>
        <w:t>In contrast to trends for Scotland, s</w:t>
      </w:r>
      <w:r w:rsidR="00657424">
        <w:t xml:space="preserve">ince 2014 the median weekly wage in Aberdeen has fallen </w:t>
      </w:r>
      <w:r>
        <w:t xml:space="preserve">- </w:t>
      </w:r>
      <w:r w:rsidR="00657424">
        <w:t>from £632.30 in 2014 to £583.90 in 2017</w:t>
      </w:r>
      <w:r w:rsidR="00EC398F">
        <w:t xml:space="preserve"> (7.7%)</w:t>
      </w:r>
      <w:r w:rsidR="00657424">
        <w:t xml:space="preserve">.  The fall in weekly wage has been higher in males than in females with male earnings reducing from £693.00 in 2014 to £646.30 in 2017 (a drop of 6.7%) and female earnings falling from £555.70 in 2014 to £540.80 in 2017 (a drop of 2.7%).   </w:t>
      </w:r>
    </w:p>
    <w:p w14:paraId="7A1766E7" w14:textId="3879340A" w:rsidR="00657424" w:rsidRDefault="00657424" w:rsidP="003D2882"/>
    <w:p w14:paraId="1CCE3CBA" w14:textId="391DF840" w:rsidR="00657424" w:rsidRDefault="00657424" w:rsidP="003D2882">
      <w:r>
        <w:t>The gap between male and female earnings has reduced – from 23.7% in 2007 to 16.3% in 2017.  This is consistent with trends in Scotland where the gap between male and female earnings dropped from 20.8% to 14.1%</w:t>
      </w:r>
      <w:r w:rsidR="00532E95">
        <w:t>.</w:t>
      </w:r>
    </w:p>
    <w:p w14:paraId="667EDA05" w14:textId="60BB7960" w:rsidR="00657424" w:rsidRDefault="00657424" w:rsidP="003D2882"/>
    <w:p w14:paraId="132C4E6A" w14:textId="1A81E081" w:rsidR="00657424" w:rsidRDefault="00532E95" w:rsidP="003D2882">
      <w:r>
        <w:rPr>
          <w:noProof/>
        </w:rPr>
        <w:drawing>
          <wp:inline distT="0" distB="0" distL="0" distR="0" wp14:anchorId="038E78FA" wp14:editId="13F95742">
            <wp:extent cx="5137785" cy="2552131"/>
            <wp:effectExtent l="0" t="0" r="5715" b="635"/>
            <wp:docPr id="236" name="Chart 236">
              <a:extLst xmlns:a="http://schemas.openxmlformats.org/drawingml/2006/main">
                <a:ext uri="{FF2B5EF4-FFF2-40B4-BE49-F238E27FC236}">
                  <a16:creationId xmlns:a16="http://schemas.microsoft.com/office/drawing/2014/main" id="{3BD94CC9-7D10-4658-8FDF-CF66D12FDB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72A2CCEA" w14:textId="216A008B" w:rsidR="00657424" w:rsidRDefault="00532E95" w:rsidP="003D2882">
      <w:r w:rsidRPr="00DE1BF6">
        <w:rPr>
          <w:sz w:val="16"/>
          <w:szCs w:val="16"/>
        </w:rPr>
        <w:t xml:space="preserve">Source: NOMIS, Labour Market Profile (Annual Population Survey); available at: </w:t>
      </w:r>
      <w:hyperlink r:id="rId200" w:anchor="ls" w:history="1">
        <w:r w:rsidRPr="00DE1BF6">
          <w:rPr>
            <w:rStyle w:val="Hyperlink"/>
            <w:sz w:val="16"/>
            <w:szCs w:val="16"/>
          </w:rPr>
          <w:t>https://www.nomisweb.co.uk/reports/lmp/la/1946157405/report.aspx?#ls</w:t>
        </w:r>
      </w:hyperlink>
    </w:p>
    <w:p w14:paraId="5DCDF0D5" w14:textId="77777777" w:rsidR="003F292C" w:rsidRDefault="003F292C" w:rsidP="0012744B">
      <w:pPr>
        <w:ind w:left="0"/>
      </w:pPr>
    </w:p>
    <w:p w14:paraId="2EF0A9D8" w14:textId="7B5B66D4" w:rsidR="0012744B" w:rsidRDefault="0012744B" w:rsidP="0012744B">
      <w:pPr>
        <w:pStyle w:val="Heading2"/>
        <w:numPr>
          <w:ilvl w:val="2"/>
          <w:numId w:val="4"/>
        </w:numPr>
        <w:spacing w:after="240"/>
      </w:pPr>
      <w:bookmarkStart w:id="119" w:name="_Toc519088651"/>
      <w:r>
        <w:t>Average weekly wage b</w:t>
      </w:r>
      <w:r w:rsidR="00FF23A9" w:rsidRPr="0012744B">
        <w:t>y place of residence</w:t>
      </w:r>
      <w:bookmarkEnd w:id="119"/>
      <w:r w:rsidR="00FF23A9">
        <w:t xml:space="preserve"> </w:t>
      </w:r>
    </w:p>
    <w:p w14:paraId="79B11447" w14:textId="5369A278" w:rsidR="003D2882" w:rsidRDefault="00532E95" w:rsidP="003D2882">
      <w:r>
        <w:t xml:space="preserve">Wages for people who live in </w:t>
      </w:r>
      <w:r w:rsidR="00E5641C">
        <w:t>the City</w:t>
      </w:r>
      <w:r>
        <w:t xml:space="preserve"> are lower than those who work in the City.  </w:t>
      </w:r>
      <w:r w:rsidR="006838B4">
        <w:t>The median weekly wage for a full-time worker who lives in Aberdeen is £545.60</w:t>
      </w:r>
      <w:r w:rsidR="00117712">
        <w:t xml:space="preserve"> (compared to £583.90</w:t>
      </w:r>
      <w:r w:rsidR="00911DEE">
        <w:t xml:space="preserve"> for those who work in the City</w:t>
      </w:r>
      <w:r w:rsidR="00117712">
        <w:t>)</w:t>
      </w:r>
      <w:r>
        <w:t xml:space="preserve">.  This is </w:t>
      </w:r>
      <w:r w:rsidR="006838B4">
        <w:t xml:space="preserve">lower than the figure for Scotland of £547.30.   Again, the median weekly wage was higher for males (£563.20) than females (£516.90).  </w:t>
      </w:r>
      <w:r w:rsidR="006838B4" w:rsidRPr="007A6668">
        <w:t xml:space="preserve">(Note: </w:t>
      </w:r>
      <w:r w:rsidR="00117712" w:rsidRPr="007A6668">
        <w:t>Situation reversed in Aberdeenshire – higher residence based than work-place base wages - £566.10 compared to £514.6</w:t>
      </w:r>
      <w:r w:rsidR="001A0C13" w:rsidRPr="007A6668">
        <w:t>)</w:t>
      </w:r>
    </w:p>
    <w:p w14:paraId="2F612DB9" w14:textId="7D2808F4" w:rsidR="00532E95" w:rsidRDefault="00532E95" w:rsidP="003D2882"/>
    <w:p w14:paraId="03EC6C7C" w14:textId="784EAA60" w:rsidR="00532E95" w:rsidRDefault="00532E95" w:rsidP="003D2882">
      <w:r>
        <w:lastRenderedPageBreak/>
        <w:t xml:space="preserve">As with work-place based </w:t>
      </w:r>
      <w:r w:rsidR="00117712">
        <w:t>wages, the median weekly wage decreased between 2014 and 2017, with the drop being higher for males than females.  Between 2007 and 2017 the gap between male and female wages fell from 20.4% to 8.2%.</w:t>
      </w:r>
    </w:p>
    <w:p w14:paraId="47DBBDC2" w14:textId="104618DB" w:rsidR="00532E95" w:rsidRDefault="00532E95" w:rsidP="003D2882"/>
    <w:p w14:paraId="6C345010" w14:textId="056FFE53" w:rsidR="00532E95" w:rsidRDefault="00532E95" w:rsidP="003D2882">
      <w:r>
        <w:rPr>
          <w:noProof/>
        </w:rPr>
        <w:drawing>
          <wp:inline distT="0" distB="0" distL="0" distR="0" wp14:anchorId="347C7B77" wp14:editId="26FFB875">
            <wp:extent cx="5338445" cy="2715905"/>
            <wp:effectExtent l="0" t="0" r="14605" b="8255"/>
            <wp:docPr id="237" name="Chart 237">
              <a:extLst xmlns:a="http://schemas.openxmlformats.org/drawingml/2006/main">
                <a:ext uri="{FF2B5EF4-FFF2-40B4-BE49-F238E27FC236}">
                  <a16:creationId xmlns:a16="http://schemas.microsoft.com/office/drawing/2014/main" id="{7C897FA6-D33D-4E80-82DD-FDBE10355D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5C80BD8D" w14:textId="7AA398E7" w:rsidR="00815770" w:rsidRDefault="00DE1BF6" w:rsidP="00815770">
      <w:pPr>
        <w:rPr>
          <w:sz w:val="16"/>
          <w:szCs w:val="16"/>
        </w:rPr>
      </w:pPr>
      <w:r w:rsidRPr="00DE1BF6">
        <w:rPr>
          <w:sz w:val="16"/>
          <w:szCs w:val="16"/>
        </w:rPr>
        <w:t xml:space="preserve">Source: NOMIS, Labour Market Profile (Annual Population Survey); available at: </w:t>
      </w:r>
      <w:hyperlink r:id="rId202" w:anchor="ls" w:history="1">
        <w:r w:rsidRPr="00DE1BF6">
          <w:rPr>
            <w:rStyle w:val="Hyperlink"/>
            <w:sz w:val="16"/>
            <w:szCs w:val="16"/>
          </w:rPr>
          <w:t>https://www.nomisweb.co.uk/reports/lmp/la/1946157405/report.aspx?#ls</w:t>
        </w:r>
      </w:hyperlink>
      <w:r w:rsidRPr="00DE1BF6">
        <w:rPr>
          <w:sz w:val="16"/>
          <w:szCs w:val="16"/>
        </w:rPr>
        <w:t xml:space="preserve"> </w:t>
      </w:r>
    </w:p>
    <w:p w14:paraId="6C9E25EF" w14:textId="77777777" w:rsidR="00DE1BF6" w:rsidRPr="00DE1BF6" w:rsidRDefault="00DE1BF6" w:rsidP="00815770"/>
    <w:p w14:paraId="620607F8" w14:textId="4B20FAC5" w:rsidR="00472BE1" w:rsidRDefault="00DE1BF6" w:rsidP="00DE1BF6">
      <w:pPr>
        <w:pStyle w:val="Heading2"/>
        <w:numPr>
          <w:ilvl w:val="2"/>
          <w:numId w:val="4"/>
        </w:numPr>
        <w:spacing w:after="240"/>
      </w:pPr>
      <w:bookmarkStart w:id="120" w:name="_Toc519088652"/>
      <w:r>
        <w:t>Annual household income</w:t>
      </w:r>
      <w:bookmarkEnd w:id="120"/>
    </w:p>
    <w:p w14:paraId="0643E5AF" w14:textId="61E02052" w:rsidR="00DE1BF6" w:rsidRDefault="00DE1BF6" w:rsidP="00DE1BF6">
      <w:r>
        <w:t>Information on annual household income in available from CACI Paycheck data.  In 2017 the median household income for Aberdeen City was £31,672.  This is higher than the respective figure for Scotland of £28,342 and 6</w:t>
      </w:r>
      <w:r w:rsidRPr="00DE1BF6">
        <w:rPr>
          <w:vertAlign w:val="superscript"/>
        </w:rPr>
        <w:t>th</w:t>
      </w:r>
      <w:r>
        <w:t xml:space="preserve"> highest out of all local authorities in Scotland.  There was considerable variation in annual household income by neighbourhood, ranging from a low of £18,596 in Middlefield to a high of £61, 570 in Cults, Bieldside and Milltimber.</w:t>
      </w:r>
    </w:p>
    <w:p w14:paraId="4C6C8B74" w14:textId="4F889BE6" w:rsidR="00DE1BF6" w:rsidRDefault="00DE1BF6" w:rsidP="00DE1BF6"/>
    <w:p w14:paraId="24095AB5" w14:textId="47AD2246" w:rsidR="00DE1BF6" w:rsidRDefault="00DE1BF6" w:rsidP="00DE1BF6">
      <w:r>
        <w:rPr>
          <w:noProof/>
        </w:rPr>
        <w:drawing>
          <wp:inline distT="0" distB="0" distL="0" distR="0" wp14:anchorId="376BD6E2" wp14:editId="478C328C">
            <wp:extent cx="5201107" cy="2750185"/>
            <wp:effectExtent l="0" t="0" r="0" b="12065"/>
            <wp:docPr id="82" name="Chart 82">
              <a:extLst xmlns:a="http://schemas.openxmlformats.org/drawingml/2006/main">
                <a:ext uri="{FF2B5EF4-FFF2-40B4-BE49-F238E27FC236}">
                  <a16:creationId xmlns:a16="http://schemas.microsoft.com/office/drawing/2014/main" id="{6423172D-2795-4906-80C7-3BA3EB610D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0DFAE617" w14:textId="62720DE1" w:rsidR="00BC3178" w:rsidRDefault="00BC3178" w:rsidP="00BC3178">
      <w:pPr>
        <w:rPr>
          <w:sz w:val="16"/>
          <w:szCs w:val="16"/>
        </w:rPr>
      </w:pPr>
      <w:r w:rsidRPr="00DE1BF6">
        <w:rPr>
          <w:sz w:val="16"/>
          <w:szCs w:val="16"/>
        </w:rPr>
        <w:t>Source:  CACI paycheck 2017</w:t>
      </w:r>
    </w:p>
    <w:p w14:paraId="4C8B63FA" w14:textId="3245C627" w:rsidR="00FF23A9" w:rsidRDefault="00FF23A9" w:rsidP="00BC3178">
      <w:pPr>
        <w:rPr>
          <w:sz w:val="16"/>
          <w:szCs w:val="16"/>
        </w:rPr>
      </w:pPr>
    </w:p>
    <w:p w14:paraId="39CF99F0" w14:textId="77777777" w:rsidR="00FF23A9" w:rsidRDefault="00FF23A9" w:rsidP="00BC3178">
      <w:pPr>
        <w:rPr>
          <w:sz w:val="16"/>
          <w:szCs w:val="16"/>
        </w:rPr>
      </w:pPr>
    </w:p>
    <w:p w14:paraId="392FC0BF" w14:textId="398B7900" w:rsidR="00BC3178" w:rsidRDefault="00E97DC9" w:rsidP="000B7A51">
      <w:pPr>
        <w:pStyle w:val="Heading2"/>
        <w:numPr>
          <w:ilvl w:val="1"/>
          <w:numId w:val="4"/>
        </w:numPr>
        <w:spacing w:after="120"/>
      </w:pPr>
      <w:bookmarkStart w:id="121" w:name="_Toc519088653"/>
      <w:r>
        <w:lastRenderedPageBreak/>
        <w:t>Labour market</w:t>
      </w:r>
      <w:bookmarkEnd w:id="121"/>
    </w:p>
    <w:p w14:paraId="728B096B" w14:textId="592F2BB3" w:rsidR="00F35880" w:rsidRDefault="00F35880" w:rsidP="000B7A51">
      <w:pPr>
        <w:pStyle w:val="Heading2"/>
        <w:numPr>
          <w:ilvl w:val="2"/>
          <w:numId w:val="4"/>
        </w:numPr>
        <w:spacing w:after="120"/>
      </w:pPr>
      <w:bookmarkStart w:id="122" w:name="_Toc519088654"/>
      <w:r>
        <w:t>Economic</w:t>
      </w:r>
      <w:r w:rsidR="00E249C3">
        <w:t>ally</w:t>
      </w:r>
      <w:r>
        <w:t xml:space="preserve"> activ</w:t>
      </w:r>
      <w:r w:rsidR="00E249C3">
        <w:t>e</w:t>
      </w:r>
      <w:bookmarkEnd w:id="122"/>
    </w:p>
    <w:p w14:paraId="44117239" w14:textId="4CD1AADE" w:rsidR="00F35880" w:rsidRDefault="000B7A51" w:rsidP="00F35880">
      <w:r w:rsidRPr="000B7A51">
        <w:rPr>
          <w:b/>
        </w:rPr>
        <w:t>Economically active:</w:t>
      </w:r>
      <w:r>
        <w:t xml:space="preserve">  </w:t>
      </w:r>
      <w:r w:rsidR="00F35880">
        <w:t xml:space="preserve">In 2017, 79% of Aberdeen’s working age population (16-64 years) </w:t>
      </w:r>
      <w:r>
        <w:t>was</w:t>
      </w:r>
      <w:r w:rsidR="00F35880">
        <w:t xml:space="preserve"> classified as economically active – slightly higher than the rate for Scotland of 77.5%.  </w:t>
      </w:r>
      <w:r w:rsidR="005A27F1">
        <w:t>A higher proportion of males (82.2%) than females (75.9%) were economically active.</w:t>
      </w:r>
    </w:p>
    <w:p w14:paraId="7D3990E9" w14:textId="58F342FE" w:rsidR="00B47E80" w:rsidRDefault="00B47E80" w:rsidP="00F35880"/>
    <w:p w14:paraId="075DF726" w14:textId="7FA5C378" w:rsidR="00B47E80" w:rsidRDefault="00B47E80" w:rsidP="00F35880">
      <w:r>
        <w:rPr>
          <w:noProof/>
        </w:rPr>
        <w:drawing>
          <wp:inline distT="0" distB="0" distL="0" distR="0" wp14:anchorId="1548C9F5" wp14:editId="1C1FD762">
            <wp:extent cx="5127625" cy="2223821"/>
            <wp:effectExtent l="0" t="0" r="15875" b="5080"/>
            <wp:docPr id="74" name="Chart 74">
              <a:extLst xmlns:a="http://schemas.openxmlformats.org/drawingml/2006/main">
                <a:ext uri="{FF2B5EF4-FFF2-40B4-BE49-F238E27FC236}">
                  <a16:creationId xmlns:a16="http://schemas.microsoft.com/office/drawing/2014/main" id="{6F5809F6-EAC5-4949-9EE4-150F319CE0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01F36DF1" w14:textId="712DCFE6" w:rsidR="00AD2EC9" w:rsidRDefault="00AD2EC9" w:rsidP="00AD2EC9">
      <w:pPr>
        <w:rPr>
          <w:sz w:val="16"/>
          <w:szCs w:val="16"/>
        </w:rPr>
      </w:pPr>
      <w:r w:rsidRPr="00DE1BF6">
        <w:rPr>
          <w:sz w:val="16"/>
          <w:szCs w:val="16"/>
        </w:rPr>
        <w:t xml:space="preserve">Source: NOMIS, Labour Market Profile (Annual Population Survey); available at: </w:t>
      </w:r>
      <w:hyperlink r:id="rId205" w:anchor="ls" w:history="1">
        <w:r w:rsidRPr="00DE1BF6">
          <w:rPr>
            <w:rStyle w:val="Hyperlink"/>
            <w:sz w:val="16"/>
            <w:szCs w:val="16"/>
          </w:rPr>
          <w:t>https://www.nomisweb.co.uk/reports/lmp/la/1946157405/report.aspx?#ls</w:t>
        </w:r>
      </w:hyperlink>
      <w:r w:rsidRPr="00DE1BF6">
        <w:rPr>
          <w:sz w:val="16"/>
          <w:szCs w:val="16"/>
        </w:rPr>
        <w:t xml:space="preserve"> </w:t>
      </w:r>
    </w:p>
    <w:p w14:paraId="0756FD04" w14:textId="1A0A59E4" w:rsidR="00C93D75" w:rsidRDefault="00C93D75" w:rsidP="00AD2EC9">
      <w:pPr>
        <w:rPr>
          <w:sz w:val="16"/>
          <w:szCs w:val="16"/>
        </w:rPr>
      </w:pPr>
    </w:p>
    <w:p w14:paraId="1A2751BA" w14:textId="11B339D8" w:rsidR="00C93D75" w:rsidRDefault="00653B21" w:rsidP="00AD2EC9">
      <w:r w:rsidRPr="00653B21">
        <w:rPr>
          <w:b/>
        </w:rPr>
        <w:t>Employed</w:t>
      </w:r>
      <w:r>
        <w:t xml:space="preserve">:  </w:t>
      </w:r>
      <w:r w:rsidR="00C93D75" w:rsidRPr="00C93D75">
        <w:t>Of those who were economically active, 76.1% were in employment and an estimated 4.1% were unemployed (note: the figures don’t add up to 79% as the unemployment rate is a model-based estimate).</w:t>
      </w:r>
      <w:r w:rsidR="00C93D75">
        <w:t xml:space="preserve">  A higher proportion of males (78.0%) than females (74.2%) were in employment.   Of those who were in employment, 75.2% were in full-time positions.  Again, males were more likely than females to work full-time (89.7% compared to 59.5%).  </w:t>
      </w:r>
    </w:p>
    <w:p w14:paraId="0A1B6E9F" w14:textId="70F30C7A" w:rsidR="00C93D75" w:rsidRDefault="00C93D75" w:rsidP="00AD2EC9"/>
    <w:p w14:paraId="37329AB5" w14:textId="69861C40" w:rsidR="00C93D75" w:rsidRDefault="00653B21" w:rsidP="00AD2EC9">
      <w:r w:rsidRPr="00653B21">
        <w:rPr>
          <w:b/>
        </w:rPr>
        <w:t>Graduate</w:t>
      </w:r>
      <w:r>
        <w:rPr>
          <w:b/>
        </w:rPr>
        <w:t xml:space="preserve"> employment</w:t>
      </w:r>
      <w:r w:rsidRPr="00653B21">
        <w:rPr>
          <w:b/>
        </w:rPr>
        <w:t>:</w:t>
      </w:r>
      <w:r>
        <w:t xml:space="preserve">  44.8% of those in employment in </w:t>
      </w:r>
      <w:r w:rsidR="00C93D75">
        <w:t xml:space="preserve">Aberdeen </w:t>
      </w:r>
      <w:r>
        <w:t xml:space="preserve">are graduates.  This is higher than the rate for Scotland (35.6%) and the fifth highest rate of all local authorities.   </w:t>
      </w:r>
    </w:p>
    <w:p w14:paraId="504C44EC" w14:textId="61384D7D" w:rsidR="00653B21" w:rsidRDefault="00653B21" w:rsidP="00AD2EC9"/>
    <w:p w14:paraId="48019FDB" w14:textId="3D6A523E" w:rsidR="00653B21" w:rsidRPr="00653B21" w:rsidRDefault="00653B21" w:rsidP="00AD2EC9">
      <w:r w:rsidRPr="00653B21">
        <w:rPr>
          <w:b/>
        </w:rPr>
        <w:t xml:space="preserve">Underemployment:  </w:t>
      </w:r>
      <w:r>
        <w:t xml:space="preserve">This relates to people who would like either more hours in their existing job, an additional job to supplement their existing job or another job with more hours.  In 2017 there were an estimated </w:t>
      </w:r>
      <w:r w:rsidR="00BD0A11">
        <w:t>10,900 people in underemployment in Aberdeen – equivalent to 8.9% of those in employment – slightly higher than the rate for Scotland of 8.0% and the 9</w:t>
      </w:r>
      <w:r w:rsidR="00BD0A11" w:rsidRPr="00BD0A11">
        <w:rPr>
          <w:vertAlign w:val="superscript"/>
        </w:rPr>
        <w:t>th</w:t>
      </w:r>
      <w:r w:rsidR="00BD0A11">
        <w:t xml:space="preserve"> highest of all local authorities.  Since 2015 the rate of underemployment has increased by 3.9% in Aberdeen, compared to a decrease of 1.2% in Scotland. </w:t>
      </w:r>
    </w:p>
    <w:p w14:paraId="72CD5CFC" w14:textId="058D9FAC" w:rsidR="00AD2EC9" w:rsidRPr="00BD0A11" w:rsidRDefault="00BD0A11" w:rsidP="00AD2EC9">
      <w:pPr>
        <w:rPr>
          <w:sz w:val="16"/>
          <w:szCs w:val="16"/>
        </w:rPr>
      </w:pPr>
      <w:r w:rsidRPr="00BD0A11">
        <w:rPr>
          <w:sz w:val="16"/>
          <w:szCs w:val="16"/>
        </w:rPr>
        <w:t xml:space="preserve">Source: Scottish Government, Regional Employment Patterns in Scotland (Statistics from Annual Population Survey); available at: </w:t>
      </w:r>
      <w:hyperlink r:id="rId206" w:history="1">
        <w:r w:rsidRPr="00BD0A11">
          <w:rPr>
            <w:rStyle w:val="Hyperlink"/>
            <w:sz w:val="16"/>
            <w:szCs w:val="16"/>
          </w:rPr>
          <w:t>http://www.gov.scot/Topics/Statistics/Browse/Labour-Market/Local-Authority-Tables</w:t>
        </w:r>
      </w:hyperlink>
      <w:r w:rsidRPr="00BD0A11">
        <w:rPr>
          <w:sz w:val="16"/>
          <w:szCs w:val="16"/>
        </w:rPr>
        <w:t xml:space="preserve"> </w:t>
      </w:r>
    </w:p>
    <w:p w14:paraId="7FF17ED5" w14:textId="77777777" w:rsidR="00BD0A11" w:rsidRDefault="00BD0A11" w:rsidP="00AD2EC9"/>
    <w:p w14:paraId="68C1F051" w14:textId="7AEEE9DE" w:rsidR="00E249C3" w:rsidRPr="00E249C3" w:rsidRDefault="000B7A51" w:rsidP="00E249C3">
      <w:pPr>
        <w:pStyle w:val="Heading2"/>
        <w:numPr>
          <w:ilvl w:val="2"/>
          <w:numId w:val="4"/>
        </w:numPr>
        <w:spacing w:after="120"/>
      </w:pPr>
      <w:bookmarkStart w:id="123" w:name="_Toc519088655"/>
      <w:r w:rsidRPr="00E249C3">
        <w:t>Economically inactive</w:t>
      </w:r>
      <w:bookmarkEnd w:id="123"/>
      <w:r w:rsidRPr="00E249C3">
        <w:t xml:space="preserve"> </w:t>
      </w:r>
    </w:p>
    <w:p w14:paraId="66E4E49F" w14:textId="6C99F110" w:rsidR="00AD2EC9" w:rsidRDefault="000B7A51" w:rsidP="00AD2EC9">
      <w:r>
        <w:t xml:space="preserve">In 2017, 21% of Aberdeen’s working age population (16-64 years) were classified as economically inactive – slightly lower than the rate for Scotland of 22.5%.  Students made up the highest proportion of this group (41.6%), followed by long-term sick (20.2%) and those looking after the family home (16.1%).  Those who were retired accounted for 11.7% of those who were economically inactive.  Compared to Scotland, Aberdeen has a higher proportion of students and a lower proportion of long-term sick, retired and looking after </w:t>
      </w:r>
      <w:r>
        <w:lastRenderedPageBreak/>
        <w:t xml:space="preserve">the family home. </w:t>
      </w:r>
      <w:r w:rsidR="003E7189">
        <w:t xml:space="preserve"> Aberdeen also has a higher proportion of economically inactive people who would like a job (31.8% in Aberdeen compared to 23.7% in Scotland).</w:t>
      </w:r>
    </w:p>
    <w:p w14:paraId="2D330692" w14:textId="68C99F1D" w:rsidR="000B7A51" w:rsidRDefault="000B7A51" w:rsidP="00AD2EC9"/>
    <w:p w14:paraId="19EA0F14" w14:textId="7E2460BA" w:rsidR="003E7189" w:rsidRDefault="003E7189" w:rsidP="00AD2EC9">
      <w:r>
        <w:rPr>
          <w:noProof/>
        </w:rPr>
        <w:drawing>
          <wp:inline distT="0" distB="0" distL="0" distR="0" wp14:anchorId="549FBBE0" wp14:editId="2126F3E6">
            <wp:extent cx="5131558" cy="2743200"/>
            <wp:effectExtent l="0" t="0" r="12065" b="0"/>
            <wp:docPr id="233" name="Chart 233">
              <a:extLst xmlns:a="http://schemas.openxmlformats.org/drawingml/2006/main">
                <a:ext uri="{FF2B5EF4-FFF2-40B4-BE49-F238E27FC236}">
                  <a16:creationId xmlns:a16="http://schemas.microsoft.com/office/drawing/2014/main" id="{55CC5DD8-A6B2-4BF4-B9F5-7BB23FF506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14:paraId="3F9E71AC" w14:textId="2533395E" w:rsidR="000B7A51" w:rsidRDefault="000B7A51" w:rsidP="000B7A51">
      <w:pPr>
        <w:rPr>
          <w:sz w:val="16"/>
          <w:szCs w:val="16"/>
        </w:rPr>
      </w:pPr>
      <w:r w:rsidRPr="00DE1BF6">
        <w:rPr>
          <w:sz w:val="16"/>
          <w:szCs w:val="16"/>
        </w:rPr>
        <w:t xml:space="preserve">Source: NOMIS, Labour Market Profile (Annual Population Survey); available at: </w:t>
      </w:r>
      <w:hyperlink r:id="rId208" w:anchor="ls" w:history="1">
        <w:r w:rsidRPr="00DE1BF6">
          <w:rPr>
            <w:rStyle w:val="Hyperlink"/>
            <w:sz w:val="16"/>
            <w:szCs w:val="16"/>
          </w:rPr>
          <w:t>https://www.nomisweb.co.uk/reports/lmp/la/1946157405/report.aspx?#ls</w:t>
        </w:r>
      </w:hyperlink>
      <w:r w:rsidRPr="00DE1BF6">
        <w:rPr>
          <w:sz w:val="16"/>
          <w:szCs w:val="16"/>
        </w:rPr>
        <w:t xml:space="preserve"> </w:t>
      </w:r>
      <w:r>
        <w:rPr>
          <w:sz w:val="16"/>
          <w:szCs w:val="16"/>
        </w:rPr>
        <w:t>Note: figure for Total are as % of 16-64 year population and figures for other categories are % of economically inactive.</w:t>
      </w:r>
    </w:p>
    <w:p w14:paraId="0783CBD8" w14:textId="5C60782A" w:rsidR="00FF23A9" w:rsidRDefault="00FF23A9" w:rsidP="000B7A51">
      <w:pPr>
        <w:rPr>
          <w:sz w:val="16"/>
          <w:szCs w:val="16"/>
        </w:rPr>
      </w:pPr>
    </w:p>
    <w:p w14:paraId="7BEEC2DD" w14:textId="045AE383" w:rsidR="00FF23A9" w:rsidRDefault="00BD0A11" w:rsidP="000B7A51">
      <w:r>
        <w:t>A higher proportion of females than males are economically inactive (2</w:t>
      </w:r>
      <w:r w:rsidR="000B4A62">
        <w:t>4.1</w:t>
      </w:r>
      <w:r>
        <w:t>% compared to 1</w:t>
      </w:r>
      <w:r w:rsidR="000B4A62">
        <w:t>7.8</w:t>
      </w:r>
      <w:r>
        <w:t>%</w:t>
      </w:r>
      <w:r w:rsidR="000B4A62">
        <w:t xml:space="preserve"> of population aged 16-64 years</w:t>
      </w:r>
      <w:r>
        <w:t xml:space="preserve">).  </w:t>
      </w:r>
      <w:r w:rsidR="000B4A62">
        <w:t xml:space="preserve">  </w:t>
      </w:r>
      <w:r w:rsidR="003E7189">
        <w:t>The rate of males who are economically inactive has increased substantially in recent years from 12.7% in 2013, peaking at 22.3% in 2016 before dropping back to 17.8% in 2017.  For females the rate dropped between 2013 and 2015 (from 26.6% to 21.2%).  Between 2015 and 2016 the rate increased before falling again between 2016 and 2017.</w:t>
      </w:r>
    </w:p>
    <w:p w14:paraId="29E8E3E7" w14:textId="5E56F1FC" w:rsidR="000B4A62" w:rsidRDefault="000B4A62" w:rsidP="000B7A51"/>
    <w:p w14:paraId="488E3BC5" w14:textId="77777777" w:rsidR="000B4A62" w:rsidRDefault="000B4A62" w:rsidP="000B7A51"/>
    <w:p w14:paraId="08F290EB" w14:textId="4125E167" w:rsidR="00BD0A11" w:rsidRDefault="00BD0A11" w:rsidP="000B7A51">
      <w:r>
        <w:rPr>
          <w:noProof/>
        </w:rPr>
        <w:drawing>
          <wp:inline distT="0" distB="0" distL="0" distR="0" wp14:anchorId="6544F279" wp14:editId="40C11CD4">
            <wp:extent cx="4967785" cy="2108200"/>
            <wp:effectExtent l="0" t="0" r="4445" b="6350"/>
            <wp:docPr id="230" name="Chart 230">
              <a:extLst xmlns:a="http://schemas.openxmlformats.org/drawingml/2006/main">
                <a:ext uri="{FF2B5EF4-FFF2-40B4-BE49-F238E27FC236}">
                  <a16:creationId xmlns:a16="http://schemas.microsoft.com/office/drawing/2014/main" id="{83C8ABC2-E6CC-4F45-BCB0-304BE942B1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14:paraId="0FA2DDAE" w14:textId="392C813F" w:rsidR="00BD0A11" w:rsidRDefault="000B4A62" w:rsidP="000B7A51">
      <w:pPr>
        <w:rPr>
          <w:rStyle w:val="Hyperlink"/>
          <w:sz w:val="16"/>
          <w:szCs w:val="16"/>
        </w:rPr>
      </w:pPr>
      <w:r w:rsidRPr="00DE1BF6">
        <w:rPr>
          <w:sz w:val="16"/>
          <w:szCs w:val="16"/>
        </w:rPr>
        <w:t xml:space="preserve">Source: NOMIS, Labour Market Profile (Annual Population Survey); available at: </w:t>
      </w:r>
      <w:hyperlink r:id="rId210" w:anchor="ls" w:history="1">
        <w:r w:rsidRPr="00DE1BF6">
          <w:rPr>
            <w:rStyle w:val="Hyperlink"/>
            <w:sz w:val="16"/>
            <w:szCs w:val="16"/>
          </w:rPr>
          <w:t>https://www.nomisweb.co.uk/reports/lmp/la/1946157405/report.aspx?#ls</w:t>
        </w:r>
      </w:hyperlink>
    </w:p>
    <w:p w14:paraId="62095997" w14:textId="77777777" w:rsidR="000B4A62" w:rsidRPr="00BD0A11" w:rsidRDefault="000B4A62" w:rsidP="000B7A51"/>
    <w:p w14:paraId="3C7BBB8F" w14:textId="469B1720" w:rsidR="000B7A51" w:rsidRDefault="000B7A51" w:rsidP="000B7A51">
      <w:pPr>
        <w:pStyle w:val="Heading2"/>
        <w:numPr>
          <w:ilvl w:val="2"/>
          <w:numId w:val="4"/>
        </w:numPr>
        <w:spacing w:after="120"/>
      </w:pPr>
      <w:bookmarkStart w:id="124" w:name="_Toc519088656"/>
      <w:r>
        <w:t>Unemployment</w:t>
      </w:r>
      <w:bookmarkEnd w:id="124"/>
    </w:p>
    <w:p w14:paraId="4ED37070" w14:textId="5C523BE0" w:rsidR="00A01FCC" w:rsidRPr="00A01FCC" w:rsidRDefault="002D7A58" w:rsidP="00A01FCC">
      <w:pPr>
        <w:pStyle w:val="ListParagraph"/>
        <w:rPr>
          <w:rFonts w:ascii="Calibri" w:eastAsia="Times New Roman" w:hAnsi="Calibri" w:cs="Calibri"/>
        </w:rPr>
      </w:pPr>
      <w:r>
        <w:t xml:space="preserve">Two main measures are used to provide unemployment figures. </w:t>
      </w:r>
      <w:r w:rsidR="00B11225">
        <w:t xml:space="preserve">The first is </w:t>
      </w:r>
      <w:r w:rsidR="00B11225" w:rsidRPr="00B11225">
        <w:rPr>
          <w:rFonts w:ascii="Calibri" w:eastAsia="Calibri" w:hAnsi="Calibri" w:cs="Times New Roman"/>
        </w:rPr>
        <w:t xml:space="preserve">The </w:t>
      </w:r>
      <w:r w:rsidR="00B11225" w:rsidRPr="00A01FCC">
        <w:rPr>
          <w:rFonts w:ascii="Calibri" w:eastAsia="Calibri" w:hAnsi="Calibri" w:cs="Times New Roman"/>
          <w:b/>
        </w:rPr>
        <w:t xml:space="preserve">Annual Population Survey </w:t>
      </w:r>
      <w:r w:rsidR="00B11225" w:rsidRPr="00B11225">
        <w:rPr>
          <w:rFonts w:ascii="Calibri" w:eastAsia="Calibri" w:hAnsi="Calibri" w:cs="Times New Roman"/>
        </w:rPr>
        <w:t>which is a</w:t>
      </w:r>
      <w:r w:rsidR="00B11225">
        <w:rPr>
          <w:rFonts w:ascii="Calibri" w:eastAsia="Calibri" w:hAnsi="Calibri" w:cs="Times New Roman"/>
          <w:b/>
        </w:rPr>
        <w:t xml:space="preserve"> </w:t>
      </w:r>
      <w:r w:rsidR="00B11225" w:rsidRPr="00B11225">
        <w:rPr>
          <w:rFonts w:ascii="Calibri" w:eastAsia="Calibri" w:hAnsi="Calibri" w:cs="Times New Roman"/>
        </w:rPr>
        <w:t>residence-based labour market survey</w:t>
      </w:r>
      <w:r w:rsidR="00B11225">
        <w:rPr>
          <w:rFonts w:ascii="Calibri" w:eastAsia="Calibri" w:hAnsi="Calibri" w:cs="Times New Roman"/>
        </w:rPr>
        <w:t>.</w:t>
      </w:r>
      <w:r w:rsidR="00B11225" w:rsidRPr="00B11225">
        <w:rPr>
          <w:rFonts w:ascii="Calibri" w:eastAsia="Calibri" w:hAnsi="Calibri" w:cs="Times New Roman"/>
        </w:rPr>
        <w:t xml:space="preserve"> Because unemployed people form only a small percentage of the population, estimates for local authorities were </w:t>
      </w:r>
      <w:r w:rsidR="00B11225" w:rsidRPr="00B11225">
        <w:rPr>
          <w:rFonts w:ascii="Calibri" w:eastAsia="Calibri" w:hAnsi="Calibri" w:cs="Times New Roman"/>
        </w:rPr>
        <w:lastRenderedPageBreak/>
        <w:t xml:space="preserve">often unreliable. To improve estimates for local authority areas, model-base estimates were developed.  </w:t>
      </w:r>
      <w:r w:rsidR="00B11225">
        <w:rPr>
          <w:rFonts w:ascii="Calibri" w:eastAsia="Calibri" w:hAnsi="Calibri" w:cs="Times New Roman"/>
        </w:rPr>
        <w:t xml:space="preserve">The second </w:t>
      </w:r>
      <w:r w:rsidR="00911DEE">
        <w:rPr>
          <w:rFonts w:ascii="Calibri" w:eastAsia="Calibri" w:hAnsi="Calibri" w:cs="Times New Roman"/>
        </w:rPr>
        <w:t xml:space="preserve">measure </w:t>
      </w:r>
      <w:r w:rsidR="00B11225">
        <w:rPr>
          <w:rFonts w:ascii="Calibri" w:eastAsia="Calibri" w:hAnsi="Calibri" w:cs="Times New Roman"/>
        </w:rPr>
        <w:t xml:space="preserve">is the </w:t>
      </w:r>
      <w:r w:rsidR="00B11225" w:rsidRPr="00A01FCC">
        <w:rPr>
          <w:rFonts w:ascii="Calibri" w:eastAsia="Calibri" w:hAnsi="Calibri" w:cs="Times New Roman"/>
          <w:b/>
        </w:rPr>
        <w:t>Claimant Count</w:t>
      </w:r>
      <w:r w:rsidR="00B11225">
        <w:rPr>
          <w:rFonts w:ascii="Calibri" w:eastAsia="Calibri" w:hAnsi="Calibri" w:cs="Times New Roman"/>
        </w:rPr>
        <w:t xml:space="preserve">.  </w:t>
      </w:r>
      <w:r w:rsidR="00B11225" w:rsidRPr="00B11225">
        <w:rPr>
          <w:rFonts w:ascii="Calibri" w:eastAsia="Calibri" w:hAnsi="Calibri" w:cs="Times New Roman"/>
          <w:lang w:val="en"/>
        </w:rPr>
        <w:t>This counts the number of people claiming Jobseeker's Allowance plus those who claim Universal Credit and are required to seek work and be available for work</w:t>
      </w:r>
      <w:r w:rsidR="00A01FCC">
        <w:rPr>
          <w:rFonts w:ascii="Calibri" w:eastAsia="Calibri" w:hAnsi="Calibri" w:cs="Times New Roman"/>
          <w:lang w:val="en"/>
        </w:rPr>
        <w:t xml:space="preserve">. </w:t>
      </w:r>
      <w:r w:rsidR="00A01FCC" w:rsidRPr="00A01FCC">
        <w:rPr>
          <w:rFonts w:ascii="Calibri" w:eastAsia="Times New Roman" w:hAnsi="Calibri" w:cs="Calibri"/>
        </w:rPr>
        <w:t>As an administrative count, the claimant count is very useful as provides reliable figures for all those who are claiming unemployment-related benefits. The main draw-back of the claimant count is that it only includes those who are claiming unemployment-related benefits - not all those who are unemployed will necessarily want to, or be able to, claim these benefits and will therefore be excluded from the count</w:t>
      </w:r>
      <w:r w:rsidR="00A01FCC">
        <w:rPr>
          <w:rFonts w:ascii="Calibri" w:eastAsia="Times New Roman" w:hAnsi="Calibri" w:cs="Calibri"/>
        </w:rPr>
        <w:t>.</w:t>
      </w:r>
      <w:r w:rsidR="00A01FCC" w:rsidRPr="00A01FCC">
        <w:rPr>
          <w:rFonts w:ascii="Calibri" w:eastAsia="Times New Roman" w:hAnsi="Calibri" w:cs="Calibri"/>
        </w:rPr>
        <w:t xml:space="preserve"> As a result</w:t>
      </w:r>
      <w:r w:rsidR="00A01FCC">
        <w:rPr>
          <w:rFonts w:ascii="Calibri" w:eastAsia="Times New Roman" w:hAnsi="Calibri" w:cs="Calibri"/>
        </w:rPr>
        <w:t>,</w:t>
      </w:r>
      <w:r w:rsidR="00A01FCC" w:rsidRPr="00A01FCC">
        <w:rPr>
          <w:rFonts w:ascii="Calibri" w:eastAsia="Times New Roman" w:hAnsi="Calibri" w:cs="Calibri"/>
        </w:rPr>
        <w:t xml:space="preserve"> the claimant count is likely to under-estimate actual unemployment levels.</w:t>
      </w:r>
    </w:p>
    <w:p w14:paraId="65F6F1FF" w14:textId="0208DC48" w:rsidR="002D7A58" w:rsidRPr="002D7A58" w:rsidRDefault="00A01FCC" w:rsidP="002D7A58">
      <w:r w:rsidRPr="00A01FCC">
        <w:rPr>
          <w:rFonts w:ascii="Calibri" w:eastAsia="Times New Roman" w:hAnsi="Calibri" w:cs="Calibri"/>
        </w:rPr>
        <w:t xml:space="preserve"> </w:t>
      </w:r>
    </w:p>
    <w:p w14:paraId="44A8CDE6" w14:textId="3C2F2526" w:rsidR="005A27F1" w:rsidRDefault="00AE47E3" w:rsidP="00F35880">
      <w:r w:rsidRPr="00AE47E3">
        <w:rPr>
          <w:b/>
        </w:rPr>
        <w:t>Model-based estimates:</w:t>
      </w:r>
      <w:r>
        <w:t xml:space="preserve">  </w:t>
      </w:r>
      <w:r w:rsidR="00AD2EC9">
        <w:t xml:space="preserve">In 2016 unemployment in Aberdeen </w:t>
      </w:r>
      <w:r w:rsidR="00911DEE">
        <w:t>reached</w:t>
      </w:r>
      <w:r w:rsidR="00AD2EC9">
        <w:t xml:space="preserve"> 5.4% and for the first time in</w:t>
      </w:r>
      <w:r w:rsidR="00911DEE">
        <w:t xml:space="preserve"> at least</w:t>
      </w:r>
      <w:r w:rsidR="00AD2EC9">
        <w:t xml:space="preserve"> 10 years was higher than that for Scotland (4.8%).   Unemployment fell between 2016 and 2017 and i</w:t>
      </w:r>
      <w:r w:rsidR="00B47E80">
        <w:t xml:space="preserve">n 2017 was the same as Scotland (4.1%). </w:t>
      </w:r>
    </w:p>
    <w:p w14:paraId="2204D7C2" w14:textId="47D994CE" w:rsidR="00B47E80" w:rsidRDefault="00B47E80" w:rsidP="00F35880"/>
    <w:p w14:paraId="012E81A0" w14:textId="41E0987D" w:rsidR="00B47E80" w:rsidRDefault="00B47E80" w:rsidP="00F35880">
      <w:r>
        <w:rPr>
          <w:noProof/>
        </w:rPr>
        <w:drawing>
          <wp:inline distT="0" distB="0" distL="0" distR="0" wp14:anchorId="6046CCA6" wp14:editId="3BDD8128">
            <wp:extent cx="5127625" cy="2483892"/>
            <wp:effectExtent l="0" t="0" r="15875" b="12065"/>
            <wp:docPr id="84" name="Chart 84">
              <a:extLst xmlns:a="http://schemas.openxmlformats.org/drawingml/2006/main">
                <a:ext uri="{FF2B5EF4-FFF2-40B4-BE49-F238E27FC236}">
                  <a16:creationId xmlns:a16="http://schemas.microsoft.com/office/drawing/2014/main" id="{2661309D-7775-471E-8ADB-A17C309930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74C8F78E" w14:textId="7B672D44" w:rsidR="00AD2EC9" w:rsidRDefault="00AD2EC9" w:rsidP="00AD2EC9">
      <w:pPr>
        <w:rPr>
          <w:sz w:val="16"/>
          <w:szCs w:val="16"/>
        </w:rPr>
      </w:pPr>
      <w:r w:rsidRPr="00DE1BF6">
        <w:rPr>
          <w:sz w:val="16"/>
          <w:szCs w:val="16"/>
        </w:rPr>
        <w:t xml:space="preserve">Source: NOMIS, Labour Market Profile (Annual Population Survey); available at: </w:t>
      </w:r>
      <w:hyperlink r:id="rId212" w:anchor="ls" w:history="1">
        <w:r w:rsidRPr="00DE1BF6">
          <w:rPr>
            <w:rStyle w:val="Hyperlink"/>
            <w:sz w:val="16"/>
            <w:szCs w:val="16"/>
          </w:rPr>
          <w:t>https://www.nomisweb.co.uk/reports/lmp/la/1946157405/report.aspx?#ls</w:t>
        </w:r>
      </w:hyperlink>
      <w:r w:rsidRPr="00DE1BF6">
        <w:rPr>
          <w:sz w:val="16"/>
          <w:szCs w:val="16"/>
        </w:rPr>
        <w:t xml:space="preserve"> </w:t>
      </w:r>
    </w:p>
    <w:p w14:paraId="4E5066FC" w14:textId="77777777" w:rsidR="00117712" w:rsidRDefault="00117712" w:rsidP="00AD2EC9">
      <w:pPr>
        <w:rPr>
          <w:sz w:val="16"/>
          <w:szCs w:val="16"/>
        </w:rPr>
      </w:pPr>
    </w:p>
    <w:p w14:paraId="3E3A2881" w14:textId="50EFC7D3" w:rsidR="00B47E80" w:rsidRDefault="00AE47E3" w:rsidP="00F35880">
      <w:r w:rsidRPr="00AE47E3">
        <w:rPr>
          <w:b/>
        </w:rPr>
        <w:t xml:space="preserve">Claimant count:  </w:t>
      </w:r>
      <w:r>
        <w:t>I</w:t>
      </w:r>
      <w:r w:rsidRPr="00AE47E3">
        <w:t>n May 2018</w:t>
      </w:r>
      <w:r>
        <w:rPr>
          <w:b/>
        </w:rPr>
        <w:t xml:space="preserve"> </w:t>
      </w:r>
      <w:r>
        <w:t xml:space="preserve">there were 3,315 Claimants in Aberdeen City.  This is equivalent to a rate of 2.1% of the working age population (16-64 years) which is lower than the rate for Scotland of 2.6%.  Most claimants in Aberdeen were male (70.9% compared to 29.1%).  </w:t>
      </w:r>
    </w:p>
    <w:p w14:paraId="078390D4" w14:textId="0F109269" w:rsidR="002D7A58" w:rsidRDefault="002D7A58" w:rsidP="00F35880"/>
    <w:p w14:paraId="09CD88AF" w14:textId="2EE6FBDF" w:rsidR="002D7A58" w:rsidRDefault="002D7A58" w:rsidP="00F35880">
      <w:r>
        <w:t>Between 2007 and 2014 the trends for claimant count rates were similar in Aberdeen and in Scotland, although the rates themselves were consistently lower in Aberdeen.  However, while the claimant count rate continued to fall in Scotland, at the start of 2015 the claimant count rate in Aberdeen began to increase</w:t>
      </w:r>
      <w:r w:rsidR="00597CC9">
        <w:t xml:space="preserve"> </w:t>
      </w:r>
      <w:r w:rsidR="00DE67CD">
        <w:t>- by mid 2016 the claimant count rates in Aberdeen were similar to Scotland</w:t>
      </w:r>
      <w:r>
        <w:t>.</w:t>
      </w:r>
      <w:r w:rsidR="00DE67CD">
        <w:t xml:space="preserve">  </w:t>
      </w:r>
      <w:r w:rsidR="00911DEE">
        <w:t>However, f</w:t>
      </w:r>
      <w:r w:rsidR="00DE67CD">
        <w:t xml:space="preserve">ollowing a drop in claimant numbers </w:t>
      </w:r>
      <w:r w:rsidR="00911DEE">
        <w:t xml:space="preserve">during </w:t>
      </w:r>
      <w:r w:rsidR="00DE67CD">
        <w:t xml:space="preserve">2017, the rate in Aberdeen City is now lower than the rate for Scotland. </w:t>
      </w:r>
    </w:p>
    <w:p w14:paraId="0472D73E" w14:textId="07A95FC4" w:rsidR="002D7A58" w:rsidRDefault="002D7A58" w:rsidP="00F35880"/>
    <w:p w14:paraId="07CBA1BF" w14:textId="1DDFCA9A" w:rsidR="002D7A58" w:rsidRPr="00AE47E3" w:rsidRDefault="002D7A58" w:rsidP="00F35880">
      <w:r>
        <w:rPr>
          <w:noProof/>
        </w:rPr>
        <w:lastRenderedPageBreak/>
        <w:drawing>
          <wp:inline distT="0" distB="0" distL="0" distR="0" wp14:anchorId="2D6C3A35" wp14:editId="0BEDB349">
            <wp:extent cx="5244998" cy="3152775"/>
            <wp:effectExtent l="0" t="0" r="13335" b="9525"/>
            <wp:docPr id="86" name="Chart 86">
              <a:extLst xmlns:a="http://schemas.openxmlformats.org/drawingml/2006/main">
                <a:ext uri="{FF2B5EF4-FFF2-40B4-BE49-F238E27FC236}">
                  <a16:creationId xmlns:a16="http://schemas.microsoft.com/office/drawing/2014/main" id="{B4B4DBCF-E8FB-4CB8-8FD3-1A74F80CD2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14:paraId="2753E1BF" w14:textId="404092AC" w:rsidR="00B47E80" w:rsidRPr="00F35880" w:rsidRDefault="002D7A58" w:rsidP="00F35880">
      <w:r w:rsidRPr="00DE1BF6">
        <w:rPr>
          <w:sz w:val="16"/>
          <w:szCs w:val="16"/>
        </w:rPr>
        <w:t xml:space="preserve">Source: NOMIS, </w:t>
      </w:r>
      <w:r w:rsidR="00A01FCC">
        <w:rPr>
          <w:sz w:val="16"/>
          <w:szCs w:val="16"/>
        </w:rPr>
        <w:t>ONS Claimant Count</w:t>
      </w:r>
      <w:r w:rsidRPr="00DE1BF6">
        <w:rPr>
          <w:sz w:val="16"/>
          <w:szCs w:val="16"/>
        </w:rPr>
        <w:t xml:space="preserve">; available at: </w:t>
      </w:r>
      <w:hyperlink r:id="rId214" w:anchor="ls" w:history="1">
        <w:r w:rsidRPr="00DE1BF6">
          <w:rPr>
            <w:rStyle w:val="Hyperlink"/>
            <w:sz w:val="16"/>
            <w:szCs w:val="16"/>
          </w:rPr>
          <w:t>https://www.nomisweb.co.uk/reports/lmp/la/1946157405/report.aspx?#ls</w:t>
        </w:r>
      </w:hyperlink>
    </w:p>
    <w:p w14:paraId="7E9C9352" w14:textId="12A7BEF0" w:rsidR="00DE1BF6" w:rsidRDefault="00DE1BF6" w:rsidP="00472BE1"/>
    <w:p w14:paraId="4854B4C9" w14:textId="39A53A3B" w:rsidR="00760D54" w:rsidRDefault="00360B9B" w:rsidP="00472BE1">
      <w:r>
        <w:t xml:space="preserve">The number of claimants varied by Intermediate Zone – from 5 in West End North to 195 in Tillydrone. </w:t>
      </w:r>
    </w:p>
    <w:p w14:paraId="12B7B989" w14:textId="534FFC25" w:rsidR="00360B9B" w:rsidRDefault="00360B9B" w:rsidP="00472BE1"/>
    <w:p w14:paraId="3E88F1BB" w14:textId="72AB94D3" w:rsidR="00360B9B" w:rsidRDefault="00360B9B" w:rsidP="00472BE1">
      <w:r>
        <w:rPr>
          <w:noProof/>
        </w:rPr>
        <w:drawing>
          <wp:inline distT="0" distB="0" distL="0" distR="0" wp14:anchorId="3B795F7C" wp14:editId="0AA77429">
            <wp:extent cx="5600700" cy="3746311"/>
            <wp:effectExtent l="0" t="0" r="0" b="6985"/>
            <wp:docPr id="228" name="Chart 228">
              <a:extLst xmlns:a="http://schemas.openxmlformats.org/drawingml/2006/main">
                <a:ext uri="{FF2B5EF4-FFF2-40B4-BE49-F238E27FC236}">
                  <a16:creationId xmlns:a16="http://schemas.microsoft.com/office/drawing/2014/main" id="{F6E9A403-1E2C-4EF2-AB47-4C3DEEA8F8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14:paraId="745D5D37" w14:textId="0847ABD3" w:rsidR="00360B9B" w:rsidRPr="00F35880" w:rsidRDefault="00360B9B" w:rsidP="00360B9B">
      <w:r w:rsidRPr="00DE1BF6">
        <w:rPr>
          <w:sz w:val="16"/>
          <w:szCs w:val="16"/>
        </w:rPr>
        <w:t xml:space="preserve">Source: NOMIS, </w:t>
      </w:r>
      <w:r>
        <w:rPr>
          <w:sz w:val="16"/>
          <w:szCs w:val="16"/>
        </w:rPr>
        <w:t>ONS Claimant Count</w:t>
      </w:r>
      <w:r w:rsidRPr="00DE1BF6">
        <w:rPr>
          <w:sz w:val="16"/>
          <w:szCs w:val="16"/>
        </w:rPr>
        <w:t xml:space="preserve">; available at: </w:t>
      </w:r>
      <w:hyperlink r:id="rId216" w:anchor="ls" w:history="1">
        <w:r w:rsidRPr="00DE1BF6">
          <w:rPr>
            <w:rStyle w:val="Hyperlink"/>
            <w:sz w:val="16"/>
            <w:szCs w:val="16"/>
          </w:rPr>
          <w:t>https://www.nomisweb.co.uk/reports/lmp/la/1946157405/report.aspx?#ls</w:t>
        </w:r>
      </w:hyperlink>
    </w:p>
    <w:p w14:paraId="4B657B24" w14:textId="77777777" w:rsidR="00360B9B" w:rsidRDefault="00360B9B" w:rsidP="00472BE1"/>
    <w:p w14:paraId="3BD3823E" w14:textId="0B9C6A30" w:rsidR="00B3211B" w:rsidRDefault="00A01FCC" w:rsidP="00472BE1">
      <w:r w:rsidRPr="00A01FCC">
        <w:rPr>
          <w:b/>
        </w:rPr>
        <w:t xml:space="preserve">Workless households:  </w:t>
      </w:r>
      <w:r w:rsidRPr="00A01FCC">
        <w:t>In 2016 there were an estimated 15,000 workless households</w:t>
      </w:r>
      <w:r w:rsidR="00383C84">
        <w:t xml:space="preserve"> (i.e. households where no-one aged 16 years or over is in employment)</w:t>
      </w:r>
      <w:r w:rsidRPr="00A01FCC">
        <w:t xml:space="preserve"> in Aberdeen City – 17.6% of all households.</w:t>
      </w:r>
      <w:r>
        <w:rPr>
          <w:b/>
        </w:rPr>
        <w:t xml:space="preserve">  </w:t>
      </w:r>
      <w:r w:rsidRPr="00A01FCC">
        <w:t>This is lower</w:t>
      </w:r>
      <w:r>
        <w:t xml:space="preserve"> than the average figure for Scotland of 18.3%.  The </w:t>
      </w:r>
      <w:r>
        <w:lastRenderedPageBreak/>
        <w:t>percentage of workless households in Aberdeen has increased every year since 2012 when it was 12.6%.</w:t>
      </w:r>
    </w:p>
    <w:p w14:paraId="31F84102" w14:textId="77777777" w:rsidR="00B3211B" w:rsidRDefault="00B3211B" w:rsidP="00472BE1"/>
    <w:p w14:paraId="715F7935" w14:textId="6940CBD3" w:rsidR="00A01FCC" w:rsidRPr="00A01FCC" w:rsidRDefault="00A01FCC" w:rsidP="00472BE1">
      <w:pPr>
        <w:rPr>
          <w:b/>
        </w:rPr>
      </w:pPr>
      <w:r>
        <w:t xml:space="preserve"> </w:t>
      </w:r>
      <w:r w:rsidR="00B3211B">
        <w:rPr>
          <w:noProof/>
        </w:rPr>
        <w:drawing>
          <wp:inline distT="0" distB="0" distL="0" distR="0" wp14:anchorId="75D85CE1" wp14:editId="2B4A17C8">
            <wp:extent cx="5157216" cy="2743200"/>
            <wp:effectExtent l="0" t="0" r="5715" b="0"/>
            <wp:docPr id="87" name="Chart 87">
              <a:extLst xmlns:a="http://schemas.openxmlformats.org/drawingml/2006/main">
                <a:ext uri="{FF2B5EF4-FFF2-40B4-BE49-F238E27FC236}">
                  <a16:creationId xmlns:a16="http://schemas.microsoft.com/office/drawing/2014/main" id="{73143B65-169A-4FC4-9117-BD94BE67A3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14:paraId="1B457FDC" w14:textId="4097813D" w:rsidR="00A01FCC" w:rsidRDefault="00383C84" w:rsidP="00472BE1">
      <w:r w:rsidRPr="00DE1BF6">
        <w:rPr>
          <w:sz w:val="16"/>
          <w:szCs w:val="16"/>
        </w:rPr>
        <w:t xml:space="preserve">Source: NOMIS, Labour Market Profile (Annual Population Survey); available at: </w:t>
      </w:r>
      <w:hyperlink r:id="rId218" w:anchor="ls" w:history="1">
        <w:r w:rsidRPr="00DE1BF6">
          <w:rPr>
            <w:rStyle w:val="Hyperlink"/>
            <w:sz w:val="16"/>
            <w:szCs w:val="16"/>
          </w:rPr>
          <w:t>https://www.nomisweb.co.uk/reports/lmp/la/1946157405/report.aspx?#ls</w:t>
        </w:r>
      </w:hyperlink>
    </w:p>
    <w:p w14:paraId="4212A177" w14:textId="77777777" w:rsidR="00A01FCC" w:rsidRDefault="00A01FCC" w:rsidP="00472BE1"/>
    <w:p w14:paraId="34EFF1AB" w14:textId="3C7D1879" w:rsidR="00013888" w:rsidRDefault="00013888" w:rsidP="00B3211B">
      <w:pPr>
        <w:pStyle w:val="Heading2"/>
        <w:numPr>
          <w:ilvl w:val="2"/>
          <w:numId w:val="4"/>
        </w:numPr>
        <w:spacing w:after="120"/>
      </w:pPr>
      <w:bookmarkStart w:id="125" w:name="_Toc519088657"/>
      <w:r>
        <w:t>Benefits claimants</w:t>
      </w:r>
      <w:bookmarkEnd w:id="125"/>
    </w:p>
    <w:p w14:paraId="76BCF140" w14:textId="3B6DC3DE" w:rsidR="008813E5" w:rsidRDefault="00B30B88" w:rsidP="008813E5">
      <w:r>
        <w:t xml:space="preserve">In November 2016, there were </w:t>
      </w:r>
      <w:r w:rsidR="004A76B1">
        <w:t xml:space="preserve">14,730 people (working-age) claiming benefits in Aberdeen City.  This is equivalent to 9.2% of the working age population of the City. </w:t>
      </w:r>
    </w:p>
    <w:p w14:paraId="754F09BA" w14:textId="284E06B2" w:rsidR="004A76B1" w:rsidRDefault="004A76B1" w:rsidP="008813E5"/>
    <w:p w14:paraId="22353D13" w14:textId="7D26B60F" w:rsidR="008813E5" w:rsidRPr="008813E5" w:rsidRDefault="008813E5" w:rsidP="00B3211B">
      <w:pPr>
        <w:rPr>
          <w:b/>
        </w:rPr>
      </w:pPr>
      <w:r w:rsidRPr="008813E5">
        <w:rPr>
          <w:b/>
        </w:rPr>
        <w:t>DWP benefit claimants, Aberdeen City and Scotland, November 2016</w:t>
      </w:r>
    </w:p>
    <w:tbl>
      <w:tblPr>
        <w:tblW w:w="751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1323"/>
        <w:gridCol w:w="1323"/>
        <w:gridCol w:w="1323"/>
      </w:tblGrid>
      <w:tr w:rsidR="008813E5" w:rsidRPr="008813E5" w14:paraId="714EDB86" w14:textId="77777777" w:rsidTr="008813E5">
        <w:trPr>
          <w:trHeight w:val="300"/>
        </w:trPr>
        <w:tc>
          <w:tcPr>
            <w:tcW w:w="3544" w:type="dxa"/>
            <w:shd w:val="clear" w:color="auto" w:fill="D9E2F3" w:themeFill="accent1" w:themeFillTint="33"/>
            <w:noWrap/>
            <w:vAlign w:val="bottom"/>
            <w:hideMark/>
          </w:tcPr>
          <w:p w14:paraId="11D6CF83" w14:textId="77777777" w:rsidR="008813E5" w:rsidRPr="008813E5" w:rsidRDefault="008813E5" w:rsidP="008813E5">
            <w:pPr>
              <w:spacing w:line="240" w:lineRule="auto"/>
              <w:ind w:left="0"/>
              <w:rPr>
                <w:rFonts w:ascii="Times New Roman" w:eastAsia="Times New Roman" w:hAnsi="Times New Roman" w:cs="Times New Roman"/>
                <w:sz w:val="24"/>
                <w:szCs w:val="24"/>
                <w:lang w:eastAsia="en-GB"/>
              </w:rPr>
            </w:pPr>
          </w:p>
        </w:tc>
        <w:tc>
          <w:tcPr>
            <w:tcW w:w="1323" w:type="dxa"/>
            <w:shd w:val="clear" w:color="auto" w:fill="D9E2F3" w:themeFill="accent1" w:themeFillTint="33"/>
            <w:noWrap/>
            <w:vAlign w:val="center"/>
            <w:hideMark/>
          </w:tcPr>
          <w:p w14:paraId="78E399BF" w14:textId="77777777" w:rsidR="008813E5" w:rsidRPr="008813E5" w:rsidRDefault="008813E5" w:rsidP="008813E5">
            <w:pPr>
              <w:spacing w:line="240" w:lineRule="auto"/>
              <w:ind w:left="0"/>
              <w:jc w:val="center"/>
              <w:rPr>
                <w:rFonts w:ascii="Calibri" w:eastAsia="Times New Roman" w:hAnsi="Calibri" w:cs="Times New Roman"/>
                <w:b/>
                <w:color w:val="000000"/>
                <w:lang w:eastAsia="en-GB"/>
              </w:rPr>
            </w:pPr>
            <w:r w:rsidRPr="008813E5">
              <w:rPr>
                <w:rFonts w:ascii="Calibri" w:eastAsia="Times New Roman" w:hAnsi="Calibri" w:cs="Times New Roman"/>
                <w:b/>
                <w:color w:val="000000"/>
                <w:lang w:eastAsia="en-GB"/>
              </w:rPr>
              <w:t>Aberdeen City</w:t>
            </w:r>
          </w:p>
        </w:tc>
        <w:tc>
          <w:tcPr>
            <w:tcW w:w="1323" w:type="dxa"/>
            <w:shd w:val="clear" w:color="auto" w:fill="D9E2F3" w:themeFill="accent1" w:themeFillTint="33"/>
            <w:noWrap/>
            <w:vAlign w:val="center"/>
            <w:hideMark/>
          </w:tcPr>
          <w:p w14:paraId="4E8E2753" w14:textId="77777777" w:rsidR="008813E5" w:rsidRPr="008813E5" w:rsidRDefault="008813E5" w:rsidP="008813E5">
            <w:pPr>
              <w:spacing w:line="240" w:lineRule="auto"/>
              <w:ind w:left="0"/>
              <w:jc w:val="center"/>
              <w:rPr>
                <w:rFonts w:ascii="Calibri" w:eastAsia="Times New Roman" w:hAnsi="Calibri" w:cs="Times New Roman"/>
                <w:b/>
                <w:color w:val="000000"/>
                <w:lang w:eastAsia="en-GB"/>
              </w:rPr>
            </w:pPr>
            <w:r w:rsidRPr="008813E5">
              <w:rPr>
                <w:rFonts w:ascii="Calibri" w:eastAsia="Times New Roman" w:hAnsi="Calibri" w:cs="Times New Roman"/>
                <w:b/>
                <w:color w:val="000000"/>
                <w:lang w:eastAsia="en-GB"/>
              </w:rPr>
              <w:t>Aberdeen City</w:t>
            </w:r>
          </w:p>
        </w:tc>
        <w:tc>
          <w:tcPr>
            <w:tcW w:w="1323" w:type="dxa"/>
            <w:shd w:val="clear" w:color="auto" w:fill="D9E2F3" w:themeFill="accent1" w:themeFillTint="33"/>
            <w:noWrap/>
            <w:vAlign w:val="center"/>
            <w:hideMark/>
          </w:tcPr>
          <w:p w14:paraId="3E878D91" w14:textId="77777777" w:rsidR="008813E5" w:rsidRPr="008813E5" w:rsidRDefault="008813E5" w:rsidP="008813E5">
            <w:pPr>
              <w:spacing w:line="240" w:lineRule="auto"/>
              <w:ind w:left="0"/>
              <w:jc w:val="center"/>
              <w:rPr>
                <w:rFonts w:ascii="Calibri" w:eastAsia="Times New Roman" w:hAnsi="Calibri" w:cs="Times New Roman"/>
                <w:b/>
                <w:color w:val="000000"/>
                <w:lang w:eastAsia="en-GB"/>
              </w:rPr>
            </w:pPr>
            <w:r w:rsidRPr="008813E5">
              <w:rPr>
                <w:rFonts w:ascii="Calibri" w:eastAsia="Times New Roman" w:hAnsi="Calibri" w:cs="Times New Roman"/>
                <w:b/>
                <w:color w:val="000000"/>
                <w:lang w:eastAsia="en-GB"/>
              </w:rPr>
              <w:t>Scotland</w:t>
            </w:r>
          </w:p>
        </w:tc>
      </w:tr>
      <w:tr w:rsidR="008813E5" w:rsidRPr="008813E5" w14:paraId="2A3DA1AE" w14:textId="77777777" w:rsidTr="008813E5">
        <w:trPr>
          <w:trHeight w:val="300"/>
        </w:trPr>
        <w:tc>
          <w:tcPr>
            <w:tcW w:w="3544" w:type="dxa"/>
            <w:shd w:val="clear" w:color="auto" w:fill="D9E2F3" w:themeFill="accent1" w:themeFillTint="33"/>
            <w:noWrap/>
            <w:vAlign w:val="bottom"/>
            <w:hideMark/>
          </w:tcPr>
          <w:p w14:paraId="79489A70" w14:textId="77777777" w:rsidR="008813E5" w:rsidRPr="008813E5" w:rsidRDefault="008813E5" w:rsidP="008813E5">
            <w:pPr>
              <w:spacing w:line="240" w:lineRule="auto"/>
              <w:ind w:left="0"/>
              <w:rPr>
                <w:rFonts w:ascii="Calibri" w:eastAsia="Times New Roman" w:hAnsi="Calibri" w:cs="Times New Roman"/>
                <w:b/>
                <w:color w:val="000000"/>
                <w:lang w:eastAsia="en-GB"/>
              </w:rPr>
            </w:pPr>
          </w:p>
        </w:tc>
        <w:tc>
          <w:tcPr>
            <w:tcW w:w="1323" w:type="dxa"/>
            <w:shd w:val="clear" w:color="auto" w:fill="D9E2F3" w:themeFill="accent1" w:themeFillTint="33"/>
            <w:noWrap/>
            <w:vAlign w:val="center"/>
            <w:hideMark/>
          </w:tcPr>
          <w:p w14:paraId="7159B724" w14:textId="77777777" w:rsidR="008813E5" w:rsidRPr="008813E5" w:rsidRDefault="008813E5" w:rsidP="008813E5">
            <w:pPr>
              <w:spacing w:line="240" w:lineRule="auto"/>
              <w:ind w:left="0"/>
              <w:jc w:val="center"/>
              <w:rPr>
                <w:rFonts w:ascii="Calibri" w:eastAsia="Times New Roman" w:hAnsi="Calibri" w:cs="Times New Roman"/>
                <w:b/>
                <w:color w:val="000000"/>
                <w:lang w:eastAsia="en-GB"/>
              </w:rPr>
            </w:pPr>
            <w:r w:rsidRPr="008813E5">
              <w:rPr>
                <w:rFonts w:ascii="Calibri" w:eastAsia="Times New Roman" w:hAnsi="Calibri" w:cs="Times New Roman"/>
                <w:b/>
                <w:color w:val="000000"/>
                <w:lang w:eastAsia="en-GB"/>
              </w:rPr>
              <w:t>(numbers)</w:t>
            </w:r>
          </w:p>
        </w:tc>
        <w:tc>
          <w:tcPr>
            <w:tcW w:w="1323" w:type="dxa"/>
            <w:shd w:val="clear" w:color="auto" w:fill="D9E2F3" w:themeFill="accent1" w:themeFillTint="33"/>
            <w:noWrap/>
            <w:vAlign w:val="center"/>
            <w:hideMark/>
          </w:tcPr>
          <w:p w14:paraId="19D3D50B" w14:textId="77777777" w:rsidR="008813E5" w:rsidRPr="008813E5" w:rsidRDefault="008813E5" w:rsidP="008813E5">
            <w:pPr>
              <w:spacing w:line="240" w:lineRule="auto"/>
              <w:ind w:left="0"/>
              <w:jc w:val="center"/>
              <w:rPr>
                <w:rFonts w:ascii="Calibri" w:eastAsia="Times New Roman" w:hAnsi="Calibri" w:cs="Times New Roman"/>
                <w:b/>
                <w:color w:val="000000"/>
                <w:lang w:eastAsia="en-GB"/>
              </w:rPr>
            </w:pPr>
            <w:r w:rsidRPr="008813E5">
              <w:rPr>
                <w:rFonts w:ascii="Calibri" w:eastAsia="Times New Roman" w:hAnsi="Calibri" w:cs="Times New Roman"/>
                <w:b/>
                <w:color w:val="000000"/>
                <w:lang w:eastAsia="en-GB"/>
              </w:rPr>
              <w:t>(%)</w:t>
            </w:r>
          </w:p>
        </w:tc>
        <w:tc>
          <w:tcPr>
            <w:tcW w:w="1323" w:type="dxa"/>
            <w:shd w:val="clear" w:color="auto" w:fill="D9E2F3" w:themeFill="accent1" w:themeFillTint="33"/>
            <w:noWrap/>
            <w:vAlign w:val="center"/>
            <w:hideMark/>
          </w:tcPr>
          <w:p w14:paraId="6EA0CF4D" w14:textId="77777777" w:rsidR="008813E5" w:rsidRPr="008813E5" w:rsidRDefault="008813E5" w:rsidP="008813E5">
            <w:pPr>
              <w:spacing w:line="240" w:lineRule="auto"/>
              <w:ind w:left="0"/>
              <w:jc w:val="center"/>
              <w:rPr>
                <w:rFonts w:ascii="Calibri" w:eastAsia="Times New Roman" w:hAnsi="Calibri" w:cs="Times New Roman"/>
                <w:b/>
                <w:color w:val="000000"/>
                <w:lang w:eastAsia="en-GB"/>
              </w:rPr>
            </w:pPr>
            <w:r w:rsidRPr="008813E5">
              <w:rPr>
                <w:rFonts w:ascii="Calibri" w:eastAsia="Times New Roman" w:hAnsi="Calibri" w:cs="Times New Roman"/>
                <w:b/>
                <w:color w:val="000000"/>
                <w:lang w:eastAsia="en-GB"/>
              </w:rPr>
              <w:t>(%)</w:t>
            </w:r>
          </w:p>
        </w:tc>
      </w:tr>
      <w:tr w:rsidR="008813E5" w:rsidRPr="008813E5" w14:paraId="066D3901" w14:textId="77777777" w:rsidTr="008813E5">
        <w:trPr>
          <w:trHeight w:val="300"/>
        </w:trPr>
        <w:tc>
          <w:tcPr>
            <w:tcW w:w="3544" w:type="dxa"/>
            <w:shd w:val="clear" w:color="auto" w:fill="auto"/>
            <w:noWrap/>
            <w:vAlign w:val="bottom"/>
            <w:hideMark/>
          </w:tcPr>
          <w:p w14:paraId="1970487C" w14:textId="77777777" w:rsidR="008813E5" w:rsidRPr="008813E5" w:rsidRDefault="008813E5" w:rsidP="008813E5">
            <w:pPr>
              <w:spacing w:line="240" w:lineRule="auto"/>
              <w:ind w:left="0"/>
              <w:rPr>
                <w:rFonts w:ascii="Calibri" w:eastAsia="Times New Roman" w:hAnsi="Calibri" w:cs="Times New Roman"/>
                <w:b/>
                <w:color w:val="000000"/>
                <w:lang w:eastAsia="en-GB"/>
              </w:rPr>
            </w:pPr>
            <w:r w:rsidRPr="008813E5">
              <w:rPr>
                <w:rFonts w:ascii="Calibri" w:eastAsia="Times New Roman" w:hAnsi="Calibri" w:cs="Times New Roman"/>
                <w:b/>
                <w:color w:val="000000"/>
                <w:lang w:eastAsia="en-GB"/>
              </w:rPr>
              <w:t>Total claimants</w:t>
            </w:r>
          </w:p>
        </w:tc>
        <w:tc>
          <w:tcPr>
            <w:tcW w:w="1323" w:type="dxa"/>
            <w:shd w:val="clear" w:color="auto" w:fill="auto"/>
            <w:noWrap/>
            <w:vAlign w:val="center"/>
            <w:hideMark/>
          </w:tcPr>
          <w:p w14:paraId="03998056" w14:textId="77777777" w:rsidR="008813E5" w:rsidRPr="008813E5" w:rsidRDefault="008813E5" w:rsidP="008813E5">
            <w:pPr>
              <w:spacing w:line="240" w:lineRule="auto"/>
              <w:ind w:left="0"/>
              <w:jc w:val="center"/>
              <w:rPr>
                <w:rFonts w:ascii="Calibri" w:eastAsia="Times New Roman" w:hAnsi="Calibri" w:cs="Times New Roman"/>
                <w:color w:val="000000"/>
                <w:lang w:eastAsia="en-GB"/>
              </w:rPr>
            </w:pPr>
            <w:r w:rsidRPr="008813E5">
              <w:rPr>
                <w:rFonts w:ascii="Calibri" w:eastAsia="Times New Roman" w:hAnsi="Calibri" w:cs="Times New Roman"/>
                <w:color w:val="000000"/>
                <w:lang w:eastAsia="en-GB"/>
              </w:rPr>
              <w:t>14,730</w:t>
            </w:r>
          </w:p>
        </w:tc>
        <w:tc>
          <w:tcPr>
            <w:tcW w:w="1323" w:type="dxa"/>
            <w:shd w:val="clear" w:color="auto" w:fill="auto"/>
            <w:noWrap/>
            <w:vAlign w:val="center"/>
            <w:hideMark/>
          </w:tcPr>
          <w:p w14:paraId="32DD1B11" w14:textId="77777777" w:rsidR="008813E5" w:rsidRPr="008813E5" w:rsidRDefault="008813E5" w:rsidP="008813E5">
            <w:pPr>
              <w:spacing w:line="240" w:lineRule="auto"/>
              <w:ind w:left="0"/>
              <w:jc w:val="center"/>
              <w:rPr>
                <w:rFonts w:ascii="Calibri" w:eastAsia="Times New Roman" w:hAnsi="Calibri" w:cs="Times New Roman"/>
                <w:color w:val="000000"/>
                <w:lang w:eastAsia="en-GB"/>
              </w:rPr>
            </w:pPr>
            <w:r w:rsidRPr="008813E5">
              <w:rPr>
                <w:rFonts w:ascii="Calibri" w:eastAsia="Times New Roman" w:hAnsi="Calibri" w:cs="Times New Roman"/>
                <w:color w:val="000000"/>
                <w:lang w:eastAsia="en-GB"/>
              </w:rPr>
              <w:t>9.2</w:t>
            </w:r>
          </w:p>
        </w:tc>
        <w:tc>
          <w:tcPr>
            <w:tcW w:w="1323" w:type="dxa"/>
            <w:shd w:val="clear" w:color="auto" w:fill="auto"/>
            <w:noWrap/>
            <w:vAlign w:val="center"/>
            <w:hideMark/>
          </w:tcPr>
          <w:p w14:paraId="67641B03" w14:textId="77777777" w:rsidR="008813E5" w:rsidRPr="008813E5" w:rsidRDefault="008813E5" w:rsidP="008813E5">
            <w:pPr>
              <w:spacing w:line="240" w:lineRule="auto"/>
              <w:ind w:left="0"/>
              <w:jc w:val="center"/>
              <w:rPr>
                <w:rFonts w:ascii="Calibri" w:eastAsia="Times New Roman" w:hAnsi="Calibri" w:cs="Times New Roman"/>
                <w:color w:val="000000"/>
                <w:lang w:eastAsia="en-GB"/>
              </w:rPr>
            </w:pPr>
            <w:r w:rsidRPr="008813E5">
              <w:rPr>
                <w:rFonts w:ascii="Calibri" w:eastAsia="Times New Roman" w:hAnsi="Calibri" w:cs="Times New Roman"/>
                <w:color w:val="000000"/>
                <w:lang w:eastAsia="en-GB"/>
              </w:rPr>
              <w:t>13</w:t>
            </w:r>
          </w:p>
        </w:tc>
      </w:tr>
      <w:tr w:rsidR="008813E5" w:rsidRPr="008813E5" w14:paraId="18936CAB" w14:textId="77777777" w:rsidTr="008813E5">
        <w:trPr>
          <w:trHeight w:val="20"/>
        </w:trPr>
        <w:tc>
          <w:tcPr>
            <w:tcW w:w="3544" w:type="dxa"/>
            <w:shd w:val="clear" w:color="auto" w:fill="auto"/>
            <w:noWrap/>
            <w:vAlign w:val="bottom"/>
          </w:tcPr>
          <w:p w14:paraId="7DD7BF6D" w14:textId="77777777" w:rsidR="008813E5" w:rsidRPr="008813E5" w:rsidRDefault="008813E5" w:rsidP="008813E5">
            <w:pPr>
              <w:spacing w:line="240" w:lineRule="auto"/>
              <w:ind w:left="0"/>
              <w:rPr>
                <w:rFonts w:ascii="Calibri" w:eastAsia="Times New Roman" w:hAnsi="Calibri" w:cs="Times New Roman"/>
                <w:color w:val="000000"/>
                <w:sz w:val="6"/>
                <w:szCs w:val="6"/>
                <w:lang w:eastAsia="en-GB"/>
              </w:rPr>
            </w:pPr>
          </w:p>
        </w:tc>
        <w:tc>
          <w:tcPr>
            <w:tcW w:w="1323" w:type="dxa"/>
            <w:shd w:val="clear" w:color="auto" w:fill="auto"/>
            <w:noWrap/>
            <w:vAlign w:val="center"/>
          </w:tcPr>
          <w:p w14:paraId="58D7A252" w14:textId="77777777" w:rsidR="008813E5" w:rsidRPr="008813E5" w:rsidRDefault="008813E5" w:rsidP="008813E5">
            <w:pPr>
              <w:spacing w:line="240" w:lineRule="auto"/>
              <w:ind w:left="0"/>
              <w:jc w:val="center"/>
              <w:rPr>
                <w:rFonts w:ascii="Calibri" w:eastAsia="Times New Roman" w:hAnsi="Calibri" w:cs="Times New Roman"/>
                <w:color w:val="000000"/>
                <w:sz w:val="6"/>
                <w:szCs w:val="6"/>
                <w:lang w:eastAsia="en-GB"/>
              </w:rPr>
            </w:pPr>
          </w:p>
        </w:tc>
        <w:tc>
          <w:tcPr>
            <w:tcW w:w="1323" w:type="dxa"/>
            <w:shd w:val="clear" w:color="auto" w:fill="auto"/>
            <w:noWrap/>
            <w:vAlign w:val="center"/>
          </w:tcPr>
          <w:p w14:paraId="637B0904" w14:textId="77777777" w:rsidR="008813E5" w:rsidRPr="008813E5" w:rsidRDefault="008813E5" w:rsidP="008813E5">
            <w:pPr>
              <w:spacing w:line="240" w:lineRule="auto"/>
              <w:ind w:left="0"/>
              <w:jc w:val="center"/>
              <w:rPr>
                <w:rFonts w:ascii="Times New Roman" w:eastAsia="Times New Roman" w:hAnsi="Times New Roman" w:cs="Times New Roman"/>
                <w:sz w:val="6"/>
                <w:szCs w:val="6"/>
                <w:lang w:eastAsia="en-GB"/>
              </w:rPr>
            </w:pPr>
          </w:p>
        </w:tc>
        <w:tc>
          <w:tcPr>
            <w:tcW w:w="1323" w:type="dxa"/>
            <w:shd w:val="clear" w:color="auto" w:fill="auto"/>
            <w:noWrap/>
            <w:vAlign w:val="center"/>
          </w:tcPr>
          <w:p w14:paraId="0215C782" w14:textId="77777777" w:rsidR="008813E5" w:rsidRPr="008813E5" w:rsidRDefault="008813E5" w:rsidP="008813E5">
            <w:pPr>
              <w:spacing w:line="240" w:lineRule="auto"/>
              <w:ind w:left="0"/>
              <w:jc w:val="center"/>
              <w:rPr>
                <w:rFonts w:ascii="Times New Roman" w:eastAsia="Times New Roman" w:hAnsi="Times New Roman" w:cs="Times New Roman"/>
                <w:sz w:val="6"/>
                <w:szCs w:val="6"/>
                <w:lang w:eastAsia="en-GB"/>
              </w:rPr>
            </w:pPr>
          </w:p>
        </w:tc>
      </w:tr>
      <w:tr w:rsidR="008813E5" w:rsidRPr="008813E5" w14:paraId="15A3000B" w14:textId="77777777" w:rsidTr="008813E5">
        <w:trPr>
          <w:trHeight w:val="300"/>
        </w:trPr>
        <w:tc>
          <w:tcPr>
            <w:tcW w:w="3544" w:type="dxa"/>
            <w:shd w:val="clear" w:color="auto" w:fill="auto"/>
            <w:noWrap/>
            <w:vAlign w:val="bottom"/>
            <w:hideMark/>
          </w:tcPr>
          <w:p w14:paraId="273098F5" w14:textId="77777777" w:rsidR="008813E5" w:rsidRPr="008813E5" w:rsidRDefault="008813E5" w:rsidP="008813E5">
            <w:pPr>
              <w:spacing w:line="240" w:lineRule="auto"/>
              <w:ind w:left="0"/>
              <w:rPr>
                <w:rFonts w:ascii="Calibri" w:eastAsia="Times New Roman" w:hAnsi="Calibri" w:cs="Times New Roman"/>
                <w:color w:val="000000"/>
                <w:lang w:eastAsia="en-GB"/>
              </w:rPr>
            </w:pPr>
            <w:r w:rsidRPr="008813E5">
              <w:rPr>
                <w:rFonts w:ascii="Calibri" w:eastAsia="Times New Roman" w:hAnsi="Calibri" w:cs="Times New Roman"/>
                <w:color w:val="000000"/>
                <w:lang w:eastAsia="en-GB"/>
              </w:rPr>
              <w:t>By statistical group</w:t>
            </w:r>
          </w:p>
        </w:tc>
        <w:tc>
          <w:tcPr>
            <w:tcW w:w="1323" w:type="dxa"/>
            <w:shd w:val="clear" w:color="auto" w:fill="auto"/>
            <w:noWrap/>
            <w:vAlign w:val="center"/>
            <w:hideMark/>
          </w:tcPr>
          <w:p w14:paraId="0E68AE52" w14:textId="77777777" w:rsidR="008813E5" w:rsidRPr="008813E5" w:rsidRDefault="008813E5" w:rsidP="008813E5">
            <w:pPr>
              <w:spacing w:line="240" w:lineRule="auto"/>
              <w:ind w:left="0"/>
              <w:jc w:val="center"/>
              <w:rPr>
                <w:rFonts w:ascii="Calibri" w:eastAsia="Times New Roman" w:hAnsi="Calibri" w:cs="Times New Roman"/>
                <w:color w:val="000000"/>
                <w:lang w:eastAsia="en-GB"/>
              </w:rPr>
            </w:pPr>
          </w:p>
        </w:tc>
        <w:tc>
          <w:tcPr>
            <w:tcW w:w="1323" w:type="dxa"/>
            <w:shd w:val="clear" w:color="auto" w:fill="auto"/>
            <w:noWrap/>
            <w:vAlign w:val="center"/>
            <w:hideMark/>
          </w:tcPr>
          <w:p w14:paraId="60F445EC" w14:textId="77777777" w:rsidR="008813E5" w:rsidRPr="008813E5" w:rsidRDefault="008813E5" w:rsidP="008813E5">
            <w:pPr>
              <w:spacing w:line="240" w:lineRule="auto"/>
              <w:ind w:left="0"/>
              <w:jc w:val="center"/>
              <w:rPr>
                <w:rFonts w:ascii="Times New Roman" w:eastAsia="Times New Roman" w:hAnsi="Times New Roman" w:cs="Times New Roman"/>
                <w:sz w:val="20"/>
                <w:szCs w:val="20"/>
                <w:lang w:eastAsia="en-GB"/>
              </w:rPr>
            </w:pPr>
          </w:p>
        </w:tc>
        <w:tc>
          <w:tcPr>
            <w:tcW w:w="1323" w:type="dxa"/>
            <w:shd w:val="clear" w:color="auto" w:fill="auto"/>
            <w:noWrap/>
            <w:vAlign w:val="center"/>
            <w:hideMark/>
          </w:tcPr>
          <w:p w14:paraId="162B492D" w14:textId="77777777" w:rsidR="008813E5" w:rsidRPr="008813E5" w:rsidRDefault="008813E5" w:rsidP="008813E5">
            <w:pPr>
              <w:spacing w:line="240" w:lineRule="auto"/>
              <w:ind w:left="0"/>
              <w:jc w:val="center"/>
              <w:rPr>
                <w:rFonts w:ascii="Times New Roman" w:eastAsia="Times New Roman" w:hAnsi="Times New Roman" w:cs="Times New Roman"/>
                <w:sz w:val="20"/>
                <w:szCs w:val="20"/>
                <w:lang w:eastAsia="en-GB"/>
              </w:rPr>
            </w:pPr>
          </w:p>
        </w:tc>
      </w:tr>
      <w:tr w:rsidR="008813E5" w:rsidRPr="008813E5" w14:paraId="32098FFD" w14:textId="77777777" w:rsidTr="008813E5">
        <w:trPr>
          <w:trHeight w:val="300"/>
        </w:trPr>
        <w:tc>
          <w:tcPr>
            <w:tcW w:w="3544" w:type="dxa"/>
            <w:shd w:val="clear" w:color="auto" w:fill="auto"/>
            <w:noWrap/>
            <w:vAlign w:val="bottom"/>
            <w:hideMark/>
          </w:tcPr>
          <w:p w14:paraId="29455E6B" w14:textId="638DACEB" w:rsidR="008813E5" w:rsidRPr="008813E5" w:rsidRDefault="008813E5" w:rsidP="008813E5">
            <w:pPr>
              <w:spacing w:line="240" w:lineRule="auto"/>
              <w:ind w:left="0"/>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 xml:space="preserve">  Job seekers</w:t>
            </w:r>
          </w:p>
        </w:tc>
        <w:tc>
          <w:tcPr>
            <w:tcW w:w="1323" w:type="dxa"/>
            <w:shd w:val="clear" w:color="auto" w:fill="auto"/>
            <w:noWrap/>
            <w:vAlign w:val="center"/>
            <w:hideMark/>
          </w:tcPr>
          <w:p w14:paraId="65440017"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2,480</w:t>
            </w:r>
          </w:p>
        </w:tc>
        <w:tc>
          <w:tcPr>
            <w:tcW w:w="1323" w:type="dxa"/>
            <w:shd w:val="clear" w:color="auto" w:fill="auto"/>
            <w:noWrap/>
            <w:vAlign w:val="center"/>
            <w:hideMark/>
          </w:tcPr>
          <w:p w14:paraId="7CC46EA8"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1.5</w:t>
            </w:r>
          </w:p>
        </w:tc>
        <w:tc>
          <w:tcPr>
            <w:tcW w:w="1323" w:type="dxa"/>
            <w:shd w:val="clear" w:color="auto" w:fill="auto"/>
            <w:noWrap/>
            <w:vAlign w:val="center"/>
            <w:hideMark/>
          </w:tcPr>
          <w:p w14:paraId="16D63059"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1.4</w:t>
            </w:r>
          </w:p>
        </w:tc>
      </w:tr>
      <w:tr w:rsidR="008813E5" w:rsidRPr="008813E5" w14:paraId="358519F3" w14:textId="77777777" w:rsidTr="008813E5">
        <w:trPr>
          <w:trHeight w:val="300"/>
        </w:trPr>
        <w:tc>
          <w:tcPr>
            <w:tcW w:w="3544" w:type="dxa"/>
            <w:shd w:val="clear" w:color="auto" w:fill="auto"/>
            <w:noWrap/>
            <w:vAlign w:val="bottom"/>
            <w:hideMark/>
          </w:tcPr>
          <w:p w14:paraId="33E5A597" w14:textId="03B672FB" w:rsidR="008813E5" w:rsidRPr="008813E5" w:rsidRDefault="008813E5" w:rsidP="008813E5">
            <w:pPr>
              <w:spacing w:line="240" w:lineRule="auto"/>
              <w:ind w:left="0"/>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 xml:space="preserve">  ESA and incapacity benefits</w:t>
            </w:r>
          </w:p>
        </w:tc>
        <w:tc>
          <w:tcPr>
            <w:tcW w:w="1323" w:type="dxa"/>
            <w:shd w:val="clear" w:color="auto" w:fill="auto"/>
            <w:noWrap/>
            <w:vAlign w:val="center"/>
            <w:hideMark/>
          </w:tcPr>
          <w:p w14:paraId="0C0E730A"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8,620</w:t>
            </w:r>
          </w:p>
        </w:tc>
        <w:tc>
          <w:tcPr>
            <w:tcW w:w="1323" w:type="dxa"/>
            <w:shd w:val="clear" w:color="auto" w:fill="auto"/>
            <w:noWrap/>
            <w:vAlign w:val="center"/>
            <w:hideMark/>
          </w:tcPr>
          <w:p w14:paraId="216010AA"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5.4</w:t>
            </w:r>
          </w:p>
        </w:tc>
        <w:tc>
          <w:tcPr>
            <w:tcW w:w="1323" w:type="dxa"/>
            <w:shd w:val="clear" w:color="auto" w:fill="auto"/>
            <w:noWrap/>
            <w:vAlign w:val="center"/>
            <w:hideMark/>
          </w:tcPr>
          <w:p w14:paraId="7D6C0EEA"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7.8</w:t>
            </w:r>
          </w:p>
        </w:tc>
      </w:tr>
      <w:tr w:rsidR="008813E5" w:rsidRPr="008813E5" w14:paraId="0DAE564C" w14:textId="77777777" w:rsidTr="008813E5">
        <w:trPr>
          <w:trHeight w:val="300"/>
        </w:trPr>
        <w:tc>
          <w:tcPr>
            <w:tcW w:w="3544" w:type="dxa"/>
            <w:shd w:val="clear" w:color="auto" w:fill="auto"/>
            <w:noWrap/>
            <w:vAlign w:val="bottom"/>
            <w:hideMark/>
          </w:tcPr>
          <w:p w14:paraId="4E414B54" w14:textId="4D8AC765" w:rsidR="008813E5" w:rsidRPr="008813E5" w:rsidRDefault="008813E5" w:rsidP="008813E5">
            <w:pPr>
              <w:spacing w:line="240" w:lineRule="auto"/>
              <w:ind w:left="0"/>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 xml:space="preserve">  Lone parents</w:t>
            </w:r>
          </w:p>
        </w:tc>
        <w:tc>
          <w:tcPr>
            <w:tcW w:w="1323" w:type="dxa"/>
            <w:shd w:val="clear" w:color="auto" w:fill="auto"/>
            <w:noWrap/>
            <w:vAlign w:val="center"/>
            <w:hideMark/>
          </w:tcPr>
          <w:p w14:paraId="39F3BD5E"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1,050</w:t>
            </w:r>
          </w:p>
        </w:tc>
        <w:tc>
          <w:tcPr>
            <w:tcW w:w="1323" w:type="dxa"/>
            <w:shd w:val="clear" w:color="auto" w:fill="auto"/>
            <w:noWrap/>
            <w:vAlign w:val="center"/>
            <w:hideMark/>
          </w:tcPr>
          <w:p w14:paraId="56B48F8C"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0.6</w:t>
            </w:r>
          </w:p>
        </w:tc>
        <w:tc>
          <w:tcPr>
            <w:tcW w:w="1323" w:type="dxa"/>
            <w:shd w:val="clear" w:color="auto" w:fill="auto"/>
            <w:noWrap/>
            <w:vAlign w:val="center"/>
            <w:hideMark/>
          </w:tcPr>
          <w:p w14:paraId="67F3C3E0"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0.9</w:t>
            </w:r>
          </w:p>
        </w:tc>
      </w:tr>
      <w:tr w:rsidR="008813E5" w:rsidRPr="008813E5" w14:paraId="32061ABE" w14:textId="77777777" w:rsidTr="008813E5">
        <w:trPr>
          <w:trHeight w:val="300"/>
        </w:trPr>
        <w:tc>
          <w:tcPr>
            <w:tcW w:w="3544" w:type="dxa"/>
            <w:shd w:val="clear" w:color="auto" w:fill="auto"/>
            <w:noWrap/>
            <w:vAlign w:val="bottom"/>
            <w:hideMark/>
          </w:tcPr>
          <w:p w14:paraId="743166FD" w14:textId="41615DA7" w:rsidR="008813E5" w:rsidRPr="008813E5" w:rsidRDefault="008813E5" w:rsidP="008813E5">
            <w:pPr>
              <w:spacing w:line="240" w:lineRule="auto"/>
              <w:ind w:left="0"/>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 xml:space="preserve">  Carers</w:t>
            </w:r>
          </w:p>
        </w:tc>
        <w:tc>
          <w:tcPr>
            <w:tcW w:w="1323" w:type="dxa"/>
            <w:shd w:val="clear" w:color="auto" w:fill="auto"/>
            <w:noWrap/>
            <w:vAlign w:val="center"/>
            <w:hideMark/>
          </w:tcPr>
          <w:p w14:paraId="2648FFC2"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1,170</w:t>
            </w:r>
          </w:p>
        </w:tc>
        <w:tc>
          <w:tcPr>
            <w:tcW w:w="1323" w:type="dxa"/>
            <w:shd w:val="clear" w:color="auto" w:fill="auto"/>
            <w:noWrap/>
            <w:vAlign w:val="center"/>
            <w:hideMark/>
          </w:tcPr>
          <w:p w14:paraId="59887517"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0.7</w:t>
            </w:r>
          </w:p>
        </w:tc>
        <w:tc>
          <w:tcPr>
            <w:tcW w:w="1323" w:type="dxa"/>
            <w:shd w:val="clear" w:color="auto" w:fill="auto"/>
            <w:noWrap/>
            <w:vAlign w:val="center"/>
            <w:hideMark/>
          </w:tcPr>
          <w:p w14:paraId="6300D55C"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1.7</w:t>
            </w:r>
          </w:p>
        </w:tc>
      </w:tr>
      <w:tr w:rsidR="008813E5" w:rsidRPr="008813E5" w14:paraId="586F82F7" w14:textId="77777777" w:rsidTr="008813E5">
        <w:trPr>
          <w:trHeight w:val="300"/>
        </w:trPr>
        <w:tc>
          <w:tcPr>
            <w:tcW w:w="3544" w:type="dxa"/>
            <w:shd w:val="clear" w:color="auto" w:fill="auto"/>
            <w:noWrap/>
            <w:vAlign w:val="bottom"/>
            <w:hideMark/>
          </w:tcPr>
          <w:p w14:paraId="2F3CA937" w14:textId="78C221D9" w:rsidR="008813E5" w:rsidRPr="008813E5" w:rsidRDefault="008813E5" w:rsidP="008813E5">
            <w:pPr>
              <w:spacing w:line="240" w:lineRule="auto"/>
              <w:ind w:left="0"/>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 xml:space="preserve">  Others on income related benefits</w:t>
            </w:r>
          </w:p>
        </w:tc>
        <w:tc>
          <w:tcPr>
            <w:tcW w:w="1323" w:type="dxa"/>
            <w:shd w:val="clear" w:color="auto" w:fill="auto"/>
            <w:noWrap/>
            <w:vAlign w:val="center"/>
            <w:hideMark/>
          </w:tcPr>
          <w:p w14:paraId="453473AE"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180</w:t>
            </w:r>
          </w:p>
        </w:tc>
        <w:tc>
          <w:tcPr>
            <w:tcW w:w="1323" w:type="dxa"/>
            <w:shd w:val="clear" w:color="auto" w:fill="auto"/>
            <w:noWrap/>
            <w:vAlign w:val="center"/>
            <w:hideMark/>
          </w:tcPr>
          <w:p w14:paraId="0846A5BE"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0.1</w:t>
            </w:r>
          </w:p>
        </w:tc>
        <w:tc>
          <w:tcPr>
            <w:tcW w:w="1323" w:type="dxa"/>
            <w:shd w:val="clear" w:color="auto" w:fill="auto"/>
            <w:noWrap/>
            <w:vAlign w:val="center"/>
            <w:hideMark/>
          </w:tcPr>
          <w:p w14:paraId="19512119"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0.2</w:t>
            </w:r>
          </w:p>
        </w:tc>
      </w:tr>
      <w:tr w:rsidR="008813E5" w:rsidRPr="008813E5" w14:paraId="741AF128" w14:textId="77777777" w:rsidTr="008813E5">
        <w:trPr>
          <w:trHeight w:val="300"/>
        </w:trPr>
        <w:tc>
          <w:tcPr>
            <w:tcW w:w="3544" w:type="dxa"/>
            <w:shd w:val="clear" w:color="auto" w:fill="auto"/>
            <w:noWrap/>
            <w:vAlign w:val="bottom"/>
            <w:hideMark/>
          </w:tcPr>
          <w:p w14:paraId="49001120" w14:textId="01DC0CC9" w:rsidR="008813E5" w:rsidRPr="008813E5" w:rsidRDefault="008813E5" w:rsidP="008813E5">
            <w:pPr>
              <w:spacing w:line="240" w:lineRule="auto"/>
              <w:ind w:left="0"/>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 xml:space="preserve">  Disabled</w:t>
            </w:r>
          </w:p>
        </w:tc>
        <w:tc>
          <w:tcPr>
            <w:tcW w:w="1323" w:type="dxa"/>
            <w:shd w:val="clear" w:color="auto" w:fill="auto"/>
            <w:noWrap/>
            <w:vAlign w:val="center"/>
            <w:hideMark/>
          </w:tcPr>
          <w:p w14:paraId="229DD8D6"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1,010</w:t>
            </w:r>
          </w:p>
        </w:tc>
        <w:tc>
          <w:tcPr>
            <w:tcW w:w="1323" w:type="dxa"/>
            <w:shd w:val="clear" w:color="auto" w:fill="auto"/>
            <w:noWrap/>
            <w:vAlign w:val="center"/>
            <w:hideMark/>
          </w:tcPr>
          <w:p w14:paraId="1C9445E9"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0.6</w:t>
            </w:r>
          </w:p>
        </w:tc>
        <w:tc>
          <w:tcPr>
            <w:tcW w:w="1323" w:type="dxa"/>
            <w:shd w:val="clear" w:color="auto" w:fill="auto"/>
            <w:noWrap/>
            <w:vAlign w:val="center"/>
            <w:hideMark/>
          </w:tcPr>
          <w:p w14:paraId="7F4AD003"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0.9</w:t>
            </w:r>
          </w:p>
        </w:tc>
      </w:tr>
      <w:tr w:rsidR="008813E5" w:rsidRPr="008813E5" w14:paraId="1204FDA8" w14:textId="77777777" w:rsidTr="008813E5">
        <w:trPr>
          <w:trHeight w:val="300"/>
        </w:trPr>
        <w:tc>
          <w:tcPr>
            <w:tcW w:w="3544" w:type="dxa"/>
            <w:shd w:val="clear" w:color="auto" w:fill="auto"/>
            <w:noWrap/>
            <w:vAlign w:val="bottom"/>
            <w:hideMark/>
          </w:tcPr>
          <w:p w14:paraId="48A2854A" w14:textId="2F8AF9B1" w:rsidR="008813E5" w:rsidRPr="008813E5" w:rsidRDefault="008813E5" w:rsidP="008813E5">
            <w:pPr>
              <w:spacing w:line="240" w:lineRule="auto"/>
              <w:ind w:left="0"/>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 xml:space="preserve">  Bereaved</w:t>
            </w:r>
          </w:p>
        </w:tc>
        <w:tc>
          <w:tcPr>
            <w:tcW w:w="1323" w:type="dxa"/>
            <w:shd w:val="clear" w:color="auto" w:fill="auto"/>
            <w:noWrap/>
            <w:vAlign w:val="center"/>
            <w:hideMark/>
          </w:tcPr>
          <w:p w14:paraId="1DE0482B"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220</w:t>
            </w:r>
          </w:p>
        </w:tc>
        <w:tc>
          <w:tcPr>
            <w:tcW w:w="1323" w:type="dxa"/>
            <w:shd w:val="clear" w:color="auto" w:fill="auto"/>
            <w:noWrap/>
            <w:vAlign w:val="center"/>
            <w:hideMark/>
          </w:tcPr>
          <w:p w14:paraId="403D5CC2"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0.1</w:t>
            </w:r>
          </w:p>
        </w:tc>
        <w:tc>
          <w:tcPr>
            <w:tcW w:w="1323" w:type="dxa"/>
            <w:shd w:val="clear" w:color="auto" w:fill="auto"/>
            <w:noWrap/>
            <w:vAlign w:val="center"/>
            <w:hideMark/>
          </w:tcPr>
          <w:p w14:paraId="0D1C4EBA" w14:textId="77777777" w:rsidR="008813E5" w:rsidRPr="008813E5" w:rsidRDefault="008813E5" w:rsidP="008813E5">
            <w:pPr>
              <w:spacing w:line="240" w:lineRule="auto"/>
              <w:ind w:left="0"/>
              <w:jc w:val="center"/>
              <w:rPr>
                <w:rFonts w:ascii="Calibri" w:eastAsia="Times New Roman" w:hAnsi="Calibri" w:cs="Times New Roman"/>
                <w:i/>
                <w:color w:val="000000"/>
                <w:lang w:eastAsia="en-GB"/>
              </w:rPr>
            </w:pPr>
            <w:r w:rsidRPr="008813E5">
              <w:rPr>
                <w:rFonts w:ascii="Calibri" w:eastAsia="Times New Roman" w:hAnsi="Calibri" w:cs="Times New Roman"/>
                <w:i/>
                <w:color w:val="000000"/>
                <w:lang w:eastAsia="en-GB"/>
              </w:rPr>
              <w:t>0.2</w:t>
            </w:r>
          </w:p>
        </w:tc>
      </w:tr>
      <w:tr w:rsidR="008813E5" w:rsidRPr="008813E5" w14:paraId="5F0E6462" w14:textId="77777777" w:rsidTr="008813E5">
        <w:trPr>
          <w:trHeight w:val="300"/>
        </w:trPr>
        <w:tc>
          <w:tcPr>
            <w:tcW w:w="3544" w:type="dxa"/>
            <w:shd w:val="clear" w:color="auto" w:fill="auto"/>
            <w:noWrap/>
            <w:vAlign w:val="bottom"/>
            <w:hideMark/>
          </w:tcPr>
          <w:p w14:paraId="6483BF77" w14:textId="77777777" w:rsidR="008813E5" w:rsidRPr="008813E5" w:rsidRDefault="008813E5" w:rsidP="008813E5">
            <w:pPr>
              <w:spacing w:line="240" w:lineRule="auto"/>
              <w:ind w:left="0"/>
              <w:rPr>
                <w:rFonts w:ascii="Calibri" w:eastAsia="Times New Roman" w:hAnsi="Calibri" w:cs="Times New Roman"/>
                <w:color w:val="000000"/>
                <w:lang w:eastAsia="en-GB"/>
              </w:rPr>
            </w:pPr>
            <w:r w:rsidRPr="008813E5">
              <w:rPr>
                <w:rFonts w:ascii="Calibri" w:eastAsia="Times New Roman" w:hAnsi="Calibri" w:cs="Times New Roman"/>
                <w:color w:val="000000"/>
                <w:lang w:eastAsia="en-GB"/>
              </w:rPr>
              <w:t>Main out-of-work benefits†</w:t>
            </w:r>
          </w:p>
        </w:tc>
        <w:tc>
          <w:tcPr>
            <w:tcW w:w="1323" w:type="dxa"/>
            <w:shd w:val="clear" w:color="auto" w:fill="auto"/>
            <w:noWrap/>
            <w:vAlign w:val="center"/>
            <w:hideMark/>
          </w:tcPr>
          <w:p w14:paraId="2D55233B" w14:textId="77777777" w:rsidR="008813E5" w:rsidRPr="008813E5" w:rsidRDefault="008813E5" w:rsidP="008813E5">
            <w:pPr>
              <w:spacing w:line="240" w:lineRule="auto"/>
              <w:ind w:left="0"/>
              <w:jc w:val="center"/>
              <w:rPr>
                <w:rFonts w:ascii="Calibri" w:eastAsia="Times New Roman" w:hAnsi="Calibri" w:cs="Times New Roman"/>
                <w:color w:val="000000"/>
                <w:lang w:eastAsia="en-GB"/>
              </w:rPr>
            </w:pPr>
            <w:r w:rsidRPr="008813E5">
              <w:rPr>
                <w:rFonts w:ascii="Calibri" w:eastAsia="Times New Roman" w:hAnsi="Calibri" w:cs="Times New Roman"/>
                <w:color w:val="000000"/>
                <w:lang w:eastAsia="en-GB"/>
              </w:rPr>
              <w:t>12,330</w:t>
            </w:r>
          </w:p>
        </w:tc>
        <w:tc>
          <w:tcPr>
            <w:tcW w:w="1323" w:type="dxa"/>
            <w:shd w:val="clear" w:color="auto" w:fill="auto"/>
            <w:noWrap/>
            <w:vAlign w:val="center"/>
            <w:hideMark/>
          </w:tcPr>
          <w:p w14:paraId="36355099" w14:textId="77777777" w:rsidR="008813E5" w:rsidRPr="008813E5" w:rsidRDefault="008813E5" w:rsidP="008813E5">
            <w:pPr>
              <w:spacing w:line="240" w:lineRule="auto"/>
              <w:ind w:left="0"/>
              <w:jc w:val="center"/>
              <w:rPr>
                <w:rFonts w:ascii="Calibri" w:eastAsia="Times New Roman" w:hAnsi="Calibri" w:cs="Times New Roman"/>
                <w:color w:val="000000"/>
                <w:lang w:eastAsia="en-GB"/>
              </w:rPr>
            </w:pPr>
            <w:r w:rsidRPr="008813E5">
              <w:rPr>
                <w:rFonts w:ascii="Calibri" w:eastAsia="Times New Roman" w:hAnsi="Calibri" w:cs="Times New Roman"/>
                <w:color w:val="000000"/>
                <w:lang w:eastAsia="en-GB"/>
              </w:rPr>
              <w:t>7.7</w:t>
            </w:r>
          </w:p>
        </w:tc>
        <w:tc>
          <w:tcPr>
            <w:tcW w:w="1323" w:type="dxa"/>
            <w:shd w:val="clear" w:color="auto" w:fill="auto"/>
            <w:noWrap/>
            <w:vAlign w:val="center"/>
            <w:hideMark/>
          </w:tcPr>
          <w:p w14:paraId="3661BFF8" w14:textId="77777777" w:rsidR="008813E5" w:rsidRPr="008813E5" w:rsidRDefault="008813E5" w:rsidP="008813E5">
            <w:pPr>
              <w:spacing w:line="240" w:lineRule="auto"/>
              <w:ind w:left="0"/>
              <w:jc w:val="center"/>
              <w:rPr>
                <w:rFonts w:ascii="Calibri" w:eastAsia="Times New Roman" w:hAnsi="Calibri" w:cs="Times New Roman"/>
                <w:color w:val="000000"/>
                <w:lang w:eastAsia="en-GB"/>
              </w:rPr>
            </w:pPr>
            <w:r w:rsidRPr="008813E5">
              <w:rPr>
                <w:rFonts w:ascii="Calibri" w:eastAsia="Times New Roman" w:hAnsi="Calibri" w:cs="Times New Roman"/>
                <w:color w:val="000000"/>
                <w:lang w:eastAsia="en-GB"/>
              </w:rPr>
              <w:t>10.2</w:t>
            </w:r>
          </w:p>
        </w:tc>
      </w:tr>
    </w:tbl>
    <w:p w14:paraId="32353C60" w14:textId="0F45D4DC" w:rsidR="008813E5" w:rsidRDefault="008813E5" w:rsidP="008813E5">
      <w:pPr>
        <w:spacing w:line="240" w:lineRule="auto"/>
        <w:rPr>
          <w:rFonts w:ascii="Calibri" w:eastAsia="Times New Roman" w:hAnsi="Calibri" w:cs="Times New Roman"/>
          <w:color w:val="000000"/>
          <w:sz w:val="16"/>
          <w:szCs w:val="16"/>
          <w:lang w:eastAsia="en-GB"/>
        </w:rPr>
      </w:pPr>
      <w:r>
        <w:rPr>
          <w:rFonts w:ascii="Calibri" w:eastAsia="Times New Roman" w:hAnsi="Calibri" w:cs="Times New Roman"/>
          <w:color w:val="000000"/>
          <w:sz w:val="16"/>
          <w:szCs w:val="16"/>
          <w:lang w:eastAsia="en-GB"/>
        </w:rPr>
        <w:t xml:space="preserve">Source: Nomis, DWP benefit claimants – working age client group (Labour Market Profile), available at: </w:t>
      </w:r>
      <w:hyperlink r:id="rId219" w:anchor="ld" w:history="1">
        <w:r w:rsidRPr="00F6473B">
          <w:rPr>
            <w:rStyle w:val="Hyperlink"/>
            <w:rFonts w:ascii="Calibri" w:eastAsia="Times New Roman" w:hAnsi="Calibri" w:cs="Times New Roman"/>
            <w:sz w:val="16"/>
            <w:szCs w:val="16"/>
            <w:lang w:eastAsia="en-GB"/>
          </w:rPr>
          <w:t>https://www.nomisweb.co.uk/reports/lmp/la/1946157405/report.aspx?#ld</w:t>
        </w:r>
      </w:hyperlink>
      <w:r>
        <w:rPr>
          <w:rFonts w:ascii="Calibri" w:eastAsia="Times New Roman" w:hAnsi="Calibri" w:cs="Times New Roman"/>
          <w:color w:val="000000"/>
          <w:sz w:val="16"/>
          <w:szCs w:val="16"/>
          <w:lang w:eastAsia="en-GB"/>
        </w:rPr>
        <w:t xml:space="preserve"> </w:t>
      </w:r>
    </w:p>
    <w:p w14:paraId="54B84BC4" w14:textId="231A3B25" w:rsidR="008813E5" w:rsidRPr="008813E5" w:rsidRDefault="008813E5" w:rsidP="008813E5">
      <w:pPr>
        <w:spacing w:line="240" w:lineRule="auto"/>
        <w:rPr>
          <w:rFonts w:ascii="Calibri" w:eastAsia="Times New Roman" w:hAnsi="Calibri" w:cs="Times New Roman"/>
          <w:color w:val="000000"/>
          <w:sz w:val="16"/>
          <w:szCs w:val="16"/>
          <w:lang w:eastAsia="en-GB"/>
        </w:rPr>
      </w:pPr>
      <w:r w:rsidRPr="008813E5">
        <w:rPr>
          <w:rFonts w:ascii="Calibri" w:eastAsia="Times New Roman" w:hAnsi="Calibri" w:cs="Times New Roman"/>
          <w:color w:val="000000"/>
          <w:sz w:val="16"/>
          <w:szCs w:val="16"/>
          <w:lang w:eastAsia="en-GB"/>
        </w:rPr>
        <w:t>†   Main out-of-work benefits includes the groups: job seekers, ESA and incapacity benefits, lone parents and others on income related benefits.</w:t>
      </w:r>
    </w:p>
    <w:p w14:paraId="6A18FD3E" w14:textId="39A14551" w:rsidR="008813E5" w:rsidRDefault="008813E5" w:rsidP="00B3211B"/>
    <w:p w14:paraId="7AED0798" w14:textId="07E6265D" w:rsidR="008813E5" w:rsidRDefault="008813E5" w:rsidP="00B3211B">
      <w:pPr>
        <w:rPr>
          <w:lang w:val="en"/>
        </w:rPr>
      </w:pPr>
      <w:r w:rsidRPr="007A6668">
        <w:t xml:space="preserve">Note:  </w:t>
      </w:r>
      <w:r w:rsidRPr="007A6668">
        <w:rPr>
          <w:lang w:val="en"/>
        </w:rPr>
        <w:t>From August 2017 DWP discontinued this dataset when they changed the way they publish their benefit statistics. The last period of data is the November 2016 figures published in May 2017.</w:t>
      </w:r>
    </w:p>
    <w:p w14:paraId="235A6E44" w14:textId="6E2E665E" w:rsidR="008813E5" w:rsidRDefault="008813E5" w:rsidP="00B3211B"/>
    <w:p w14:paraId="63CA3563" w14:textId="259417F7" w:rsidR="00360B9B" w:rsidRDefault="00360B9B" w:rsidP="00360B9B">
      <w:pPr>
        <w:pStyle w:val="Heading2"/>
        <w:numPr>
          <w:ilvl w:val="2"/>
          <w:numId w:val="4"/>
        </w:numPr>
        <w:spacing w:after="120"/>
      </w:pPr>
      <w:bookmarkStart w:id="126" w:name="_Toc519088658"/>
      <w:r>
        <w:lastRenderedPageBreak/>
        <w:t>Welfare reforms</w:t>
      </w:r>
      <w:bookmarkEnd w:id="126"/>
    </w:p>
    <w:p w14:paraId="62E08ABC" w14:textId="0AEA1C16" w:rsidR="005947AF" w:rsidRDefault="00911DEE" w:rsidP="005947AF">
      <w:r w:rsidRPr="00911DEE">
        <w:rPr>
          <w:b/>
        </w:rPr>
        <w:t>Universal credit:</w:t>
      </w:r>
      <w:r>
        <w:t xml:space="preserve">  </w:t>
      </w:r>
      <w:r w:rsidR="005947AF">
        <w:t>In December 2017 there were 1,587 households in Aberdeen City on Universal Credit, an increase of 282 in the year from December 2016.</w:t>
      </w:r>
    </w:p>
    <w:p w14:paraId="5C9E928D" w14:textId="1A78BA44" w:rsidR="005947AF" w:rsidRDefault="005947AF" w:rsidP="005947AF"/>
    <w:p w14:paraId="248E931A" w14:textId="7FB66768" w:rsidR="005947AF" w:rsidRPr="005947AF" w:rsidRDefault="005947AF" w:rsidP="005947AF">
      <w:r>
        <w:rPr>
          <w:noProof/>
        </w:rPr>
        <w:drawing>
          <wp:inline distT="0" distB="0" distL="0" distR="0" wp14:anchorId="13A9FD94" wp14:editId="3A0BD410">
            <wp:extent cx="4839195" cy="2541270"/>
            <wp:effectExtent l="0" t="0" r="0" b="11430"/>
            <wp:docPr id="101" name="Chart 101">
              <a:extLst xmlns:a="http://schemas.openxmlformats.org/drawingml/2006/main">
                <a:ext uri="{FF2B5EF4-FFF2-40B4-BE49-F238E27FC236}">
                  <a16:creationId xmlns:a16="http://schemas.microsoft.com/office/drawing/2014/main" id="{8584E197-F27C-40DC-94C1-66D49B1616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14:paraId="54A5FD19" w14:textId="0B32EDCA" w:rsidR="00360B9B" w:rsidRDefault="005947AF" w:rsidP="00360B9B">
      <w:r>
        <w:t xml:space="preserve">Source:  Stat-Xplore, DWP, available at: </w:t>
      </w:r>
      <w:hyperlink r:id="rId221" w:history="1">
        <w:r w:rsidRPr="00D61693">
          <w:rPr>
            <w:rStyle w:val="Hyperlink"/>
          </w:rPr>
          <w:t>https://stat-xplore.dwp.gov.uk</w:t>
        </w:r>
      </w:hyperlink>
      <w:r>
        <w:t xml:space="preserve"> </w:t>
      </w:r>
    </w:p>
    <w:p w14:paraId="3BD9183A" w14:textId="77777777" w:rsidR="00274A82" w:rsidRPr="00360B9B" w:rsidRDefault="00274A82" w:rsidP="00360B9B"/>
    <w:p w14:paraId="513CFE2C" w14:textId="5E21D521" w:rsidR="00B3211B" w:rsidRDefault="00B3211B" w:rsidP="00B3211B">
      <w:pPr>
        <w:pStyle w:val="Heading2"/>
        <w:numPr>
          <w:ilvl w:val="2"/>
          <w:numId w:val="4"/>
        </w:numPr>
        <w:spacing w:after="120"/>
      </w:pPr>
      <w:bookmarkStart w:id="127" w:name="_Toc519088659"/>
      <w:r>
        <w:t>Employment</w:t>
      </w:r>
      <w:bookmarkEnd w:id="127"/>
    </w:p>
    <w:p w14:paraId="06EB2F1F" w14:textId="3DA3AAC7" w:rsidR="00B3211B" w:rsidRDefault="00332C18" w:rsidP="00B3211B">
      <w:r>
        <w:rPr>
          <w:noProof/>
        </w:rPr>
        <mc:AlternateContent>
          <mc:Choice Requires="wps">
            <w:drawing>
              <wp:anchor distT="45720" distB="45720" distL="114300" distR="114300" simplePos="0" relativeHeight="251672576" behindDoc="0" locked="0" layoutInCell="1" allowOverlap="1" wp14:anchorId="7746C128" wp14:editId="58EE4B28">
                <wp:simplePos x="0" y="0"/>
                <wp:positionH relativeFrom="margin">
                  <wp:align>right</wp:align>
                </wp:positionH>
                <wp:positionV relativeFrom="paragraph">
                  <wp:posOffset>77139</wp:posOffset>
                </wp:positionV>
                <wp:extent cx="2517775" cy="4401185"/>
                <wp:effectExtent l="0" t="0" r="15875" b="18415"/>
                <wp:wrapSquare wrapText="bothSides"/>
                <wp:docPr id="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775" cy="4401403"/>
                        </a:xfrm>
                        <a:prstGeom prst="rect">
                          <a:avLst/>
                        </a:prstGeom>
                        <a:solidFill>
                          <a:srgbClr val="FFFFFF"/>
                        </a:solidFill>
                        <a:ln w="9525">
                          <a:solidFill>
                            <a:srgbClr val="000000"/>
                          </a:solidFill>
                          <a:miter lim="800000"/>
                          <a:headEnd/>
                          <a:tailEnd/>
                        </a:ln>
                      </wps:spPr>
                      <wps:txbx>
                        <w:txbxContent>
                          <w:p w14:paraId="3B2EB47C" w14:textId="420D4918" w:rsidR="00175103" w:rsidRDefault="00175103" w:rsidP="00332C18">
                            <w:pPr>
                              <w:ind w:left="0"/>
                            </w:pPr>
                            <w:r w:rsidRPr="00332C18">
                              <w:t>The Aberdeen Place Standard questions asked respondents their views on ‘work and local economy’.  This question had a mean score of 4.08</w:t>
                            </w:r>
                            <w:r w:rsidRPr="00332C18">
                              <w:rPr>
                                <w:rFonts w:ascii="OpenSans-Light" w:hAnsi="OpenSans-Light" w:cs="OpenSans-Light"/>
                                <w:color w:val="262626"/>
                                <w:sz w:val="24"/>
                                <w:szCs w:val="24"/>
                              </w:rPr>
                              <w:t xml:space="preserve"> </w:t>
                            </w:r>
                            <w:r w:rsidRPr="00332C18">
                              <w:t>on a scale from 1 to 7 where 1 means there is a lot of room for</w:t>
                            </w:r>
                            <w:r>
                              <w:t xml:space="preserve"> </w:t>
                            </w:r>
                            <w:r w:rsidRPr="00332C18">
                              <w:t>improvement and 7 means there is very little room for improvement</w:t>
                            </w:r>
                            <w:r>
                              <w:t xml:space="preserve">.  Comments from respondents included: </w:t>
                            </w:r>
                          </w:p>
                          <w:p w14:paraId="12BA057F" w14:textId="77777777" w:rsidR="00175103" w:rsidRPr="00332C18" w:rsidRDefault="00175103" w:rsidP="00332C18">
                            <w:pPr>
                              <w:ind w:left="0"/>
                            </w:pPr>
                          </w:p>
                          <w:p w14:paraId="0534DD65" w14:textId="77777777" w:rsidR="00175103" w:rsidRPr="00D43FB8" w:rsidRDefault="00175103" w:rsidP="00332C18">
                            <w:pPr>
                              <w:ind w:left="0"/>
                              <w:rPr>
                                <w:i/>
                              </w:rPr>
                            </w:pPr>
                            <w:r>
                              <w:rPr>
                                <w:i/>
                              </w:rPr>
                              <w:t>“</w:t>
                            </w:r>
                            <w:r w:rsidRPr="00D43FB8">
                              <w:rPr>
                                <w:i/>
                              </w:rPr>
                              <w:t>It is very difficult to run a small business in Aberdeen. Lots of jobs have been lost recently due to the problems in the oil industry. Restaurants and shops have closed down.</w:t>
                            </w:r>
                            <w:r>
                              <w:rPr>
                                <w:i/>
                              </w:rPr>
                              <w:t>”</w:t>
                            </w:r>
                          </w:p>
                          <w:p w14:paraId="581E2B74" w14:textId="77777777" w:rsidR="00175103" w:rsidRPr="00D43FB8" w:rsidRDefault="00175103" w:rsidP="00332C18">
                            <w:pPr>
                              <w:ind w:left="0"/>
                              <w:rPr>
                                <w:i/>
                              </w:rPr>
                            </w:pPr>
                            <w:r>
                              <w:rPr>
                                <w:i/>
                              </w:rPr>
                              <w:t>“</w:t>
                            </w:r>
                            <w:r w:rsidRPr="00D43FB8">
                              <w:rPr>
                                <w:i/>
                              </w:rPr>
                              <w:t>Aberdeen is still a one</w:t>
                            </w:r>
                            <w:r>
                              <w:rPr>
                                <w:i/>
                              </w:rPr>
                              <w:t>-</w:t>
                            </w:r>
                            <w:r w:rsidRPr="00D43FB8">
                              <w:rPr>
                                <w:i/>
                              </w:rPr>
                              <w:t>horse town, and although that is picking up there are far more experienced people than jobs, so opportunities are minimal.</w:t>
                            </w:r>
                            <w:r>
                              <w:rPr>
                                <w:i/>
                              </w:rPr>
                              <w:t>”</w:t>
                            </w:r>
                          </w:p>
                          <w:p w14:paraId="1875F116" w14:textId="77777777" w:rsidR="00175103" w:rsidRPr="00D43FB8" w:rsidRDefault="00175103" w:rsidP="00332C18">
                            <w:pPr>
                              <w:ind w:left="0"/>
                              <w:rPr>
                                <w:i/>
                              </w:rPr>
                            </w:pPr>
                            <w:r>
                              <w:rPr>
                                <w:i/>
                              </w:rPr>
                              <w:t>“</w:t>
                            </w:r>
                            <w:r w:rsidRPr="00D43FB8">
                              <w:rPr>
                                <w:i/>
                              </w:rPr>
                              <w:t>Good economy though still recovering from the oil and gas downturn</w:t>
                            </w:r>
                            <w:r>
                              <w:rPr>
                                <w:i/>
                              </w:rPr>
                              <w:t>”</w:t>
                            </w:r>
                          </w:p>
                          <w:p w14:paraId="7FAE9AB3" w14:textId="77777777" w:rsidR="00175103" w:rsidRDefault="00175103" w:rsidP="00332C18">
                            <w:pPr>
                              <w:ind w:left="0"/>
                              <w:rPr>
                                <w:i/>
                              </w:rPr>
                            </w:pPr>
                            <w:r>
                              <w:rPr>
                                <w:i/>
                              </w:rPr>
                              <w:t>“</w:t>
                            </w:r>
                            <w:r w:rsidRPr="00D43FB8">
                              <w:rPr>
                                <w:i/>
                              </w:rPr>
                              <w:t>we run a successful business. there is lots of support from various agencies and good liaison with schools</w:t>
                            </w:r>
                            <w:r>
                              <w:rPr>
                                <w:i/>
                              </w:rPr>
                              <w:t>”</w:t>
                            </w:r>
                          </w:p>
                          <w:p w14:paraId="5E8DFA85" w14:textId="4F46A6A4" w:rsidR="00175103" w:rsidRDefault="0017510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6C128" id="_x0000_s1033" type="#_x0000_t202" style="position:absolute;left:0;text-align:left;margin-left:147.05pt;margin-top:6.05pt;width:198.25pt;height:346.55pt;z-index:2516725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IwcJwIAAE4EAAAOAAAAZHJzL2Uyb0RvYy54bWysVNtu2zAMfR+wfxD0vviyZGmNOEWXLsOA&#10;7gK0+wBZlmNhkqhJSuzu60vJaZrdXob5QSBF6pA8JL26GrUiB+G8BFPTYpZTIgyHVppdTb/eb19d&#10;UOIDMy1TYERNH4SnV+uXL1aDrUQJPahWOIIgxleDrWkfgq2yzPNeaOZnYIVBYwdOs4Cq22WtYwOi&#10;a5WVef4mG8C11gEX3uPtzWSk64TfdYKHz13nRSCqpphbSKdLZxPPbL1i1c4x20t+TIP9QxaaSYNB&#10;T1A3LDCyd/I3KC25Aw9dmHHQGXSd5CLVgNUU+S/V3PXMilQLkuPtiSb//2D5p8MXR2SLvStKSgzT&#10;2KR7MQbyFkZSRn4G6yt0u7PoGEa8Rt9Uq7e3wL95YmDTM7MT187B0AvWYn5FfJmdPZ1wfARpho/Q&#10;Yhi2D5CAxs7pSB7SQRAd+/Rw6k1MheNluSiWy+WCEo62+Twv5vnrFINVT8+t8+G9AE2iUFOHzU/w&#10;7HDrQ0yHVU8uMZoHJdutVCopbtdslCMHhoOyTd8R/Sc3ZchQ08tFuZgY+CtEnr4/QWgZcOKV1DW9&#10;ODmxKvL2zrRpHgOTapIxZWWOREbuJhbD2IypZ8sYIJLcQPuAzDqYBhwXEoUe3A9KBhzumvrve+YE&#10;JeqDwe5cFsggbkNS5otliYo7tzTnFmY4QtU0UDKJm5A2KPJm4Bq72MnE73Mmx5RxaBPtxwWLW3Gu&#10;J6/n38D6EQAA//8DAFBLAwQUAAYACAAAACEAOhx57t8AAAAHAQAADwAAAGRycy9kb3ducmV2Lnht&#10;bEyPwU7DMBBE70j8g7VIXFDrNKVpG+JUCAlEb9AiuLrxNomI18F20/D3LCc47sxo5m2xGW0nBvSh&#10;daRgNk1AIFXOtFQreNs/TlYgQtRkdOcIFXxjgE15eVHo3LgzveKwi7XgEgq5VtDE2OdShqpBq8PU&#10;9UjsHZ23OvLpa2m8PnO57WSaJJm0uiVeaHSPDw1Wn7uTVbC6fR4+wnb+8l5lx24db5bD05dX6vpq&#10;vL8DEXGMf2H4xWd0KJnp4E5kgugU8COR1XQGgt35OluAOChYJosUZFnI//zlDwAAAP//AwBQSwEC&#10;LQAUAAYACAAAACEAtoM4kv4AAADhAQAAEwAAAAAAAAAAAAAAAAAAAAAAW0NvbnRlbnRfVHlwZXNd&#10;LnhtbFBLAQItABQABgAIAAAAIQA4/SH/1gAAAJQBAAALAAAAAAAAAAAAAAAAAC8BAABfcmVscy8u&#10;cmVsc1BLAQItABQABgAIAAAAIQCrWIwcJwIAAE4EAAAOAAAAAAAAAAAAAAAAAC4CAABkcnMvZTJv&#10;RG9jLnhtbFBLAQItABQABgAIAAAAIQA6HHnu3wAAAAcBAAAPAAAAAAAAAAAAAAAAAIEEAABkcnMv&#10;ZG93bnJldi54bWxQSwUGAAAAAAQABADzAAAAjQUAAAAA&#10;">
                <v:textbox>
                  <w:txbxContent>
                    <w:p w14:paraId="3B2EB47C" w14:textId="420D4918" w:rsidR="00175103" w:rsidRDefault="00175103" w:rsidP="00332C18">
                      <w:pPr>
                        <w:ind w:left="0"/>
                      </w:pPr>
                      <w:r w:rsidRPr="00332C18">
                        <w:t>The Aberdeen Place Standard questions asked respondents their views on ‘work and local economy’.  This question had a mean score of 4.08</w:t>
                      </w:r>
                      <w:r w:rsidRPr="00332C18">
                        <w:rPr>
                          <w:rFonts w:ascii="OpenSans-Light" w:hAnsi="OpenSans-Light" w:cs="OpenSans-Light"/>
                          <w:color w:val="262626"/>
                          <w:sz w:val="24"/>
                          <w:szCs w:val="24"/>
                        </w:rPr>
                        <w:t xml:space="preserve"> </w:t>
                      </w:r>
                      <w:r w:rsidRPr="00332C18">
                        <w:t>on a scale from 1 to 7 where 1 means there is a lot of room for</w:t>
                      </w:r>
                      <w:r>
                        <w:t xml:space="preserve"> </w:t>
                      </w:r>
                      <w:r w:rsidRPr="00332C18">
                        <w:t>improvement and 7 means there is very little room for improvement</w:t>
                      </w:r>
                      <w:r>
                        <w:t xml:space="preserve">.  Comments from respondents included: </w:t>
                      </w:r>
                    </w:p>
                    <w:p w14:paraId="12BA057F" w14:textId="77777777" w:rsidR="00175103" w:rsidRPr="00332C18" w:rsidRDefault="00175103" w:rsidP="00332C18">
                      <w:pPr>
                        <w:ind w:left="0"/>
                      </w:pPr>
                    </w:p>
                    <w:p w14:paraId="0534DD65" w14:textId="77777777" w:rsidR="00175103" w:rsidRPr="00D43FB8" w:rsidRDefault="00175103" w:rsidP="00332C18">
                      <w:pPr>
                        <w:ind w:left="0"/>
                        <w:rPr>
                          <w:i/>
                        </w:rPr>
                      </w:pPr>
                      <w:r>
                        <w:rPr>
                          <w:i/>
                        </w:rPr>
                        <w:t>“</w:t>
                      </w:r>
                      <w:r w:rsidRPr="00D43FB8">
                        <w:rPr>
                          <w:i/>
                        </w:rPr>
                        <w:t>It is very difficult to run a small business in Aberdeen. Lots of jobs have been lost recently due to the problems in the oil industry. Restaurants and shops have closed down.</w:t>
                      </w:r>
                      <w:r>
                        <w:rPr>
                          <w:i/>
                        </w:rPr>
                        <w:t>”</w:t>
                      </w:r>
                    </w:p>
                    <w:p w14:paraId="581E2B74" w14:textId="77777777" w:rsidR="00175103" w:rsidRPr="00D43FB8" w:rsidRDefault="00175103" w:rsidP="00332C18">
                      <w:pPr>
                        <w:ind w:left="0"/>
                        <w:rPr>
                          <w:i/>
                        </w:rPr>
                      </w:pPr>
                      <w:r>
                        <w:rPr>
                          <w:i/>
                        </w:rPr>
                        <w:t>“</w:t>
                      </w:r>
                      <w:r w:rsidRPr="00D43FB8">
                        <w:rPr>
                          <w:i/>
                        </w:rPr>
                        <w:t>Aberdeen is still a one</w:t>
                      </w:r>
                      <w:r>
                        <w:rPr>
                          <w:i/>
                        </w:rPr>
                        <w:t>-</w:t>
                      </w:r>
                      <w:r w:rsidRPr="00D43FB8">
                        <w:rPr>
                          <w:i/>
                        </w:rPr>
                        <w:t>horse town, and although that is picking up there are far more experienced people than jobs, so opportunities are minimal.</w:t>
                      </w:r>
                      <w:r>
                        <w:rPr>
                          <w:i/>
                        </w:rPr>
                        <w:t>”</w:t>
                      </w:r>
                    </w:p>
                    <w:p w14:paraId="1875F116" w14:textId="77777777" w:rsidR="00175103" w:rsidRPr="00D43FB8" w:rsidRDefault="00175103" w:rsidP="00332C18">
                      <w:pPr>
                        <w:ind w:left="0"/>
                        <w:rPr>
                          <w:i/>
                        </w:rPr>
                      </w:pPr>
                      <w:r>
                        <w:rPr>
                          <w:i/>
                        </w:rPr>
                        <w:t>“</w:t>
                      </w:r>
                      <w:r w:rsidRPr="00D43FB8">
                        <w:rPr>
                          <w:i/>
                        </w:rPr>
                        <w:t>Good economy though still recovering from the oil and gas downturn</w:t>
                      </w:r>
                      <w:r>
                        <w:rPr>
                          <w:i/>
                        </w:rPr>
                        <w:t>”</w:t>
                      </w:r>
                    </w:p>
                    <w:p w14:paraId="7FAE9AB3" w14:textId="77777777" w:rsidR="00175103" w:rsidRDefault="00175103" w:rsidP="00332C18">
                      <w:pPr>
                        <w:ind w:left="0"/>
                        <w:rPr>
                          <w:i/>
                        </w:rPr>
                      </w:pPr>
                      <w:r>
                        <w:rPr>
                          <w:i/>
                        </w:rPr>
                        <w:t>“</w:t>
                      </w:r>
                      <w:r w:rsidRPr="00D43FB8">
                        <w:rPr>
                          <w:i/>
                        </w:rPr>
                        <w:t>we run a successful business. there is lots of support from various agencies and good liaison with schools</w:t>
                      </w:r>
                      <w:r>
                        <w:rPr>
                          <w:i/>
                        </w:rPr>
                        <w:t>”</w:t>
                      </w:r>
                    </w:p>
                    <w:p w14:paraId="5E8DFA85" w14:textId="4F46A6A4" w:rsidR="00175103" w:rsidRDefault="00175103"/>
                  </w:txbxContent>
                </v:textbox>
                <w10:wrap type="square" anchorx="margin"/>
              </v:shape>
            </w:pict>
          </mc:Fallback>
        </mc:AlternateContent>
      </w:r>
      <w:r w:rsidR="00B3211B" w:rsidRPr="00B3211B">
        <w:rPr>
          <w:b/>
        </w:rPr>
        <w:t>Job density:</w:t>
      </w:r>
      <w:r w:rsidR="00B3211B">
        <w:rPr>
          <w:b/>
        </w:rPr>
        <w:t xml:space="preserve">  </w:t>
      </w:r>
      <w:r w:rsidR="00B3211B">
        <w:t xml:space="preserve">In 2016 there were an estimated 192,000 jobs in the City – equivalent to 1.19 jobs per person aged 16-64 years.  Although still considerably higher than the rate for Scotland of 0.80, the number of jobs and </w:t>
      </w:r>
      <w:r w:rsidR="00BF0A34">
        <w:t xml:space="preserve">the </w:t>
      </w:r>
      <w:r w:rsidR="00B3211B">
        <w:t xml:space="preserve">job density rate have fallen since 2014 from 203,000 jobs and a job density of 1.26. </w:t>
      </w:r>
    </w:p>
    <w:p w14:paraId="1C685514" w14:textId="47CF60AD" w:rsidR="00B3211B" w:rsidRDefault="00B3211B" w:rsidP="00B3211B"/>
    <w:p w14:paraId="7D756156" w14:textId="3A597E9B" w:rsidR="00B3211B" w:rsidRDefault="00990E44" w:rsidP="00B3211B">
      <w:r w:rsidRPr="00990E44">
        <w:rPr>
          <w:b/>
        </w:rPr>
        <w:t xml:space="preserve">Employee jobs:  </w:t>
      </w:r>
      <w:r w:rsidRPr="00006FFA">
        <w:t>In 2016</w:t>
      </w:r>
      <w:r w:rsidR="00006FFA">
        <w:t xml:space="preserve"> the rate of full time employee jobs was higher in Aberdeen City (70.6%) than in Scotland (66.7%).</w:t>
      </w:r>
    </w:p>
    <w:p w14:paraId="4FF6FE3A" w14:textId="4C4CE96C" w:rsidR="00006FFA" w:rsidRDefault="00006FFA" w:rsidP="00B3211B"/>
    <w:p w14:paraId="514EE3E9" w14:textId="4DE12610" w:rsidR="00006FFA" w:rsidRPr="00BF0A34" w:rsidRDefault="00BF0A34" w:rsidP="00B3211B">
      <w:r w:rsidRPr="00BF0A34">
        <w:rPr>
          <w:b/>
        </w:rPr>
        <w:t>Employee jobs by sector</w:t>
      </w:r>
      <w:r w:rsidRPr="00BF0A34">
        <w:t>:  In 2016, the</w:t>
      </w:r>
      <w:r>
        <w:t xml:space="preserve"> sector which provided the highest proportion of employee jobs in Aberdeen (as in Scotland) was Human Health and Social Work Activities (15.3% of all employee jobs).  Other sectors which were high employers were Professional, Scientific and Technical Activities (13.0%) and Mining and Quarrying (13.0%).  With the exception of these two sectors and Transportation and Storage, the percentage of employees in each of the other sectors was lower in Aberdeen City than in Scotland.</w:t>
      </w:r>
    </w:p>
    <w:p w14:paraId="3B0DDFEF" w14:textId="093859CE" w:rsidR="00006FFA" w:rsidRDefault="00006FFA" w:rsidP="00B3211B">
      <w:pPr>
        <w:rPr>
          <w:b/>
        </w:rPr>
      </w:pPr>
    </w:p>
    <w:p w14:paraId="51D9E0CB" w14:textId="6BD1E6E2" w:rsidR="00006FFA" w:rsidRPr="00990E44" w:rsidRDefault="00006FFA" w:rsidP="00B3211B">
      <w:pPr>
        <w:rPr>
          <w:b/>
        </w:rPr>
      </w:pPr>
      <w:r>
        <w:rPr>
          <w:noProof/>
        </w:rPr>
        <w:drawing>
          <wp:inline distT="0" distB="0" distL="0" distR="0" wp14:anchorId="6E936722" wp14:editId="54A8CA62">
            <wp:extent cx="5328920" cy="3289111"/>
            <wp:effectExtent l="0" t="0" r="5080" b="6985"/>
            <wp:docPr id="88" name="Chart 88">
              <a:extLst xmlns:a="http://schemas.openxmlformats.org/drawingml/2006/main">
                <a:ext uri="{FF2B5EF4-FFF2-40B4-BE49-F238E27FC236}">
                  <a16:creationId xmlns:a16="http://schemas.microsoft.com/office/drawing/2014/main" id="{D2A40771-E2D1-4087-BA0D-72CFAB3898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3D33875A" w14:textId="0503AB48" w:rsidR="00B3211B" w:rsidRPr="00BF0A34" w:rsidRDefault="00BF0A34" w:rsidP="00B3211B">
      <w:pPr>
        <w:rPr>
          <w:sz w:val="16"/>
          <w:szCs w:val="16"/>
        </w:rPr>
      </w:pPr>
      <w:r w:rsidRPr="00BF0A34">
        <w:rPr>
          <w:sz w:val="16"/>
          <w:szCs w:val="16"/>
        </w:rPr>
        <w:t xml:space="preserve">Source: Nomis, ONS Business Register and Employment Survey, (Labour Market Profile); available at: </w:t>
      </w:r>
      <w:hyperlink r:id="rId223" w:anchor="ld" w:history="1">
        <w:r w:rsidRPr="00BF0A34">
          <w:rPr>
            <w:rStyle w:val="Hyperlink"/>
            <w:sz w:val="16"/>
            <w:szCs w:val="16"/>
          </w:rPr>
          <w:t>https://www.nomisweb.co.uk/reports/lmp/la/1946157405/report.aspx?#ld</w:t>
        </w:r>
      </w:hyperlink>
      <w:r w:rsidRPr="00BF0A34">
        <w:rPr>
          <w:sz w:val="16"/>
          <w:szCs w:val="16"/>
        </w:rPr>
        <w:t xml:space="preserve"> </w:t>
      </w:r>
    </w:p>
    <w:p w14:paraId="141A068C" w14:textId="3354DC2A" w:rsidR="00B3211B" w:rsidRDefault="00BF0A34" w:rsidP="00B3211B">
      <w:r w:rsidRPr="007A6668">
        <w:t>Note:  the proportion of employees in the Mining and Quarrying sector fell from 14.3% in 2015 to 13.0% in 2016.</w:t>
      </w:r>
    </w:p>
    <w:p w14:paraId="5BD7E37B" w14:textId="110AF6BF" w:rsidR="004A76B1" w:rsidRDefault="004A76B1" w:rsidP="00B3211B"/>
    <w:p w14:paraId="6CA8BF3F" w14:textId="503F7E08" w:rsidR="004A76B1" w:rsidRDefault="004A76B1" w:rsidP="004A76B1">
      <w:pPr>
        <w:pStyle w:val="Heading2"/>
        <w:numPr>
          <w:ilvl w:val="2"/>
          <w:numId w:val="4"/>
        </w:numPr>
        <w:spacing w:after="120"/>
      </w:pPr>
      <w:bookmarkStart w:id="128" w:name="_Toc519088660"/>
      <w:r>
        <w:t>Employment by occupation</w:t>
      </w:r>
      <w:bookmarkEnd w:id="128"/>
    </w:p>
    <w:p w14:paraId="3B496009" w14:textId="520D8EAD" w:rsidR="004A76B1" w:rsidRPr="004A76B1" w:rsidRDefault="004A76B1" w:rsidP="004A76B1">
      <w:r>
        <w:t>Over a quarter (26.9%) of employees in Aberdeen City are in Professional Occupations compared to 20.7% in this category for Scotland as a whole.  The next highest occupational sectors in Aberdeen are Associate Professional and Technical (13.8%), followed by Administrative and Secretarial (12.8%).</w:t>
      </w:r>
    </w:p>
    <w:p w14:paraId="67C2FC4D" w14:textId="1ED22A3D" w:rsidR="004A76B1" w:rsidRDefault="004A76B1" w:rsidP="004A76B1"/>
    <w:p w14:paraId="7FAB283E" w14:textId="5339B7FC" w:rsidR="004A76B1" w:rsidRPr="004A76B1" w:rsidRDefault="004A76B1" w:rsidP="004A76B1">
      <w:r>
        <w:rPr>
          <w:noProof/>
        </w:rPr>
        <w:drawing>
          <wp:inline distT="0" distB="0" distL="0" distR="0" wp14:anchorId="685432E9" wp14:editId="7F1385C9">
            <wp:extent cx="4572000" cy="2750023"/>
            <wp:effectExtent l="0" t="0" r="0" b="12700"/>
            <wp:docPr id="90" name="Chart 90">
              <a:extLst xmlns:a="http://schemas.openxmlformats.org/drawingml/2006/main">
                <a:ext uri="{FF2B5EF4-FFF2-40B4-BE49-F238E27FC236}">
                  <a16:creationId xmlns:a16="http://schemas.microsoft.com/office/drawing/2014/main" id="{4F0A8A62-9540-4543-A96C-30729C0DC8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14:paraId="50897099" w14:textId="78CE94D6" w:rsidR="00B3211B" w:rsidRDefault="004A76B1" w:rsidP="00B3211B">
      <w:pPr>
        <w:rPr>
          <w:rStyle w:val="Hyperlink"/>
          <w:sz w:val="16"/>
          <w:szCs w:val="16"/>
        </w:rPr>
      </w:pPr>
      <w:r w:rsidRPr="00BF0A34">
        <w:rPr>
          <w:sz w:val="16"/>
          <w:szCs w:val="16"/>
        </w:rPr>
        <w:t xml:space="preserve">Source: Nomis, ONS </w:t>
      </w:r>
      <w:r>
        <w:rPr>
          <w:sz w:val="16"/>
          <w:szCs w:val="16"/>
        </w:rPr>
        <w:t>Annual Population</w:t>
      </w:r>
      <w:r w:rsidRPr="00BF0A34">
        <w:rPr>
          <w:sz w:val="16"/>
          <w:szCs w:val="16"/>
        </w:rPr>
        <w:t xml:space="preserve"> Survey, (Labour Market Profile); available at: </w:t>
      </w:r>
      <w:hyperlink r:id="rId225" w:anchor="ld" w:history="1">
        <w:r w:rsidRPr="00BF0A34">
          <w:rPr>
            <w:rStyle w:val="Hyperlink"/>
            <w:sz w:val="16"/>
            <w:szCs w:val="16"/>
          </w:rPr>
          <w:t>https://www.nomisweb.co.uk/reports/lmp/la/1946157405/report.aspx?#ld</w:t>
        </w:r>
      </w:hyperlink>
    </w:p>
    <w:p w14:paraId="182E4BA6" w14:textId="77777777" w:rsidR="00360B9B" w:rsidRDefault="00360B9B" w:rsidP="00B3211B"/>
    <w:p w14:paraId="0EBEDD38" w14:textId="6D3F5333" w:rsidR="00E97DC9" w:rsidRPr="00E97DC9" w:rsidRDefault="00F53A8A" w:rsidP="00E97DC9">
      <w:r w:rsidRPr="00F53A8A">
        <w:rPr>
          <w:b/>
        </w:rPr>
        <w:lastRenderedPageBreak/>
        <w:t>Qualification level:</w:t>
      </w:r>
      <w:r>
        <w:t xml:space="preserve"> </w:t>
      </w:r>
      <w:r w:rsidR="00E97DC9">
        <w:t xml:space="preserve">Compared to Scotland, Aberdeen City has a higher proportion of its workforce who are qualified to NVQ4 and above (51.7% in Aberdeen and 43.9% in Scotland).  Aberdeen also has a </w:t>
      </w:r>
      <w:r w:rsidR="00B11867">
        <w:t>lower</w:t>
      </w:r>
      <w:r w:rsidR="00E97DC9">
        <w:t xml:space="preserve"> proportion of employees with no qualifications (6.3% in Aberdeen compared to 8.7% in Scotland). </w:t>
      </w:r>
    </w:p>
    <w:p w14:paraId="15FEA74D" w14:textId="728C443A" w:rsidR="004A76B1" w:rsidRDefault="004A76B1" w:rsidP="004A76B1"/>
    <w:p w14:paraId="0A225624" w14:textId="7C412F0F" w:rsidR="004A76B1" w:rsidRDefault="004A76B1" w:rsidP="004A76B1">
      <w:r>
        <w:rPr>
          <w:noProof/>
        </w:rPr>
        <w:drawing>
          <wp:inline distT="0" distB="0" distL="0" distR="0" wp14:anchorId="20B984DA" wp14:editId="699FE683">
            <wp:extent cx="4864100" cy="2572603"/>
            <wp:effectExtent l="0" t="0" r="12700" b="18415"/>
            <wp:docPr id="91" name="Chart 91">
              <a:extLst xmlns:a="http://schemas.openxmlformats.org/drawingml/2006/main">
                <a:ext uri="{FF2B5EF4-FFF2-40B4-BE49-F238E27FC236}">
                  <a16:creationId xmlns:a16="http://schemas.microsoft.com/office/drawing/2014/main" id="{18EB6847-A9E2-4729-8E1B-E22A1F6E47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14:paraId="0C35C733" w14:textId="3069D1D4" w:rsidR="00E97DC9" w:rsidRDefault="00E97DC9" w:rsidP="00E97DC9">
      <w:pPr>
        <w:rPr>
          <w:rStyle w:val="Hyperlink"/>
          <w:sz w:val="16"/>
          <w:szCs w:val="16"/>
        </w:rPr>
      </w:pPr>
      <w:r w:rsidRPr="00BF0A34">
        <w:rPr>
          <w:sz w:val="16"/>
          <w:szCs w:val="16"/>
        </w:rPr>
        <w:t xml:space="preserve">Source: Nomis, ONS </w:t>
      </w:r>
      <w:r>
        <w:rPr>
          <w:sz w:val="16"/>
          <w:szCs w:val="16"/>
        </w:rPr>
        <w:t>Annual Population</w:t>
      </w:r>
      <w:r w:rsidRPr="00BF0A34">
        <w:rPr>
          <w:sz w:val="16"/>
          <w:szCs w:val="16"/>
        </w:rPr>
        <w:t xml:space="preserve"> Survey, (Labour Market Profile); available at: </w:t>
      </w:r>
      <w:hyperlink r:id="rId227" w:anchor="ld" w:history="1">
        <w:r w:rsidRPr="00BF0A34">
          <w:rPr>
            <w:rStyle w:val="Hyperlink"/>
            <w:sz w:val="16"/>
            <w:szCs w:val="16"/>
          </w:rPr>
          <w:t>https://www.nomisweb.co.uk/reports/lmp/la/1946157405/report.aspx?#ld</w:t>
        </w:r>
      </w:hyperlink>
    </w:p>
    <w:p w14:paraId="66A37167" w14:textId="3D65C984" w:rsidR="00332C18" w:rsidRDefault="00332C18" w:rsidP="00E97DC9"/>
    <w:p w14:paraId="04F0A286" w14:textId="77777777" w:rsidR="00332C18" w:rsidRDefault="00332C18" w:rsidP="00E97DC9"/>
    <w:p w14:paraId="7E2E8CFA" w14:textId="240397B2" w:rsidR="004A6195" w:rsidRDefault="004A6195" w:rsidP="004A6195">
      <w:pPr>
        <w:pStyle w:val="Heading2"/>
        <w:numPr>
          <w:ilvl w:val="1"/>
          <w:numId w:val="4"/>
        </w:numPr>
      </w:pPr>
      <w:bookmarkStart w:id="129" w:name="_Toc519088661"/>
      <w:r>
        <w:t>Deprivation</w:t>
      </w:r>
      <w:r w:rsidR="00A92738">
        <w:t xml:space="preserve"> – SIMD 2016</w:t>
      </w:r>
      <w:bookmarkEnd w:id="129"/>
      <w:r w:rsidR="00911DEE">
        <w:t xml:space="preserve"> </w:t>
      </w:r>
    </w:p>
    <w:p w14:paraId="14DF72CC" w14:textId="14F905C9" w:rsidR="00162E36" w:rsidRPr="00A92738" w:rsidRDefault="00A92738" w:rsidP="00162E36">
      <w:pPr>
        <w:tabs>
          <w:tab w:val="left" w:pos="3570"/>
        </w:tabs>
        <w:spacing w:before="240"/>
        <w:ind w:hanging="900"/>
        <w:rPr>
          <w:rFonts w:ascii="Calibri" w:hAnsi="Calibri" w:cs="Calibri"/>
        </w:rPr>
      </w:pPr>
      <w:r w:rsidRPr="00A92738">
        <w:rPr>
          <w:rFonts w:ascii="Calibri" w:hAnsi="Calibri" w:cs="Calibri"/>
        </w:rPr>
        <w:tab/>
      </w:r>
      <w:r w:rsidR="00162E36" w:rsidRPr="00A92738">
        <w:rPr>
          <w:rFonts w:ascii="Calibri" w:hAnsi="Calibri" w:cs="Calibri"/>
        </w:rPr>
        <w:t xml:space="preserve">The Scottish Index of Multiple Deprivation (SIMD) identifies small area (data zones) concentrations of multiple deprivation across the whole of Scotland.  There are 283 data zones in Aberdeen City.  </w:t>
      </w:r>
    </w:p>
    <w:p w14:paraId="1C8A5FF3" w14:textId="252D61F2" w:rsidR="00162E36" w:rsidRDefault="00162E36" w:rsidP="00D66612">
      <w:pPr>
        <w:tabs>
          <w:tab w:val="left" w:pos="3570"/>
        </w:tabs>
        <w:spacing w:before="240"/>
        <w:ind w:hanging="900"/>
        <w:rPr>
          <w:rFonts w:ascii="Calibri" w:hAnsi="Calibri" w:cs="Calibri"/>
        </w:rPr>
      </w:pPr>
      <w:r w:rsidRPr="00A92738">
        <w:rPr>
          <w:rFonts w:ascii="Calibri" w:hAnsi="Calibri" w:cs="Calibri"/>
        </w:rPr>
        <w:tab/>
        <w:t xml:space="preserve">To calculate the SIMD 38 indicators are used to measure different aspects of deprivation in each data zone.  All indicators are then grouped into seven categories or ‘domains’.  These are: income; employment; health; education, skills &amp; training; housing; access to services; and crime. These seven domains are then combined into one overall SIMD which is used to rank each data zone. </w:t>
      </w:r>
    </w:p>
    <w:p w14:paraId="3BCA032C" w14:textId="16227BCB" w:rsidR="00162E36" w:rsidRPr="00C452D4" w:rsidRDefault="00C452D4" w:rsidP="008C0FAC">
      <w:pPr>
        <w:tabs>
          <w:tab w:val="left" w:pos="3570"/>
        </w:tabs>
        <w:spacing w:before="240"/>
        <w:ind w:hanging="900"/>
        <w:rPr>
          <w:rFonts w:ascii="Calibri" w:hAnsi="Calibri" w:cs="Calibri"/>
        </w:rPr>
      </w:pPr>
      <w:r>
        <w:rPr>
          <w:rFonts w:ascii="Calibri" w:hAnsi="Calibri" w:cs="Calibri"/>
        </w:rPr>
        <w:tab/>
      </w:r>
      <w:r w:rsidRPr="00C452D4">
        <w:rPr>
          <w:rFonts w:ascii="Calibri" w:hAnsi="Calibri" w:cs="Calibri"/>
        </w:rPr>
        <w:t xml:space="preserve">Based on overall rankings of deprivation (i.e. All Domains), </w:t>
      </w:r>
      <w:r>
        <w:rPr>
          <w:rFonts w:ascii="Calibri" w:hAnsi="Calibri" w:cs="Calibri"/>
        </w:rPr>
        <w:t xml:space="preserve">Aberdeen performs relatively well in the SIMD with 113 (40%) of its data zones being in the 20% least deprived areas of Scotland.   However, there are 22 (8%) data zones in the </w:t>
      </w:r>
      <w:r w:rsidR="00162E36" w:rsidRPr="00A92738">
        <w:rPr>
          <w:rFonts w:ascii="Calibri" w:hAnsi="Calibri" w:cs="Calibri"/>
        </w:rPr>
        <w:t>20% most deprived areas of Scotland</w:t>
      </w:r>
      <w:r>
        <w:rPr>
          <w:rFonts w:ascii="Calibri" w:hAnsi="Calibri" w:cs="Calibri"/>
        </w:rPr>
        <w:t xml:space="preserve"> – equivalent to a population of 18,171. </w:t>
      </w:r>
      <w:r w:rsidR="008C0FAC">
        <w:rPr>
          <w:rFonts w:ascii="Calibri" w:hAnsi="Calibri" w:cs="Calibri"/>
        </w:rPr>
        <w:t xml:space="preserve"> The most deprived data zones are located in </w:t>
      </w:r>
      <w:r w:rsidR="008C0FAC" w:rsidRPr="008C0FAC">
        <w:rPr>
          <w:rFonts w:ascii="Calibri" w:hAnsi="Calibri" w:cs="Calibri"/>
        </w:rPr>
        <w:t>Torry, Middlefield, Northfield, Seaton, Tillydrone, Woodside, Mastrick, Sheddocksley and George Street neighbourhoods.</w:t>
      </w:r>
      <w:r w:rsidR="008C0FAC">
        <w:rPr>
          <w:rFonts w:ascii="Calibri" w:hAnsi="Calibri" w:cs="Calibri"/>
        </w:rPr>
        <w:t xml:space="preserve"> </w:t>
      </w:r>
      <w:r>
        <w:rPr>
          <w:rFonts w:ascii="Calibri" w:hAnsi="Calibri" w:cs="Calibri"/>
        </w:rPr>
        <w:t xml:space="preserve"> </w:t>
      </w:r>
      <w:r w:rsidR="00162E36" w:rsidRPr="00A92738">
        <w:rPr>
          <w:rFonts w:ascii="Calibri" w:hAnsi="Calibri" w:cs="Arial"/>
        </w:rPr>
        <w:t xml:space="preserve">Aberdeen City has no data zones in the 5% most deprived areas of Scotland. </w:t>
      </w:r>
      <w:r w:rsidR="00A92738">
        <w:rPr>
          <w:rFonts w:ascii="Calibri" w:eastAsia="Calibri" w:hAnsi="Calibri" w:cs="Arial"/>
        </w:rPr>
        <w:t>The Table below</w:t>
      </w:r>
      <w:r w:rsidR="00162E36" w:rsidRPr="00A92738">
        <w:rPr>
          <w:rFonts w:ascii="Calibri" w:eastAsia="Calibri" w:hAnsi="Calibri" w:cs="Arial"/>
        </w:rPr>
        <w:t xml:space="preserve"> shows the number and population of the data zones in Aberdeen City that fall within the most deprived data zones in Scotland. </w:t>
      </w:r>
    </w:p>
    <w:p w14:paraId="40A78842" w14:textId="75EA9603" w:rsidR="003245FE" w:rsidRDefault="003245FE" w:rsidP="00162E36">
      <w:pPr>
        <w:ind w:left="709" w:hanging="851"/>
        <w:rPr>
          <w:rFonts w:ascii="Calibri" w:hAnsi="Calibri" w:cs="Arial"/>
        </w:rPr>
      </w:pPr>
    </w:p>
    <w:p w14:paraId="58A80645" w14:textId="77777777" w:rsidR="00332C18" w:rsidRDefault="00332C18" w:rsidP="00A45C89">
      <w:pPr>
        <w:ind w:left="709" w:firstLine="11"/>
        <w:rPr>
          <w:rFonts w:ascii="Calibri" w:eastAsia="Calibri" w:hAnsi="Calibri" w:cs="Arial"/>
          <w:b/>
        </w:rPr>
      </w:pPr>
    </w:p>
    <w:p w14:paraId="6C71CF80" w14:textId="77777777" w:rsidR="00332C18" w:rsidRDefault="00332C18" w:rsidP="00A45C89">
      <w:pPr>
        <w:ind w:left="709" w:firstLine="11"/>
        <w:rPr>
          <w:rFonts w:ascii="Calibri" w:eastAsia="Calibri" w:hAnsi="Calibri" w:cs="Arial"/>
          <w:b/>
        </w:rPr>
      </w:pPr>
    </w:p>
    <w:p w14:paraId="4C42C1AC" w14:textId="77777777" w:rsidR="00332C18" w:rsidRDefault="00332C18" w:rsidP="00A45C89">
      <w:pPr>
        <w:ind w:left="709" w:firstLine="11"/>
        <w:rPr>
          <w:rFonts w:ascii="Calibri" w:eastAsia="Calibri" w:hAnsi="Calibri" w:cs="Arial"/>
          <w:b/>
        </w:rPr>
      </w:pPr>
    </w:p>
    <w:p w14:paraId="275E6238" w14:textId="527ACE22" w:rsidR="00162E36" w:rsidRPr="00A92738" w:rsidRDefault="00162E36" w:rsidP="00A45C89">
      <w:pPr>
        <w:ind w:left="709" w:firstLine="11"/>
        <w:rPr>
          <w:rFonts w:ascii="Calibri" w:eastAsia="Calibri" w:hAnsi="Calibri" w:cs="Arial"/>
          <w:b/>
        </w:rPr>
      </w:pPr>
      <w:r w:rsidRPr="00A92738">
        <w:rPr>
          <w:rFonts w:ascii="Calibri" w:eastAsia="Calibri" w:hAnsi="Calibri" w:cs="Arial"/>
          <w:b/>
        </w:rPr>
        <w:lastRenderedPageBreak/>
        <w:t xml:space="preserve">Number and population of data zones in Aberdeen City that fall within the </w:t>
      </w:r>
      <w:r w:rsidR="006C67F3">
        <w:rPr>
          <w:rFonts w:ascii="Calibri" w:eastAsia="Calibri" w:hAnsi="Calibri" w:cs="Arial"/>
          <w:b/>
        </w:rPr>
        <w:t xml:space="preserve">20% </w:t>
      </w:r>
      <w:r w:rsidRPr="00A92738">
        <w:rPr>
          <w:rFonts w:ascii="Calibri" w:eastAsia="Calibri" w:hAnsi="Calibri" w:cs="Arial"/>
          <w:b/>
        </w:rPr>
        <w:t>most deprived data zones in Scotland</w:t>
      </w:r>
    </w:p>
    <w:tbl>
      <w:tblPr>
        <w:tblW w:w="8408" w:type="dxa"/>
        <w:tblInd w:w="7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46"/>
        <w:gridCol w:w="1276"/>
        <w:gridCol w:w="1275"/>
        <w:gridCol w:w="1418"/>
        <w:gridCol w:w="1276"/>
        <w:gridCol w:w="1417"/>
      </w:tblGrid>
      <w:tr w:rsidR="00162E36" w:rsidRPr="00A92738" w14:paraId="427AD4FF" w14:textId="77777777" w:rsidTr="003245FE">
        <w:trPr>
          <w:trHeight w:val="227"/>
        </w:trPr>
        <w:tc>
          <w:tcPr>
            <w:tcW w:w="1746" w:type="dxa"/>
            <w:shd w:val="clear" w:color="auto" w:fill="DBE5F1"/>
            <w:vAlign w:val="center"/>
          </w:tcPr>
          <w:p w14:paraId="6AEAD748" w14:textId="77777777" w:rsidR="00162E36" w:rsidRPr="00A92738" w:rsidRDefault="00162E36" w:rsidP="003245FE">
            <w:pPr>
              <w:ind w:left="0"/>
              <w:rPr>
                <w:rFonts w:ascii="Calibri" w:hAnsi="Calibri" w:cs="Arial"/>
                <w:b/>
                <w:sz w:val="20"/>
              </w:rPr>
            </w:pPr>
          </w:p>
        </w:tc>
        <w:tc>
          <w:tcPr>
            <w:tcW w:w="1276" w:type="dxa"/>
            <w:shd w:val="clear" w:color="auto" w:fill="DBE5F1"/>
            <w:vAlign w:val="center"/>
          </w:tcPr>
          <w:p w14:paraId="4E51D64C" w14:textId="77777777" w:rsidR="00162E36" w:rsidRPr="00A92738" w:rsidRDefault="00162E36" w:rsidP="003245FE">
            <w:pPr>
              <w:ind w:left="0"/>
              <w:jc w:val="center"/>
              <w:rPr>
                <w:rFonts w:ascii="Calibri" w:hAnsi="Calibri" w:cs="Arial"/>
                <w:b/>
                <w:sz w:val="20"/>
              </w:rPr>
            </w:pPr>
            <w:r w:rsidRPr="00A92738">
              <w:rPr>
                <w:rFonts w:ascii="Calibri" w:hAnsi="Calibri" w:cs="Arial"/>
                <w:b/>
                <w:sz w:val="20"/>
              </w:rPr>
              <w:t>MD 0-5% in Scotland</w:t>
            </w:r>
          </w:p>
        </w:tc>
        <w:tc>
          <w:tcPr>
            <w:tcW w:w="1275" w:type="dxa"/>
            <w:shd w:val="clear" w:color="auto" w:fill="DBE5F1"/>
            <w:vAlign w:val="center"/>
          </w:tcPr>
          <w:p w14:paraId="3497063D" w14:textId="77777777" w:rsidR="00162E36" w:rsidRPr="00A92738" w:rsidRDefault="00162E36" w:rsidP="003245FE">
            <w:pPr>
              <w:ind w:left="0"/>
              <w:jc w:val="center"/>
              <w:rPr>
                <w:rFonts w:ascii="Calibri" w:hAnsi="Calibri" w:cs="Arial"/>
                <w:b/>
                <w:sz w:val="20"/>
              </w:rPr>
            </w:pPr>
            <w:r w:rsidRPr="00A92738">
              <w:rPr>
                <w:rFonts w:ascii="Calibri" w:hAnsi="Calibri" w:cs="Arial"/>
                <w:b/>
                <w:sz w:val="20"/>
              </w:rPr>
              <w:t>MD 5-10% in Scotland</w:t>
            </w:r>
          </w:p>
        </w:tc>
        <w:tc>
          <w:tcPr>
            <w:tcW w:w="1418" w:type="dxa"/>
            <w:shd w:val="clear" w:color="auto" w:fill="DBE5F1"/>
            <w:vAlign w:val="center"/>
          </w:tcPr>
          <w:p w14:paraId="20D729D4" w14:textId="77777777" w:rsidR="00162E36" w:rsidRPr="00A92738" w:rsidRDefault="00162E36" w:rsidP="003245FE">
            <w:pPr>
              <w:ind w:left="0"/>
              <w:jc w:val="center"/>
              <w:rPr>
                <w:rFonts w:ascii="Calibri" w:hAnsi="Calibri" w:cs="Arial"/>
                <w:b/>
                <w:sz w:val="20"/>
              </w:rPr>
            </w:pPr>
            <w:r w:rsidRPr="00A92738">
              <w:rPr>
                <w:rFonts w:ascii="Calibri" w:hAnsi="Calibri" w:cs="Arial"/>
                <w:b/>
                <w:sz w:val="20"/>
              </w:rPr>
              <w:t>MD 10-15% in</w:t>
            </w:r>
          </w:p>
          <w:p w14:paraId="796C716B" w14:textId="77777777" w:rsidR="00162E36" w:rsidRPr="00A92738" w:rsidRDefault="00162E36" w:rsidP="003245FE">
            <w:pPr>
              <w:ind w:left="0"/>
              <w:jc w:val="center"/>
              <w:rPr>
                <w:rFonts w:ascii="Calibri" w:hAnsi="Calibri" w:cs="Arial"/>
                <w:b/>
                <w:sz w:val="20"/>
              </w:rPr>
            </w:pPr>
            <w:r w:rsidRPr="00A92738">
              <w:rPr>
                <w:rFonts w:ascii="Calibri" w:hAnsi="Calibri" w:cs="Arial"/>
                <w:b/>
                <w:sz w:val="20"/>
              </w:rPr>
              <w:t>Scotland</w:t>
            </w:r>
          </w:p>
        </w:tc>
        <w:tc>
          <w:tcPr>
            <w:tcW w:w="1276" w:type="dxa"/>
            <w:tcBorders>
              <w:right w:val="single" w:sz="12" w:space="0" w:color="auto"/>
            </w:tcBorders>
            <w:shd w:val="clear" w:color="auto" w:fill="DBE5F1"/>
            <w:vAlign w:val="center"/>
          </w:tcPr>
          <w:p w14:paraId="50481A0B" w14:textId="77777777" w:rsidR="00162E36" w:rsidRPr="00A92738" w:rsidRDefault="00162E36" w:rsidP="003245FE">
            <w:pPr>
              <w:ind w:left="0"/>
              <w:jc w:val="center"/>
              <w:rPr>
                <w:rFonts w:ascii="Calibri" w:hAnsi="Calibri" w:cs="Arial"/>
                <w:b/>
                <w:sz w:val="20"/>
              </w:rPr>
            </w:pPr>
            <w:r w:rsidRPr="00A92738">
              <w:rPr>
                <w:rFonts w:ascii="Calibri" w:hAnsi="Calibri" w:cs="Arial"/>
                <w:b/>
                <w:sz w:val="20"/>
              </w:rPr>
              <w:t>MD 15-20% in Scotland</w:t>
            </w:r>
          </w:p>
        </w:tc>
        <w:tc>
          <w:tcPr>
            <w:tcW w:w="1417" w:type="dxa"/>
            <w:tcBorders>
              <w:left w:val="single" w:sz="12" w:space="0" w:color="auto"/>
            </w:tcBorders>
            <w:shd w:val="clear" w:color="auto" w:fill="DBE5F1"/>
            <w:vAlign w:val="center"/>
          </w:tcPr>
          <w:p w14:paraId="791C01B7" w14:textId="77777777" w:rsidR="00162E36" w:rsidRPr="00A92738" w:rsidRDefault="00162E36" w:rsidP="003245FE">
            <w:pPr>
              <w:ind w:left="0"/>
              <w:jc w:val="center"/>
              <w:rPr>
                <w:rFonts w:ascii="Calibri" w:hAnsi="Calibri" w:cs="Arial"/>
                <w:b/>
                <w:sz w:val="20"/>
              </w:rPr>
            </w:pPr>
            <w:r w:rsidRPr="00A92738">
              <w:rPr>
                <w:rFonts w:ascii="Calibri" w:hAnsi="Calibri" w:cs="Arial"/>
                <w:b/>
                <w:sz w:val="20"/>
              </w:rPr>
              <w:t>All data zones in MD 0-20%</w:t>
            </w:r>
          </w:p>
        </w:tc>
      </w:tr>
      <w:tr w:rsidR="00162E36" w:rsidRPr="00A92738" w14:paraId="5A69E832" w14:textId="77777777" w:rsidTr="003245FE">
        <w:trPr>
          <w:trHeight w:val="227"/>
        </w:trPr>
        <w:tc>
          <w:tcPr>
            <w:tcW w:w="1746" w:type="dxa"/>
            <w:vAlign w:val="center"/>
          </w:tcPr>
          <w:p w14:paraId="7D4A1CDD" w14:textId="77777777" w:rsidR="00162E36" w:rsidRPr="00A92738" w:rsidRDefault="00162E36" w:rsidP="003245FE">
            <w:pPr>
              <w:ind w:left="0"/>
              <w:rPr>
                <w:rFonts w:ascii="Calibri" w:hAnsi="Calibri" w:cs="Arial"/>
                <w:sz w:val="20"/>
              </w:rPr>
            </w:pPr>
            <w:r w:rsidRPr="00A92738">
              <w:rPr>
                <w:rFonts w:ascii="Calibri" w:hAnsi="Calibri" w:cs="Arial"/>
                <w:sz w:val="20"/>
              </w:rPr>
              <w:t>Number of data zones</w:t>
            </w:r>
          </w:p>
        </w:tc>
        <w:tc>
          <w:tcPr>
            <w:tcW w:w="1276" w:type="dxa"/>
            <w:vAlign w:val="center"/>
          </w:tcPr>
          <w:p w14:paraId="1F424F83" w14:textId="77777777" w:rsidR="00162E36" w:rsidRPr="00A92738" w:rsidRDefault="00162E36" w:rsidP="003245FE">
            <w:pPr>
              <w:ind w:left="0"/>
              <w:jc w:val="center"/>
              <w:rPr>
                <w:rFonts w:ascii="Calibri" w:hAnsi="Calibri" w:cs="Arial"/>
                <w:sz w:val="20"/>
              </w:rPr>
            </w:pPr>
            <w:r w:rsidRPr="00A92738">
              <w:rPr>
                <w:rFonts w:ascii="Calibri" w:hAnsi="Calibri" w:cs="Arial"/>
                <w:sz w:val="20"/>
              </w:rPr>
              <w:t>0</w:t>
            </w:r>
          </w:p>
        </w:tc>
        <w:tc>
          <w:tcPr>
            <w:tcW w:w="1275" w:type="dxa"/>
            <w:vAlign w:val="center"/>
          </w:tcPr>
          <w:p w14:paraId="4DF10691" w14:textId="77777777" w:rsidR="00162E36" w:rsidRPr="00A92738" w:rsidRDefault="00162E36" w:rsidP="003245FE">
            <w:pPr>
              <w:ind w:left="0"/>
              <w:jc w:val="center"/>
              <w:rPr>
                <w:rFonts w:ascii="Calibri" w:hAnsi="Calibri" w:cs="Arial"/>
                <w:sz w:val="20"/>
              </w:rPr>
            </w:pPr>
            <w:r w:rsidRPr="00A92738">
              <w:rPr>
                <w:rFonts w:ascii="Calibri" w:hAnsi="Calibri" w:cs="Arial"/>
                <w:sz w:val="20"/>
              </w:rPr>
              <w:t>3</w:t>
            </w:r>
          </w:p>
        </w:tc>
        <w:tc>
          <w:tcPr>
            <w:tcW w:w="1418" w:type="dxa"/>
            <w:vAlign w:val="center"/>
          </w:tcPr>
          <w:p w14:paraId="3295C86F" w14:textId="77777777" w:rsidR="00162E36" w:rsidRPr="00A92738" w:rsidRDefault="00162E36" w:rsidP="003245FE">
            <w:pPr>
              <w:ind w:left="0"/>
              <w:jc w:val="center"/>
              <w:rPr>
                <w:rFonts w:ascii="Calibri" w:hAnsi="Calibri" w:cs="Arial"/>
                <w:sz w:val="20"/>
              </w:rPr>
            </w:pPr>
            <w:r w:rsidRPr="00A92738">
              <w:rPr>
                <w:rFonts w:ascii="Calibri" w:hAnsi="Calibri" w:cs="Arial"/>
                <w:sz w:val="20"/>
              </w:rPr>
              <w:t>6</w:t>
            </w:r>
          </w:p>
        </w:tc>
        <w:tc>
          <w:tcPr>
            <w:tcW w:w="1276" w:type="dxa"/>
            <w:tcBorders>
              <w:right w:val="single" w:sz="12" w:space="0" w:color="auto"/>
            </w:tcBorders>
            <w:vAlign w:val="center"/>
          </w:tcPr>
          <w:p w14:paraId="37372969" w14:textId="77777777" w:rsidR="00162E36" w:rsidRPr="00A92738" w:rsidRDefault="00162E36" w:rsidP="003245FE">
            <w:pPr>
              <w:ind w:left="0"/>
              <w:jc w:val="center"/>
              <w:rPr>
                <w:rFonts w:ascii="Calibri" w:hAnsi="Calibri" w:cs="Arial"/>
                <w:sz w:val="20"/>
              </w:rPr>
            </w:pPr>
            <w:r w:rsidRPr="00A92738">
              <w:rPr>
                <w:rFonts w:ascii="Calibri" w:hAnsi="Calibri" w:cs="Arial"/>
                <w:sz w:val="20"/>
              </w:rPr>
              <w:t>13</w:t>
            </w:r>
          </w:p>
        </w:tc>
        <w:tc>
          <w:tcPr>
            <w:tcW w:w="1417" w:type="dxa"/>
            <w:tcBorders>
              <w:left w:val="single" w:sz="12" w:space="0" w:color="auto"/>
            </w:tcBorders>
            <w:vAlign w:val="center"/>
          </w:tcPr>
          <w:p w14:paraId="5A3C67E0" w14:textId="77777777" w:rsidR="00162E36" w:rsidRPr="00A92738" w:rsidRDefault="00162E36" w:rsidP="003245FE">
            <w:pPr>
              <w:ind w:left="0"/>
              <w:jc w:val="center"/>
              <w:rPr>
                <w:rFonts w:ascii="Calibri" w:hAnsi="Calibri" w:cs="Arial"/>
                <w:b/>
                <w:sz w:val="20"/>
              </w:rPr>
            </w:pPr>
            <w:r w:rsidRPr="00A92738">
              <w:rPr>
                <w:rFonts w:ascii="Calibri" w:hAnsi="Calibri" w:cs="Arial"/>
                <w:b/>
                <w:sz w:val="20"/>
              </w:rPr>
              <w:t>22</w:t>
            </w:r>
          </w:p>
        </w:tc>
      </w:tr>
      <w:tr w:rsidR="00162E36" w:rsidRPr="00A92738" w14:paraId="36EBD677" w14:textId="77777777" w:rsidTr="003245FE">
        <w:trPr>
          <w:trHeight w:val="227"/>
        </w:trPr>
        <w:tc>
          <w:tcPr>
            <w:tcW w:w="1746" w:type="dxa"/>
            <w:vAlign w:val="center"/>
          </w:tcPr>
          <w:p w14:paraId="2BFDAE9E" w14:textId="77777777" w:rsidR="00162E36" w:rsidRPr="00A92738" w:rsidRDefault="00162E36" w:rsidP="003245FE">
            <w:pPr>
              <w:ind w:left="0"/>
              <w:rPr>
                <w:rFonts w:ascii="Calibri" w:hAnsi="Calibri" w:cs="Arial"/>
                <w:sz w:val="20"/>
              </w:rPr>
            </w:pPr>
            <w:r w:rsidRPr="00A92738">
              <w:rPr>
                <w:rFonts w:ascii="Calibri" w:hAnsi="Calibri" w:cs="Arial"/>
                <w:sz w:val="20"/>
              </w:rPr>
              <w:t>Population of data zones</w:t>
            </w:r>
          </w:p>
        </w:tc>
        <w:tc>
          <w:tcPr>
            <w:tcW w:w="1276" w:type="dxa"/>
            <w:vAlign w:val="center"/>
          </w:tcPr>
          <w:p w14:paraId="3E209ED1" w14:textId="77777777" w:rsidR="00162E36" w:rsidRPr="00A92738" w:rsidRDefault="00162E36" w:rsidP="003245FE">
            <w:pPr>
              <w:ind w:left="0"/>
              <w:jc w:val="center"/>
              <w:rPr>
                <w:rFonts w:ascii="Calibri" w:hAnsi="Calibri" w:cs="Arial"/>
                <w:sz w:val="20"/>
              </w:rPr>
            </w:pPr>
            <w:r w:rsidRPr="00A92738">
              <w:rPr>
                <w:rFonts w:ascii="Calibri" w:hAnsi="Calibri" w:cs="Arial"/>
                <w:sz w:val="20"/>
              </w:rPr>
              <w:t>0</w:t>
            </w:r>
          </w:p>
        </w:tc>
        <w:tc>
          <w:tcPr>
            <w:tcW w:w="1275" w:type="dxa"/>
            <w:vAlign w:val="center"/>
          </w:tcPr>
          <w:p w14:paraId="04799358" w14:textId="77777777" w:rsidR="00162E36" w:rsidRPr="00A92738" w:rsidRDefault="00162E36" w:rsidP="003245FE">
            <w:pPr>
              <w:ind w:left="0"/>
              <w:jc w:val="center"/>
              <w:rPr>
                <w:rFonts w:ascii="Calibri" w:hAnsi="Calibri" w:cs="Arial"/>
                <w:sz w:val="20"/>
              </w:rPr>
            </w:pPr>
            <w:r w:rsidRPr="00A92738">
              <w:rPr>
                <w:rFonts w:ascii="Calibri" w:hAnsi="Calibri" w:cs="Arial"/>
                <w:sz w:val="20"/>
              </w:rPr>
              <w:t>2,214</w:t>
            </w:r>
          </w:p>
        </w:tc>
        <w:tc>
          <w:tcPr>
            <w:tcW w:w="1418" w:type="dxa"/>
            <w:vAlign w:val="center"/>
          </w:tcPr>
          <w:p w14:paraId="47163B29" w14:textId="77777777" w:rsidR="00162E36" w:rsidRPr="00A92738" w:rsidRDefault="00162E36" w:rsidP="003245FE">
            <w:pPr>
              <w:ind w:left="0"/>
              <w:jc w:val="center"/>
              <w:rPr>
                <w:rFonts w:ascii="Calibri" w:hAnsi="Calibri" w:cs="Arial"/>
                <w:sz w:val="20"/>
              </w:rPr>
            </w:pPr>
            <w:r w:rsidRPr="00A92738">
              <w:rPr>
                <w:rFonts w:ascii="Calibri" w:hAnsi="Calibri" w:cs="Arial"/>
                <w:sz w:val="20"/>
              </w:rPr>
              <w:t>5,365</w:t>
            </w:r>
          </w:p>
        </w:tc>
        <w:tc>
          <w:tcPr>
            <w:tcW w:w="1276" w:type="dxa"/>
            <w:tcBorders>
              <w:right w:val="single" w:sz="12" w:space="0" w:color="auto"/>
            </w:tcBorders>
            <w:vAlign w:val="center"/>
          </w:tcPr>
          <w:p w14:paraId="3AE86378" w14:textId="77777777" w:rsidR="00162E36" w:rsidRPr="00A92738" w:rsidRDefault="00162E36" w:rsidP="003245FE">
            <w:pPr>
              <w:ind w:left="0"/>
              <w:jc w:val="center"/>
              <w:rPr>
                <w:rFonts w:ascii="Calibri" w:hAnsi="Calibri" w:cs="Arial"/>
                <w:sz w:val="20"/>
              </w:rPr>
            </w:pPr>
            <w:r w:rsidRPr="00A92738">
              <w:rPr>
                <w:rFonts w:ascii="Calibri" w:hAnsi="Calibri" w:cs="Arial"/>
                <w:sz w:val="20"/>
              </w:rPr>
              <w:t>10,496</w:t>
            </w:r>
          </w:p>
        </w:tc>
        <w:tc>
          <w:tcPr>
            <w:tcW w:w="1417" w:type="dxa"/>
            <w:tcBorders>
              <w:left w:val="single" w:sz="12" w:space="0" w:color="auto"/>
            </w:tcBorders>
            <w:vAlign w:val="center"/>
          </w:tcPr>
          <w:p w14:paraId="003CC8B1" w14:textId="77777777" w:rsidR="00162E36" w:rsidRPr="00A92738" w:rsidRDefault="00162E36" w:rsidP="003245FE">
            <w:pPr>
              <w:ind w:left="0"/>
              <w:jc w:val="center"/>
              <w:rPr>
                <w:rFonts w:ascii="Calibri" w:hAnsi="Calibri" w:cs="Arial"/>
                <w:b/>
                <w:sz w:val="20"/>
              </w:rPr>
            </w:pPr>
            <w:r w:rsidRPr="00A92738">
              <w:rPr>
                <w:rFonts w:ascii="Calibri" w:hAnsi="Calibri" w:cs="Arial"/>
                <w:b/>
                <w:sz w:val="20"/>
              </w:rPr>
              <w:t>18,075</w:t>
            </w:r>
          </w:p>
        </w:tc>
      </w:tr>
      <w:tr w:rsidR="00162E36" w:rsidRPr="00A92738" w14:paraId="6EEC2A3F" w14:textId="77777777" w:rsidTr="003245FE">
        <w:trPr>
          <w:trHeight w:val="227"/>
        </w:trPr>
        <w:tc>
          <w:tcPr>
            <w:tcW w:w="1746" w:type="dxa"/>
            <w:vAlign w:val="center"/>
          </w:tcPr>
          <w:p w14:paraId="108F547F" w14:textId="77777777" w:rsidR="00162E36" w:rsidRPr="00A92738" w:rsidRDefault="00162E36" w:rsidP="003245FE">
            <w:pPr>
              <w:ind w:left="0"/>
              <w:rPr>
                <w:rFonts w:ascii="Calibri" w:hAnsi="Calibri" w:cs="Arial"/>
                <w:sz w:val="20"/>
              </w:rPr>
            </w:pPr>
            <w:r w:rsidRPr="00A92738">
              <w:rPr>
                <w:rFonts w:ascii="Calibri" w:hAnsi="Calibri" w:cs="Arial"/>
                <w:sz w:val="20"/>
              </w:rPr>
              <w:t>% of Aberdeen City Population*</w:t>
            </w:r>
          </w:p>
        </w:tc>
        <w:tc>
          <w:tcPr>
            <w:tcW w:w="1276" w:type="dxa"/>
            <w:vAlign w:val="center"/>
          </w:tcPr>
          <w:p w14:paraId="65A95604" w14:textId="77777777" w:rsidR="00162E36" w:rsidRPr="00A92738" w:rsidRDefault="00162E36" w:rsidP="003245FE">
            <w:pPr>
              <w:ind w:left="0"/>
              <w:jc w:val="center"/>
              <w:rPr>
                <w:rFonts w:ascii="Calibri" w:hAnsi="Calibri" w:cs="Arial"/>
                <w:sz w:val="20"/>
              </w:rPr>
            </w:pPr>
            <w:r w:rsidRPr="00A92738">
              <w:rPr>
                <w:rFonts w:ascii="Calibri" w:hAnsi="Calibri" w:cs="Arial"/>
                <w:sz w:val="20"/>
              </w:rPr>
              <w:t>0.0%</w:t>
            </w:r>
          </w:p>
        </w:tc>
        <w:tc>
          <w:tcPr>
            <w:tcW w:w="1275" w:type="dxa"/>
            <w:vAlign w:val="center"/>
          </w:tcPr>
          <w:p w14:paraId="2C55B50A" w14:textId="77777777" w:rsidR="00162E36" w:rsidRPr="00A92738" w:rsidRDefault="00162E36" w:rsidP="003245FE">
            <w:pPr>
              <w:ind w:left="0"/>
              <w:jc w:val="center"/>
              <w:rPr>
                <w:rFonts w:ascii="Calibri" w:hAnsi="Calibri" w:cs="Arial"/>
                <w:sz w:val="20"/>
              </w:rPr>
            </w:pPr>
            <w:r w:rsidRPr="00A92738">
              <w:rPr>
                <w:rFonts w:ascii="Calibri" w:hAnsi="Calibri" w:cs="Arial"/>
                <w:sz w:val="20"/>
              </w:rPr>
              <w:t>1.0%</w:t>
            </w:r>
          </w:p>
        </w:tc>
        <w:tc>
          <w:tcPr>
            <w:tcW w:w="1418" w:type="dxa"/>
            <w:vAlign w:val="center"/>
          </w:tcPr>
          <w:p w14:paraId="6F0F1573" w14:textId="77777777" w:rsidR="00162E36" w:rsidRPr="00A92738" w:rsidRDefault="00162E36" w:rsidP="003245FE">
            <w:pPr>
              <w:ind w:left="0"/>
              <w:jc w:val="center"/>
              <w:rPr>
                <w:rFonts w:ascii="Calibri" w:hAnsi="Calibri" w:cs="Arial"/>
                <w:sz w:val="20"/>
              </w:rPr>
            </w:pPr>
            <w:r w:rsidRPr="00A92738">
              <w:rPr>
                <w:rFonts w:ascii="Calibri" w:hAnsi="Calibri" w:cs="Arial"/>
                <w:sz w:val="20"/>
              </w:rPr>
              <w:t>2.3%</w:t>
            </w:r>
          </w:p>
        </w:tc>
        <w:tc>
          <w:tcPr>
            <w:tcW w:w="1276" w:type="dxa"/>
            <w:tcBorders>
              <w:right w:val="single" w:sz="12" w:space="0" w:color="auto"/>
            </w:tcBorders>
            <w:vAlign w:val="center"/>
          </w:tcPr>
          <w:p w14:paraId="30B6CE4C" w14:textId="77777777" w:rsidR="00162E36" w:rsidRPr="00A92738" w:rsidRDefault="00162E36" w:rsidP="003245FE">
            <w:pPr>
              <w:ind w:left="0"/>
              <w:jc w:val="center"/>
              <w:rPr>
                <w:rFonts w:ascii="Calibri" w:hAnsi="Calibri" w:cs="Arial"/>
                <w:sz w:val="20"/>
              </w:rPr>
            </w:pPr>
            <w:r w:rsidRPr="00A92738">
              <w:rPr>
                <w:rFonts w:ascii="Calibri" w:hAnsi="Calibri" w:cs="Arial"/>
                <w:sz w:val="20"/>
              </w:rPr>
              <w:t>4.6%</w:t>
            </w:r>
          </w:p>
        </w:tc>
        <w:tc>
          <w:tcPr>
            <w:tcW w:w="1417" w:type="dxa"/>
            <w:tcBorders>
              <w:left w:val="single" w:sz="12" w:space="0" w:color="auto"/>
            </w:tcBorders>
            <w:vAlign w:val="center"/>
          </w:tcPr>
          <w:p w14:paraId="7014F447" w14:textId="77777777" w:rsidR="00162E36" w:rsidRPr="00A92738" w:rsidRDefault="00162E36" w:rsidP="003245FE">
            <w:pPr>
              <w:ind w:left="0"/>
              <w:jc w:val="center"/>
              <w:rPr>
                <w:rFonts w:ascii="Calibri" w:hAnsi="Calibri" w:cs="Arial"/>
                <w:b/>
                <w:sz w:val="20"/>
              </w:rPr>
            </w:pPr>
            <w:r w:rsidRPr="00A92738">
              <w:rPr>
                <w:rFonts w:ascii="Calibri" w:hAnsi="Calibri" w:cs="Arial"/>
                <w:b/>
                <w:sz w:val="20"/>
              </w:rPr>
              <w:t>7.9%</w:t>
            </w:r>
          </w:p>
        </w:tc>
      </w:tr>
    </w:tbl>
    <w:p w14:paraId="409A5F9D" w14:textId="73F41D96" w:rsidR="006C67F3" w:rsidRPr="006C67F3" w:rsidRDefault="006C67F3" w:rsidP="006C67F3">
      <w:pPr>
        <w:rPr>
          <w:rFonts w:ascii="Calibri" w:hAnsi="Calibri" w:cs="Arial"/>
          <w:sz w:val="16"/>
          <w:szCs w:val="16"/>
        </w:rPr>
      </w:pPr>
      <w:r w:rsidRPr="006C67F3">
        <w:rPr>
          <w:rFonts w:ascii="Calibri" w:hAnsi="Calibri" w:cs="Arial"/>
          <w:sz w:val="16"/>
          <w:szCs w:val="16"/>
        </w:rPr>
        <w:t xml:space="preserve">Source: </w:t>
      </w:r>
      <w:hyperlink r:id="rId228" w:history="1">
        <w:r w:rsidRPr="006C67F3">
          <w:rPr>
            <w:rStyle w:val="Hyperlink"/>
            <w:rFonts w:ascii="Calibri" w:hAnsi="Calibri" w:cs="Arial"/>
            <w:sz w:val="16"/>
            <w:szCs w:val="16"/>
          </w:rPr>
          <w:t>http://www.gov.scot/Topics/Statistics/SIMD</w:t>
        </w:r>
      </w:hyperlink>
    </w:p>
    <w:p w14:paraId="751DA6CC" w14:textId="2435D789" w:rsidR="00162E36" w:rsidRPr="006C67F3" w:rsidRDefault="00162E36" w:rsidP="006C67F3">
      <w:pPr>
        <w:rPr>
          <w:rFonts w:ascii="Calibri" w:hAnsi="Calibri" w:cs="Arial"/>
          <w:sz w:val="16"/>
          <w:szCs w:val="16"/>
        </w:rPr>
      </w:pPr>
      <w:r w:rsidRPr="006C67F3">
        <w:rPr>
          <w:rFonts w:ascii="Calibri" w:hAnsi="Calibri" w:cs="Arial"/>
          <w:sz w:val="16"/>
          <w:szCs w:val="16"/>
        </w:rPr>
        <w:t xml:space="preserve">* Population based on 2016 small area population estimates published by the National Records of Scotland. Total population in </w:t>
      </w:r>
      <w:r w:rsidR="006C67F3" w:rsidRPr="006C67F3">
        <w:rPr>
          <w:rFonts w:ascii="Calibri" w:hAnsi="Calibri" w:cs="Arial"/>
          <w:sz w:val="16"/>
          <w:szCs w:val="16"/>
        </w:rPr>
        <w:t xml:space="preserve">   </w:t>
      </w:r>
      <w:r w:rsidRPr="006C67F3">
        <w:rPr>
          <w:rFonts w:ascii="Calibri" w:hAnsi="Calibri" w:cs="Arial"/>
          <w:sz w:val="16"/>
          <w:szCs w:val="16"/>
        </w:rPr>
        <w:t>Aberdeen City is 229,840</w:t>
      </w:r>
    </w:p>
    <w:p w14:paraId="236E2ED0" w14:textId="71B48200" w:rsidR="00162E36" w:rsidRPr="006C67F3" w:rsidRDefault="00162E36" w:rsidP="00162E36">
      <w:pPr>
        <w:rPr>
          <w:rFonts w:ascii="Arial" w:eastAsia="Calibri" w:hAnsi="Arial" w:cs="Arial"/>
          <w:szCs w:val="24"/>
          <w:highlight w:val="yellow"/>
        </w:rPr>
      </w:pPr>
      <w:r w:rsidRPr="00A92738">
        <w:rPr>
          <w:rFonts w:ascii="Calibri" w:hAnsi="Calibri" w:cs="Arial"/>
          <w:i/>
          <w:sz w:val="16"/>
          <w:szCs w:val="16"/>
        </w:rPr>
        <w:tab/>
      </w:r>
    </w:p>
    <w:p w14:paraId="798A870D" w14:textId="1BDFCDDE" w:rsidR="00162E36" w:rsidRPr="00A92738" w:rsidRDefault="00162E36" w:rsidP="00162E36">
      <w:pPr>
        <w:ind w:left="709" w:hanging="709"/>
        <w:rPr>
          <w:rFonts w:ascii="Calibri" w:hAnsi="Calibri" w:cs="Calibri"/>
        </w:rPr>
      </w:pPr>
      <w:r w:rsidRPr="00A92738">
        <w:rPr>
          <w:rFonts w:ascii="Calibri" w:eastAsia="Calibri" w:hAnsi="Calibri" w:cs="Calibri"/>
        </w:rPr>
        <w:tab/>
        <w:t xml:space="preserve">Deprivation is unevenly distributed across the City. </w:t>
      </w:r>
      <w:r w:rsidR="00F35880">
        <w:rPr>
          <w:rFonts w:ascii="Calibri" w:eastAsia="Calibri" w:hAnsi="Calibri" w:cs="Calibri"/>
        </w:rPr>
        <w:t>The map below</w:t>
      </w:r>
      <w:r w:rsidRPr="00A92738">
        <w:rPr>
          <w:rFonts w:ascii="Calibri" w:eastAsia="Calibri" w:hAnsi="Calibri" w:cs="Calibri"/>
        </w:rPr>
        <w:t xml:space="preserve"> shows the level of deprivation for Aberdeen City’s data zones using SIMD 2016 quintiles. (</w:t>
      </w:r>
      <w:r w:rsidRPr="00A92738">
        <w:rPr>
          <w:rFonts w:ascii="Calibri" w:eastAsia="Calibri" w:hAnsi="Calibri" w:cs="Calibri"/>
          <w:i/>
        </w:rPr>
        <w:t>Note: each quintile contains 20% of Scotland’s data zones</w:t>
      </w:r>
      <w:r w:rsidRPr="00A92738">
        <w:rPr>
          <w:rFonts w:ascii="Calibri" w:eastAsia="Calibri" w:hAnsi="Calibri" w:cs="Calibri"/>
        </w:rPr>
        <w:t>.)</w:t>
      </w:r>
    </w:p>
    <w:p w14:paraId="5A0C15E4" w14:textId="648F73D9" w:rsidR="007A6668" w:rsidRDefault="00A45C89" w:rsidP="00332C18">
      <w:pPr>
        <w:ind w:left="709" w:hanging="709"/>
        <w:rPr>
          <w:rFonts w:ascii="Calibri" w:eastAsia="Calibri" w:hAnsi="Calibri" w:cs="Arial"/>
          <w:b/>
        </w:rPr>
      </w:pPr>
      <w:r w:rsidRPr="00A45C89">
        <w:rPr>
          <w:rFonts w:ascii="Arial" w:hAnsi="Arial" w:cs="Arial"/>
          <w:szCs w:val="24"/>
        </w:rPr>
        <w:tab/>
      </w:r>
    </w:p>
    <w:p w14:paraId="11EB3670" w14:textId="08C07318" w:rsidR="00162E36" w:rsidRPr="006C67F3" w:rsidRDefault="00162E36" w:rsidP="003245FE">
      <w:pPr>
        <w:rPr>
          <w:rFonts w:ascii="Calibri" w:eastAsia="Calibri" w:hAnsi="Calibri"/>
          <w:b/>
        </w:rPr>
      </w:pPr>
      <w:r w:rsidRPr="006C67F3">
        <w:rPr>
          <w:rFonts w:ascii="Calibri" w:eastAsia="Calibri" w:hAnsi="Calibri" w:cs="Arial"/>
          <w:b/>
        </w:rPr>
        <w:t>SIMD Level of deprivation by data zone, Aberdeen City, SIMD 2016 quintiles</w:t>
      </w:r>
    </w:p>
    <w:p w14:paraId="079432F8" w14:textId="69C3FDB7" w:rsidR="00162E36" w:rsidRPr="00A92738" w:rsidRDefault="00162E36" w:rsidP="00162E36">
      <w:pPr>
        <w:rPr>
          <w:rFonts w:ascii="Calibri" w:eastAsia="Calibri" w:hAnsi="Calibri"/>
          <w:szCs w:val="24"/>
        </w:rPr>
      </w:pPr>
      <w:r w:rsidRPr="00A92738">
        <w:rPr>
          <w:rFonts w:ascii="Calibri" w:eastAsia="Calibri" w:hAnsi="Calibri"/>
          <w:szCs w:val="24"/>
        </w:rPr>
        <w:tab/>
      </w:r>
      <w:r w:rsidRPr="00A92738">
        <w:rPr>
          <w:rFonts w:ascii="Calibri" w:eastAsia="Calibri" w:hAnsi="Calibri"/>
          <w:noProof/>
          <w:szCs w:val="24"/>
        </w:rPr>
        <w:drawing>
          <wp:inline distT="0" distB="0" distL="0" distR="0" wp14:anchorId="37E9BD39" wp14:editId="11080F9C">
            <wp:extent cx="4023360" cy="369821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027109" cy="3701662"/>
                    </a:xfrm>
                    <a:prstGeom prst="rect">
                      <a:avLst/>
                    </a:prstGeom>
                    <a:noFill/>
                    <a:ln>
                      <a:noFill/>
                    </a:ln>
                  </pic:spPr>
                </pic:pic>
              </a:graphicData>
            </a:graphic>
          </wp:inline>
        </w:drawing>
      </w:r>
    </w:p>
    <w:p w14:paraId="5B74041F" w14:textId="77777777" w:rsidR="00162E36" w:rsidRPr="00A92738" w:rsidRDefault="00162E36" w:rsidP="00162E36">
      <w:pPr>
        <w:ind w:left="721" w:hanging="902"/>
        <w:rPr>
          <w:rFonts w:ascii="Arial" w:hAnsi="Arial" w:cs="Arial"/>
          <w:szCs w:val="24"/>
        </w:rPr>
      </w:pPr>
    </w:p>
    <w:p w14:paraId="1E23D76B" w14:textId="79396F93" w:rsidR="00C452D4" w:rsidRDefault="00162E36" w:rsidP="00162E36">
      <w:pPr>
        <w:ind w:left="721" w:hanging="902"/>
        <w:rPr>
          <w:rFonts w:ascii="Calibri" w:hAnsi="Calibri" w:cs="Calibri"/>
        </w:rPr>
      </w:pPr>
      <w:r w:rsidRPr="00A92738">
        <w:rPr>
          <w:rFonts w:ascii="Calibri" w:hAnsi="Calibri" w:cs="Calibri"/>
        </w:rPr>
        <w:tab/>
      </w:r>
    </w:p>
    <w:p w14:paraId="66C4CC44" w14:textId="77777777" w:rsidR="00332C18" w:rsidRDefault="00FA6278" w:rsidP="00162E36">
      <w:pPr>
        <w:ind w:left="721" w:hanging="902"/>
        <w:rPr>
          <w:rFonts w:ascii="Calibri" w:hAnsi="Calibri" w:cs="Calibri"/>
        </w:rPr>
      </w:pPr>
      <w:r>
        <w:rPr>
          <w:rFonts w:ascii="Calibri" w:hAnsi="Calibri" w:cs="Calibri"/>
        </w:rPr>
        <w:tab/>
        <w:t xml:space="preserve">  </w:t>
      </w:r>
    </w:p>
    <w:p w14:paraId="0F38DBDC" w14:textId="77777777" w:rsidR="00332C18" w:rsidRDefault="00332C18">
      <w:pPr>
        <w:rPr>
          <w:rFonts w:ascii="Calibri" w:hAnsi="Calibri" w:cs="Calibri"/>
        </w:rPr>
      </w:pPr>
      <w:r>
        <w:rPr>
          <w:rFonts w:ascii="Calibri" w:hAnsi="Calibri" w:cs="Calibri"/>
        </w:rPr>
        <w:br w:type="page"/>
      </w:r>
    </w:p>
    <w:p w14:paraId="65591F0F" w14:textId="26DD34A1" w:rsidR="00FA6278" w:rsidRPr="00FA6278" w:rsidRDefault="00FA6278" w:rsidP="00332C18">
      <w:pPr>
        <w:ind w:left="721" w:hanging="1"/>
        <w:rPr>
          <w:rFonts w:ascii="Calibri" w:hAnsi="Calibri" w:cs="Calibri"/>
          <w:b/>
        </w:rPr>
      </w:pPr>
      <w:r w:rsidRPr="00FA6278">
        <w:rPr>
          <w:rFonts w:ascii="Calibri" w:hAnsi="Calibri"/>
          <w:b/>
          <w:sz w:val="24"/>
          <w:szCs w:val="24"/>
        </w:rPr>
        <w:lastRenderedPageBreak/>
        <w:t>Location of most deprived data zones, by neighbourhood</w:t>
      </w:r>
    </w:p>
    <w:tbl>
      <w:tblPr>
        <w:tblW w:w="7537"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2"/>
        <w:gridCol w:w="2410"/>
        <w:gridCol w:w="2835"/>
      </w:tblGrid>
      <w:tr w:rsidR="00FA6278" w:rsidRPr="00FA6278" w14:paraId="3F07CB15" w14:textId="77777777" w:rsidTr="00FA6278">
        <w:trPr>
          <w:trHeight w:val="284"/>
        </w:trPr>
        <w:tc>
          <w:tcPr>
            <w:tcW w:w="2292" w:type="dxa"/>
            <w:shd w:val="clear" w:color="auto" w:fill="D9E2F3" w:themeFill="accent1" w:themeFillTint="33"/>
            <w:noWrap/>
            <w:vAlign w:val="bottom"/>
            <w:hideMark/>
          </w:tcPr>
          <w:p w14:paraId="27096608" w14:textId="77777777" w:rsidR="00FA6278" w:rsidRPr="00FA6278" w:rsidRDefault="00FA6278" w:rsidP="00FA6278">
            <w:pPr>
              <w:spacing w:line="240" w:lineRule="auto"/>
              <w:ind w:left="0"/>
              <w:rPr>
                <w:rFonts w:eastAsia="Times New Roman" w:cs="Times New Roman"/>
                <w:b/>
                <w:bCs/>
                <w:sz w:val="20"/>
                <w:szCs w:val="20"/>
                <w:lang w:eastAsia="en-GB"/>
              </w:rPr>
            </w:pPr>
            <w:r w:rsidRPr="00FA6278">
              <w:rPr>
                <w:rFonts w:eastAsia="Times New Roman" w:cs="Times New Roman"/>
                <w:b/>
                <w:bCs/>
                <w:sz w:val="20"/>
                <w:szCs w:val="20"/>
                <w:lang w:eastAsia="en-GB"/>
              </w:rPr>
              <w:t> </w:t>
            </w:r>
          </w:p>
        </w:tc>
        <w:tc>
          <w:tcPr>
            <w:tcW w:w="2410" w:type="dxa"/>
            <w:shd w:val="clear" w:color="auto" w:fill="D9E2F3" w:themeFill="accent1" w:themeFillTint="33"/>
            <w:noWrap/>
            <w:vAlign w:val="bottom"/>
            <w:hideMark/>
          </w:tcPr>
          <w:p w14:paraId="2E9C03BE" w14:textId="77777777" w:rsidR="00FA6278" w:rsidRPr="00FA6278" w:rsidRDefault="00FA6278" w:rsidP="00FA6278">
            <w:pPr>
              <w:spacing w:line="240" w:lineRule="auto"/>
              <w:ind w:left="0"/>
              <w:rPr>
                <w:rFonts w:eastAsia="Times New Roman" w:cs="Times New Roman"/>
                <w:b/>
                <w:bCs/>
                <w:sz w:val="20"/>
                <w:szCs w:val="20"/>
                <w:lang w:eastAsia="en-GB"/>
              </w:rPr>
            </w:pPr>
            <w:r w:rsidRPr="00FA6278">
              <w:rPr>
                <w:rFonts w:eastAsia="Times New Roman" w:cs="Times New Roman"/>
                <w:b/>
                <w:bCs/>
                <w:sz w:val="20"/>
                <w:szCs w:val="20"/>
                <w:lang w:eastAsia="en-GB"/>
              </w:rPr>
              <w:t xml:space="preserve"> 2011 Data Zone</w:t>
            </w:r>
          </w:p>
        </w:tc>
        <w:tc>
          <w:tcPr>
            <w:tcW w:w="2835" w:type="dxa"/>
            <w:shd w:val="clear" w:color="auto" w:fill="D9E2F3" w:themeFill="accent1" w:themeFillTint="33"/>
            <w:noWrap/>
            <w:vAlign w:val="bottom"/>
            <w:hideMark/>
          </w:tcPr>
          <w:p w14:paraId="32486AC3" w14:textId="77777777" w:rsidR="00FA6278" w:rsidRPr="00FA6278" w:rsidRDefault="00FA6278" w:rsidP="00FA6278">
            <w:pPr>
              <w:spacing w:line="240" w:lineRule="auto"/>
              <w:ind w:left="0"/>
              <w:rPr>
                <w:rFonts w:eastAsia="Times New Roman" w:cs="Times New Roman"/>
                <w:b/>
                <w:bCs/>
                <w:sz w:val="20"/>
                <w:szCs w:val="20"/>
                <w:lang w:eastAsia="en-GB"/>
              </w:rPr>
            </w:pPr>
            <w:r w:rsidRPr="00FA6278">
              <w:rPr>
                <w:rFonts w:eastAsia="Times New Roman" w:cs="Times New Roman"/>
                <w:b/>
                <w:bCs/>
                <w:sz w:val="20"/>
                <w:szCs w:val="20"/>
                <w:lang w:eastAsia="en-GB"/>
              </w:rPr>
              <w:t>Neighbourhoods</w:t>
            </w:r>
          </w:p>
        </w:tc>
      </w:tr>
      <w:tr w:rsidR="00FA6278" w:rsidRPr="00FA6278" w14:paraId="2AC8419E" w14:textId="77777777" w:rsidTr="00FA6278">
        <w:trPr>
          <w:trHeight w:val="284"/>
        </w:trPr>
        <w:tc>
          <w:tcPr>
            <w:tcW w:w="2292" w:type="dxa"/>
            <w:vMerge w:val="restart"/>
            <w:shd w:val="clear" w:color="auto" w:fill="auto"/>
            <w:vAlign w:val="center"/>
            <w:hideMark/>
          </w:tcPr>
          <w:p w14:paraId="2906B75A" w14:textId="77777777" w:rsidR="00FA6278" w:rsidRPr="00FA6278" w:rsidRDefault="00FA6278" w:rsidP="00FA6278">
            <w:pPr>
              <w:spacing w:line="240" w:lineRule="auto"/>
              <w:ind w:left="0"/>
              <w:jc w:val="center"/>
              <w:rPr>
                <w:rFonts w:eastAsia="Times New Roman" w:cs="Times New Roman"/>
                <w:b/>
                <w:bCs/>
                <w:sz w:val="20"/>
                <w:szCs w:val="20"/>
                <w:lang w:eastAsia="en-GB"/>
              </w:rPr>
            </w:pPr>
            <w:r w:rsidRPr="00FA6278">
              <w:rPr>
                <w:rFonts w:eastAsia="Times New Roman" w:cs="Times New Roman"/>
                <w:b/>
                <w:bCs/>
                <w:sz w:val="20"/>
                <w:szCs w:val="20"/>
                <w:lang w:eastAsia="en-GB"/>
              </w:rPr>
              <w:t>Most deprived</w:t>
            </w:r>
            <w:r w:rsidRPr="00FA6278">
              <w:rPr>
                <w:rFonts w:eastAsia="Times New Roman" w:cs="Times New Roman"/>
                <w:b/>
                <w:bCs/>
                <w:sz w:val="20"/>
                <w:szCs w:val="20"/>
                <w:lang w:eastAsia="en-GB"/>
              </w:rPr>
              <w:br/>
              <w:t>5-10%</w:t>
            </w:r>
          </w:p>
        </w:tc>
        <w:tc>
          <w:tcPr>
            <w:tcW w:w="2410" w:type="dxa"/>
            <w:shd w:val="clear" w:color="000000" w:fill="FFFFFF"/>
            <w:noWrap/>
            <w:vAlign w:val="bottom"/>
            <w:hideMark/>
          </w:tcPr>
          <w:p w14:paraId="01B4BF8E"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S01006634</w:t>
            </w:r>
          </w:p>
        </w:tc>
        <w:tc>
          <w:tcPr>
            <w:tcW w:w="2835" w:type="dxa"/>
            <w:shd w:val="clear" w:color="auto" w:fill="auto"/>
            <w:noWrap/>
            <w:vAlign w:val="bottom"/>
            <w:hideMark/>
          </w:tcPr>
          <w:p w14:paraId="0E25657C"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Torry</w:t>
            </w:r>
          </w:p>
        </w:tc>
      </w:tr>
      <w:tr w:rsidR="00FA6278" w:rsidRPr="00FA6278" w14:paraId="7CB9F061" w14:textId="77777777" w:rsidTr="00FA6278">
        <w:trPr>
          <w:trHeight w:val="284"/>
        </w:trPr>
        <w:tc>
          <w:tcPr>
            <w:tcW w:w="2292" w:type="dxa"/>
            <w:vMerge/>
            <w:vAlign w:val="center"/>
            <w:hideMark/>
          </w:tcPr>
          <w:p w14:paraId="5F8A0E48" w14:textId="77777777" w:rsidR="00FA6278" w:rsidRPr="00FA6278" w:rsidRDefault="00FA6278" w:rsidP="00FA6278">
            <w:pPr>
              <w:spacing w:line="240" w:lineRule="auto"/>
              <w:ind w:left="0"/>
              <w:rPr>
                <w:rFonts w:eastAsia="Times New Roman" w:cs="Times New Roman"/>
                <w:b/>
                <w:bCs/>
                <w:sz w:val="20"/>
                <w:szCs w:val="20"/>
                <w:lang w:eastAsia="en-GB"/>
              </w:rPr>
            </w:pPr>
          </w:p>
        </w:tc>
        <w:tc>
          <w:tcPr>
            <w:tcW w:w="2410" w:type="dxa"/>
            <w:shd w:val="clear" w:color="000000" w:fill="FFFFFF"/>
            <w:noWrap/>
            <w:vAlign w:val="bottom"/>
            <w:hideMark/>
          </w:tcPr>
          <w:p w14:paraId="4E52CFB9"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S01006684</w:t>
            </w:r>
          </w:p>
        </w:tc>
        <w:tc>
          <w:tcPr>
            <w:tcW w:w="2835" w:type="dxa"/>
            <w:shd w:val="clear" w:color="auto" w:fill="auto"/>
            <w:noWrap/>
            <w:vAlign w:val="bottom"/>
            <w:hideMark/>
          </w:tcPr>
          <w:p w14:paraId="59F7D7CE"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Woodside</w:t>
            </w:r>
          </w:p>
        </w:tc>
      </w:tr>
      <w:tr w:rsidR="00FA6278" w:rsidRPr="00FA6278" w14:paraId="2430875F" w14:textId="77777777" w:rsidTr="00FA6278">
        <w:trPr>
          <w:trHeight w:val="284"/>
        </w:trPr>
        <w:tc>
          <w:tcPr>
            <w:tcW w:w="2292" w:type="dxa"/>
            <w:vMerge/>
            <w:vAlign w:val="center"/>
            <w:hideMark/>
          </w:tcPr>
          <w:p w14:paraId="0447B9E5" w14:textId="77777777" w:rsidR="00FA6278" w:rsidRPr="00FA6278" w:rsidRDefault="00FA6278" w:rsidP="00FA6278">
            <w:pPr>
              <w:spacing w:line="240" w:lineRule="auto"/>
              <w:ind w:left="0"/>
              <w:rPr>
                <w:rFonts w:eastAsia="Times New Roman" w:cs="Times New Roman"/>
                <w:b/>
                <w:bCs/>
                <w:sz w:val="20"/>
                <w:szCs w:val="20"/>
                <w:lang w:eastAsia="en-GB"/>
              </w:rPr>
            </w:pPr>
          </w:p>
        </w:tc>
        <w:tc>
          <w:tcPr>
            <w:tcW w:w="2410" w:type="dxa"/>
            <w:shd w:val="clear" w:color="000000" w:fill="FFFFFF"/>
            <w:noWrap/>
            <w:vAlign w:val="bottom"/>
            <w:hideMark/>
          </w:tcPr>
          <w:p w14:paraId="4EB33505"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S01006636</w:t>
            </w:r>
          </w:p>
        </w:tc>
        <w:tc>
          <w:tcPr>
            <w:tcW w:w="2835" w:type="dxa"/>
            <w:shd w:val="clear" w:color="auto" w:fill="auto"/>
            <w:noWrap/>
            <w:vAlign w:val="bottom"/>
            <w:hideMark/>
          </w:tcPr>
          <w:p w14:paraId="4C05EED0"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Torry</w:t>
            </w:r>
          </w:p>
        </w:tc>
      </w:tr>
      <w:tr w:rsidR="00FA6278" w:rsidRPr="00FA6278" w14:paraId="00608960" w14:textId="77777777" w:rsidTr="00FA6278">
        <w:trPr>
          <w:trHeight w:val="284"/>
        </w:trPr>
        <w:tc>
          <w:tcPr>
            <w:tcW w:w="2292" w:type="dxa"/>
            <w:vMerge w:val="restart"/>
            <w:shd w:val="clear" w:color="auto" w:fill="auto"/>
            <w:vAlign w:val="center"/>
            <w:hideMark/>
          </w:tcPr>
          <w:p w14:paraId="74C6076C" w14:textId="77777777" w:rsidR="00FA6278" w:rsidRPr="00FA6278" w:rsidRDefault="00FA6278" w:rsidP="00FA6278">
            <w:pPr>
              <w:spacing w:line="240" w:lineRule="auto"/>
              <w:ind w:left="0"/>
              <w:jc w:val="center"/>
              <w:rPr>
                <w:rFonts w:eastAsia="Times New Roman" w:cs="Times New Roman"/>
                <w:b/>
                <w:bCs/>
                <w:sz w:val="20"/>
                <w:szCs w:val="20"/>
                <w:lang w:eastAsia="en-GB"/>
              </w:rPr>
            </w:pPr>
            <w:r w:rsidRPr="00FA6278">
              <w:rPr>
                <w:rFonts w:eastAsia="Times New Roman" w:cs="Times New Roman"/>
                <w:b/>
                <w:bCs/>
                <w:sz w:val="20"/>
                <w:szCs w:val="20"/>
                <w:lang w:eastAsia="en-GB"/>
              </w:rPr>
              <w:t>Most deprived</w:t>
            </w:r>
            <w:r w:rsidRPr="00FA6278">
              <w:rPr>
                <w:rFonts w:eastAsia="Times New Roman" w:cs="Times New Roman"/>
                <w:b/>
                <w:bCs/>
                <w:sz w:val="20"/>
                <w:szCs w:val="20"/>
                <w:lang w:eastAsia="en-GB"/>
              </w:rPr>
              <w:br/>
              <w:t>10-15%</w:t>
            </w:r>
          </w:p>
        </w:tc>
        <w:tc>
          <w:tcPr>
            <w:tcW w:w="2410" w:type="dxa"/>
            <w:shd w:val="clear" w:color="000000" w:fill="FFFFFF"/>
            <w:noWrap/>
            <w:vAlign w:val="bottom"/>
            <w:hideMark/>
          </w:tcPr>
          <w:p w14:paraId="6C17B81D"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S01006667</w:t>
            </w:r>
          </w:p>
        </w:tc>
        <w:tc>
          <w:tcPr>
            <w:tcW w:w="2835" w:type="dxa"/>
            <w:shd w:val="clear" w:color="auto" w:fill="auto"/>
            <w:noWrap/>
            <w:vAlign w:val="bottom"/>
            <w:hideMark/>
          </w:tcPr>
          <w:p w14:paraId="64FF105E"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Seaton</w:t>
            </w:r>
          </w:p>
        </w:tc>
      </w:tr>
      <w:tr w:rsidR="00FA6278" w:rsidRPr="00FA6278" w14:paraId="7048F9C9" w14:textId="77777777" w:rsidTr="00FA6278">
        <w:trPr>
          <w:trHeight w:val="284"/>
        </w:trPr>
        <w:tc>
          <w:tcPr>
            <w:tcW w:w="2292" w:type="dxa"/>
            <w:vMerge/>
            <w:vAlign w:val="center"/>
            <w:hideMark/>
          </w:tcPr>
          <w:p w14:paraId="1282E997" w14:textId="77777777" w:rsidR="00FA6278" w:rsidRPr="00FA6278" w:rsidRDefault="00FA6278" w:rsidP="00FA6278">
            <w:pPr>
              <w:spacing w:line="240" w:lineRule="auto"/>
              <w:ind w:left="0"/>
              <w:rPr>
                <w:rFonts w:eastAsia="Times New Roman" w:cs="Times New Roman"/>
                <w:b/>
                <w:bCs/>
                <w:sz w:val="20"/>
                <w:szCs w:val="20"/>
                <w:lang w:eastAsia="en-GB"/>
              </w:rPr>
            </w:pPr>
          </w:p>
        </w:tc>
        <w:tc>
          <w:tcPr>
            <w:tcW w:w="2410" w:type="dxa"/>
            <w:shd w:val="clear" w:color="000000" w:fill="FFFFFF"/>
            <w:noWrap/>
            <w:vAlign w:val="bottom"/>
            <w:hideMark/>
          </w:tcPr>
          <w:p w14:paraId="434804CC"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S01006724</w:t>
            </w:r>
          </w:p>
        </w:tc>
        <w:tc>
          <w:tcPr>
            <w:tcW w:w="2835" w:type="dxa"/>
            <w:shd w:val="clear" w:color="auto" w:fill="auto"/>
            <w:noWrap/>
            <w:vAlign w:val="bottom"/>
            <w:hideMark/>
          </w:tcPr>
          <w:p w14:paraId="3CECDE22"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Northfield</w:t>
            </w:r>
          </w:p>
        </w:tc>
      </w:tr>
      <w:tr w:rsidR="00FA6278" w:rsidRPr="00FA6278" w14:paraId="7CCFE831" w14:textId="77777777" w:rsidTr="00FA6278">
        <w:trPr>
          <w:trHeight w:val="284"/>
        </w:trPr>
        <w:tc>
          <w:tcPr>
            <w:tcW w:w="2292" w:type="dxa"/>
            <w:vMerge/>
            <w:vAlign w:val="center"/>
            <w:hideMark/>
          </w:tcPr>
          <w:p w14:paraId="3AA374E7" w14:textId="77777777" w:rsidR="00FA6278" w:rsidRPr="00FA6278" w:rsidRDefault="00FA6278" w:rsidP="00FA6278">
            <w:pPr>
              <w:spacing w:line="240" w:lineRule="auto"/>
              <w:ind w:left="0"/>
              <w:rPr>
                <w:rFonts w:eastAsia="Times New Roman" w:cs="Times New Roman"/>
                <w:b/>
                <w:bCs/>
                <w:sz w:val="20"/>
                <w:szCs w:val="20"/>
                <w:lang w:eastAsia="en-GB"/>
              </w:rPr>
            </w:pPr>
          </w:p>
        </w:tc>
        <w:tc>
          <w:tcPr>
            <w:tcW w:w="2410" w:type="dxa"/>
            <w:shd w:val="clear" w:color="000000" w:fill="FFFFFF"/>
            <w:noWrap/>
            <w:vAlign w:val="bottom"/>
            <w:hideMark/>
          </w:tcPr>
          <w:p w14:paraId="2BC89683"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S01006729</w:t>
            </w:r>
          </w:p>
        </w:tc>
        <w:tc>
          <w:tcPr>
            <w:tcW w:w="2835" w:type="dxa"/>
            <w:shd w:val="clear" w:color="auto" w:fill="auto"/>
            <w:noWrap/>
            <w:vAlign w:val="bottom"/>
            <w:hideMark/>
          </w:tcPr>
          <w:p w14:paraId="4942FC33"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Middlefield</w:t>
            </w:r>
          </w:p>
        </w:tc>
      </w:tr>
      <w:tr w:rsidR="00FA6278" w:rsidRPr="00FA6278" w14:paraId="38F7E3CA" w14:textId="77777777" w:rsidTr="00FA6278">
        <w:trPr>
          <w:trHeight w:val="284"/>
        </w:trPr>
        <w:tc>
          <w:tcPr>
            <w:tcW w:w="2292" w:type="dxa"/>
            <w:vMerge/>
            <w:vAlign w:val="center"/>
            <w:hideMark/>
          </w:tcPr>
          <w:p w14:paraId="4F0BA240" w14:textId="77777777" w:rsidR="00FA6278" w:rsidRPr="00FA6278" w:rsidRDefault="00FA6278" w:rsidP="00FA6278">
            <w:pPr>
              <w:spacing w:line="240" w:lineRule="auto"/>
              <w:ind w:left="0"/>
              <w:rPr>
                <w:rFonts w:eastAsia="Times New Roman" w:cs="Times New Roman"/>
                <w:b/>
                <w:bCs/>
                <w:sz w:val="20"/>
                <w:szCs w:val="20"/>
                <w:lang w:eastAsia="en-GB"/>
              </w:rPr>
            </w:pPr>
          </w:p>
        </w:tc>
        <w:tc>
          <w:tcPr>
            <w:tcW w:w="2410" w:type="dxa"/>
            <w:shd w:val="clear" w:color="000000" w:fill="FFFFFF"/>
            <w:noWrap/>
            <w:vAlign w:val="bottom"/>
            <w:hideMark/>
          </w:tcPr>
          <w:p w14:paraId="0C5C543C"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S01006727</w:t>
            </w:r>
          </w:p>
        </w:tc>
        <w:tc>
          <w:tcPr>
            <w:tcW w:w="2835" w:type="dxa"/>
            <w:shd w:val="clear" w:color="auto" w:fill="auto"/>
            <w:noWrap/>
            <w:vAlign w:val="bottom"/>
            <w:hideMark/>
          </w:tcPr>
          <w:p w14:paraId="4D183340"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Middlefield</w:t>
            </w:r>
          </w:p>
        </w:tc>
      </w:tr>
      <w:tr w:rsidR="00FA6278" w:rsidRPr="00FA6278" w14:paraId="13B8C919" w14:textId="77777777" w:rsidTr="00FA6278">
        <w:trPr>
          <w:trHeight w:val="284"/>
        </w:trPr>
        <w:tc>
          <w:tcPr>
            <w:tcW w:w="2292" w:type="dxa"/>
            <w:vMerge/>
            <w:vAlign w:val="center"/>
            <w:hideMark/>
          </w:tcPr>
          <w:p w14:paraId="18EA807F" w14:textId="77777777" w:rsidR="00FA6278" w:rsidRPr="00FA6278" w:rsidRDefault="00FA6278" w:rsidP="00FA6278">
            <w:pPr>
              <w:spacing w:line="240" w:lineRule="auto"/>
              <w:ind w:left="0"/>
              <w:rPr>
                <w:rFonts w:eastAsia="Times New Roman" w:cs="Times New Roman"/>
                <w:b/>
                <w:bCs/>
                <w:sz w:val="20"/>
                <w:szCs w:val="20"/>
                <w:lang w:eastAsia="en-GB"/>
              </w:rPr>
            </w:pPr>
          </w:p>
        </w:tc>
        <w:tc>
          <w:tcPr>
            <w:tcW w:w="2410" w:type="dxa"/>
            <w:shd w:val="clear" w:color="000000" w:fill="FFFFFF"/>
            <w:noWrap/>
            <w:vAlign w:val="bottom"/>
            <w:hideMark/>
          </w:tcPr>
          <w:p w14:paraId="77503FE1"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S01006666</w:t>
            </w:r>
          </w:p>
        </w:tc>
        <w:tc>
          <w:tcPr>
            <w:tcW w:w="2835" w:type="dxa"/>
            <w:shd w:val="clear" w:color="auto" w:fill="auto"/>
            <w:noWrap/>
            <w:vAlign w:val="bottom"/>
            <w:hideMark/>
          </w:tcPr>
          <w:p w14:paraId="5CAFA056"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Seaton</w:t>
            </w:r>
          </w:p>
        </w:tc>
      </w:tr>
      <w:tr w:rsidR="00FA6278" w:rsidRPr="00FA6278" w14:paraId="4E25A4CB" w14:textId="77777777" w:rsidTr="00FA6278">
        <w:trPr>
          <w:trHeight w:val="284"/>
        </w:trPr>
        <w:tc>
          <w:tcPr>
            <w:tcW w:w="2292" w:type="dxa"/>
            <w:vMerge/>
            <w:vAlign w:val="center"/>
            <w:hideMark/>
          </w:tcPr>
          <w:p w14:paraId="330782CC" w14:textId="77777777" w:rsidR="00FA6278" w:rsidRPr="00FA6278" w:rsidRDefault="00FA6278" w:rsidP="00FA6278">
            <w:pPr>
              <w:spacing w:line="240" w:lineRule="auto"/>
              <w:ind w:left="0"/>
              <w:rPr>
                <w:rFonts w:eastAsia="Times New Roman" w:cs="Times New Roman"/>
                <w:b/>
                <w:bCs/>
                <w:sz w:val="20"/>
                <w:szCs w:val="20"/>
                <w:lang w:eastAsia="en-GB"/>
              </w:rPr>
            </w:pPr>
          </w:p>
        </w:tc>
        <w:tc>
          <w:tcPr>
            <w:tcW w:w="2410" w:type="dxa"/>
            <w:shd w:val="clear" w:color="000000" w:fill="FFFFFF"/>
            <w:noWrap/>
            <w:vAlign w:val="bottom"/>
            <w:hideMark/>
          </w:tcPr>
          <w:p w14:paraId="4231A739"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S01006677</w:t>
            </w:r>
          </w:p>
        </w:tc>
        <w:tc>
          <w:tcPr>
            <w:tcW w:w="2835" w:type="dxa"/>
            <w:shd w:val="clear" w:color="auto" w:fill="auto"/>
            <w:noWrap/>
            <w:vAlign w:val="bottom"/>
            <w:hideMark/>
          </w:tcPr>
          <w:p w14:paraId="05E90AC1"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Tillydrone</w:t>
            </w:r>
          </w:p>
        </w:tc>
      </w:tr>
      <w:tr w:rsidR="00FA6278" w:rsidRPr="00FA6278" w14:paraId="2FEF6CD0" w14:textId="77777777" w:rsidTr="00FA6278">
        <w:trPr>
          <w:trHeight w:val="284"/>
        </w:trPr>
        <w:tc>
          <w:tcPr>
            <w:tcW w:w="2292" w:type="dxa"/>
            <w:vMerge w:val="restart"/>
            <w:shd w:val="clear" w:color="auto" w:fill="auto"/>
            <w:vAlign w:val="center"/>
            <w:hideMark/>
          </w:tcPr>
          <w:p w14:paraId="152FDC5C" w14:textId="77777777" w:rsidR="00FA6278" w:rsidRPr="00FA6278" w:rsidRDefault="00FA6278" w:rsidP="00FA6278">
            <w:pPr>
              <w:spacing w:line="240" w:lineRule="auto"/>
              <w:ind w:left="0"/>
              <w:jc w:val="center"/>
              <w:rPr>
                <w:rFonts w:eastAsia="Times New Roman" w:cs="Times New Roman"/>
                <w:b/>
                <w:bCs/>
                <w:sz w:val="20"/>
                <w:szCs w:val="20"/>
                <w:lang w:eastAsia="en-GB"/>
              </w:rPr>
            </w:pPr>
            <w:r w:rsidRPr="00FA6278">
              <w:rPr>
                <w:rFonts w:eastAsia="Times New Roman" w:cs="Times New Roman"/>
                <w:b/>
                <w:bCs/>
                <w:sz w:val="20"/>
                <w:szCs w:val="20"/>
                <w:lang w:eastAsia="en-GB"/>
              </w:rPr>
              <w:t>Most deprived</w:t>
            </w:r>
            <w:r w:rsidRPr="00FA6278">
              <w:rPr>
                <w:rFonts w:eastAsia="Times New Roman" w:cs="Times New Roman"/>
                <w:b/>
                <w:bCs/>
                <w:sz w:val="20"/>
                <w:szCs w:val="20"/>
                <w:lang w:eastAsia="en-GB"/>
              </w:rPr>
              <w:br/>
              <w:t>15-20%</w:t>
            </w:r>
          </w:p>
        </w:tc>
        <w:tc>
          <w:tcPr>
            <w:tcW w:w="2410" w:type="dxa"/>
            <w:shd w:val="clear" w:color="000000" w:fill="FFFFFF"/>
            <w:noWrap/>
            <w:vAlign w:val="bottom"/>
            <w:hideMark/>
          </w:tcPr>
          <w:p w14:paraId="68257C60"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S01006707</w:t>
            </w:r>
          </w:p>
        </w:tc>
        <w:tc>
          <w:tcPr>
            <w:tcW w:w="2835" w:type="dxa"/>
            <w:shd w:val="clear" w:color="auto" w:fill="auto"/>
            <w:noWrap/>
            <w:vAlign w:val="bottom"/>
            <w:hideMark/>
          </w:tcPr>
          <w:p w14:paraId="01216F9B"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Mastrick</w:t>
            </w:r>
          </w:p>
        </w:tc>
      </w:tr>
      <w:tr w:rsidR="00FA6278" w:rsidRPr="00FA6278" w14:paraId="0B279F35" w14:textId="77777777" w:rsidTr="00FA6278">
        <w:trPr>
          <w:trHeight w:val="284"/>
        </w:trPr>
        <w:tc>
          <w:tcPr>
            <w:tcW w:w="2292" w:type="dxa"/>
            <w:vMerge/>
            <w:vAlign w:val="center"/>
            <w:hideMark/>
          </w:tcPr>
          <w:p w14:paraId="0F2E43F4" w14:textId="77777777" w:rsidR="00FA6278" w:rsidRPr="00FA6278" w:rsidRDefault="00FA6278" w:rsidP="00FA6278">
            <w:pPr>
              <w:spacing w:line="240" w:lineRule="auto"/>
              <w:ind w:left="0"/>
              <w:rPr>
                <w:rFonts w:eastAsia="Times New Roman" w:cs="Times New Roman"/>
                <w:b/>
                <w:bCs/>
                <w:sz w:val="20"/>
                <w:szCs w:val="20"/>
                <w:lang w:eastAsia="en-GB"/>
              </w:rPr>
            </w:pPr>
          </w:p>
        </w:tc>
        <w:tc>
          <w:tcPr>
            <w:tcW w:w="2410" w:type="dxa"/>
            <w:shd w:val="clear" w:color="000000" w:fill="FFFFFF"/>
            <w:noWrap/>
            <w:vAlign w:val="bottom"/>
            <w:hideMark/>
          </w:tcPr>
          <w:p w14:paraId="7CF199B0"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S01006676</w:t>
            </w:r>
          </w:p>
        </w:tc>
        <w:tc>
          <w:tcPr>
            <w:tcW w:w="2835" w:type="dxa"/>
            <w:shd w:val="clear" w:color="auto" w:fill="auto"/>
            <w:noWrap/>
            <w:vAlign w:val="bottom"/>
            <w:hideMark/>
          </w:tcPr>
          <w:p w14:paraId="5BA20207"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Tillydrone</w:t>
            </w:r>
          </w:p>
        </w:tc>
      </w:tr>
      <w:tr w:rsidR="00FA6278" w:rsidRPr="00FA6278" w14:paraId="25BE0307" w14:textId="77777777" w:rsidTr="00FA6278">
        <w:trPr>
          <w:trHeight w:val="284"/>
        </w:trPr>
        <w:tc>
          <w:tcPr>
            <w:tcW w:w="2292" w:type="dxa"/>
            <w:vMerge/>
            <w:vAlign w:val="center"/>
            <w:hideMark/>
          </w:tcPr>
          <w:p w14:paraId="0A137239" w14:textId="77777777" w:rsidR="00FA6278" w:rsidRPr="00FA6278" w:rsidRDefault="00FA6278" w:rsidP="00FA6278">
            <w:pPr>
              <w:spacing w:line="240" w:lineRule="auto"/>
              <w:ind w:left="0"/>
              <w:rPr>
                <w:rFonts w:eastAsia="Times New Roman" w:cs="Times New Roman"/>
                <w:b/>
                <w:bCs/>
                <w:sz w:val="20"/>
                <w:szCs w:val="20"/>
                <w:lang w:eastAsia="en-GB"/>
              </w:rPr>
            </w:pPr>
          </w:p>
        </w:tc>
        <w:tc>
          <w:tcPr>
            <w:tcW w:w="2410" w:type="dxa"/>
            <w:shd w:val="clear" w:color="000000" w:fill="FFFFFF"/>
            <w:noWrap/>
            <w:vAlign w:val="bottom"/>
            <w:hideMark/>
          </w:tcPr>
          <w:p w14:paraId="2711B080"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S01006726</w:t>
            </w:r>
          </w:p>
        </w:tc>
        <w:tc>
          <w:tcPr>
            <w:tcW w:w="2835" w:type="dxa"/>
            <w:shd w:val="clear" w:color="auto" w:fill="auto"/>
            <w:noWrap/>
            <w:vAlign w:val="bottom"/>
            <w:hideMark/>
          </w:tcPr>
          <w:p w14:paraId="6CACF663"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Middlefield</w:t>
            </w:r>
          </w:p>
        </w:tc>
      </w:tr>
      <w:tr w:rsidR="00FA6278" w:rsidRPr="00FA6278" w14:paraId="1FABD58B" w14:textId="77777777" w:rsidTr="00FA6278">
        <w:trPr>
          <w:trHeight w:val="284"/>
        </w:trPr>
        <w:tc>
          <w:tcPr>
            <w:tcW w:w="2292" w:type="dxa"/>
            <w:vMerge/>
            <w:vAlign w:val="center"/>
            <w:hideMark/>
          </w:tcPr>
          <w:p w14:paraId="0586E808" w14:textId="77777777" w:rsidR="00FA6278" w:rsidRPr="00FA6278" w:rsidRDefault="00FA6278" w:rsidP="00FA6278">
            <w:pPr>
              <w:spacing w:line="240" w:lineRule="auto"/>
              <w:ind w:left="0"/>
              <w:rPr>
                <w:rFonts w:eastAsia="Times New Roman" w:cs="Times New Roman"/>
                <w:b/>
                <w:bCs/>
                <w:sz w:val="20"/>
                <w:szCs w:val="20"/>
                <w:lang w:eastAsia="en-GB"/>
              </w:rPr>
            </w:pPr>
          </w:p>
        </w:tc>
        <w:tc>
          <w:tcPr>
            <w:tcW w:w="2410" w:type="dxa"/>
            <w:shd w:val="clear" w:color="000000" w:fill="FFFFFF"/>
            <w:noWrap/>
            <w:vAlign w:val="bottom"/>
            <w:hideMark/>
          </w:tcPr>
          <w:p w14:paraId="23802F22"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S01006633</w:t>
            </w:r>
          </w:p>
        </w:tc>
        <w:tc>
          <w:tcPr>
            <w:tcW w:w="2835" w:type="dxa"/>
            <w:shd w:val="clear" w:color="auto" w:fill="auto"/>
            <w:noWrap/>
            <w:vAlign w:val="bottom"/>
            <w:hideMark/>
          </w:tcPr>
          <w:p w14:paraId="079CF5FC"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Torry</w:t>
            </w:r>
          </w:p>
        </w:tc>
      </w:tr>
      <w:tr w:rsidR="00FA6278" w:rsidRPr="00FA6278" w14:paraId="5A7D9A09" w14:textId="77777777" w:rsidTr="00FA6278">
        <w:trPr>
          <w:trHeight w:val="284"/>
        </w:trPr>
        <w:tc>
          <w:tcPr>
            <w:tcW w:w="2292" w:type="dxa"/>
            <w:vMerge/>
            <w:vAlign w:val="center"/>
            <w:hideMark/>
          </w:tcPr>
          <w:p w14:paraId="1E2C0466" w14:textId="77777777" w:rsidR="00FA6278" w:rsidRPr="00FA6278" w:rsidRDefault="00FA6278" w:rsidP="00FA6278">
            <w:pPr>
              <w:spacing w:line="240" w:lineRule="auto"/>
              <w:ind w:left="0"/>
              <w:rPr>
                <w:rFonts w:eastAsia="Times New Roman" w:cs="Times New Roman"/>
                <w:b/>
                <w:bCs/>
                <w:sz w:val="20"/>
                <w:szCs w:val="20"/>
                <w:lang w:eastAsia="en-GB"/>
              </w:rPr>
            </w:pPr>
          </w:p>
        </w:tc>
        <w:tc>
          <w:tcPr>
            <w:tcW w:w="2410" w:type="dxa"/>
            <w:shd w:val="clear" w:color="000000" w:fill="FFFFFF"/>
            <w:noWrap/>
            <w:vAlign w:val="bottom"/>
            <w:hideMark/>
          </w:tcPr>
          <w:p w14:paraId="19B17ACC"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S01006711</w:t>
            </w:r>
          </w:p>
        </w:tc>
        <w:tc>
          <w:tcPr>
            <w:tcW w:w="2835" w:type="dxa"/>
            <w:shd w:val="clear" w:color="auto" w:fill="auto"/>
            <w:noWrap/>
            <w:vAlign w:val="bottom"/>
            <w:hideMark/>
          </w:tcPr>
          <w:p w14:paraId="48C0B15C"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Sheddocksley</w:t>
            </w:r>
          </w:p>
        </w:tc>
      </w:tr>
      <w:tr w:rsidR="00FA6278" w:rsidRPr="00FA6278" w14:paraId="6E944441" w14:textId="77777777" w:rsidTr="00FA6278">
        <w:trPr>
          <w:trHeight w:val="284"/>
        </w:trPr>
        <w:tc>
          <w:tcPr>
            <w:tcW w:w="2292" w:type="dxa"/>
            <w:vMerge/>
            <w:vAlign w:val="center"/>
            <w:hideMark/>
          </w:tcPr>
          <w:p w14:paraId="1F8B2749" w14:textId="77777777" w:rsidR="00FA6278" w:rsidRPr="00FA6278" w:rsidRDefault="00FA6278" w:rsidP="00FA6278">
            <w:pPr>
              <w:spacing w:line="240" w:lineRule="auto"/>
              <w:ind w:left="0"/>
              <w:rPr>
                <w:rFonts w:eastAsia="Times New Roman" w:cs="Times New Roman"/>
                <w:b/>
                <w:bCs/>
                <w:sz w:val="20"/>
                <w:szCs w:val="20"/>
                <w:lang w:eastAsia="en-GB"/>
              </w:rPr>
            </w:pPr>
          </w:p>
        </w:tc>
        <w:tc>
          <w:tcPr>
            <w:tcW w:w="2410" w:type="dxa"/>
            <w:shd w:val="clear" w:color="000000" w:fill="FFFFFF"/>
            <w:noWrap/>
            <w:vAlign w:val="bottom"/>
            <w:hideMark/>
          </w:tcPr>
          <w:p w14:paraId="386ED118"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S01006704</w:t>
            </w:r>
          </w:p>
        </w:tc>
        <w:tc>
          <w:tcPr>
            <w:tcW w:w="2835" w:type="dxa"/>
            <w:shd w:val="clear" w:color="auto" w:fill="auto"/>
            <w:noWrap/>
            <w:vAlign w:val="bottom"/>
            <w:hideMark/>
          </w:tcPr>
          <w:p w14:paraId="0E585AB1"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Mastrick</w:t>
            </w:r>
          </w:p>
        </w:tc>
      </w:tr>
      <w:tr w:rsidR="00FA6278" w:rsidRPr="00FA6278" w14:paraId="6F7E8D69" w14:textId="77777777" w:rsidTr="00FA6278">
        <w:trPr>
          <w:trHeight w:val="284"/>
        </w:trPr>
        <w:tc>
          <w:tcPr>
            <w:tcW w:w="2292" w:type="dxa"/>
            <w:vMerge/>
            <w:vAlign w:val="center"/>
            <w:hideMark/>
          </w:tcPr>
          <w:p w14:paraId="490B7437" w14:textId="77777777" w:rsidR="00FA6278" w:rsidRPr="00FA6278" w:rsidRDefault="00FA6278" w:rsidP="00FA6278">
            <w:pPr>
              <w:spacing w:line="240" w:lineRule="auto"/>
              <w:ind w:left="0"/>
              <w:rPr>
                <w:rFonts w:eastAsia="Times New Roman" w:cs="Times New Roman"/>
                <w:b/>
                <w:bCs/>
                <w:sz w:val="20"/>
                <w:szCs w:val="20"/>
                <w:lang w:eastAsia="en-GB"/>
              </w:rPr>
            </w:pPr>
          </w:p>
        </w:tc>
        <w:tc>
          <w:tcPr>
            <w:tcW w:w="2410" w:type="dxa"/>
            <w:shd w:val="clear" w:color="000000" w:fill="FFFFFF"/>
            <w:noWrap/>
            <w:vAlign w:val="bottom"/>
            <w:hideMark/>
          </w:tcPr>
          <w:p w14:paraId="57762C88"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S01006675</w:t>
            </w:r>
          </w:p>
        </w:tc>
        <w:tc>
          <w:tcPr>
            <w:tcW w:w="2835" w:type="dxa"/>
            <w:shd w:val="clear" w:color="auto" w:fill="auto"/>
            <w:noWrap/>
            <w:vAlign w:val="bottom"/>
            <w:hideMark/>
          </w:tcPr>
          <w:p w14:paraId="6B975357"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Tillydrone</w:t>
            </w:r>
          </w:p>
        </w:tc>
      </w:tr>
      <w:tr w:rsidR="00FA6278" w:rsidRPr="00FA6278" w14:paraId="4A40B7A5" w14:textId="77777777" w:rsidTr="00FA6278">
        <w:trPr>
          <w:trHeight w:val="284"/>
        </w:trPr>
        <w:tc>
          <w:tcPr>
            <w:tcW w:w="2292" w:type="dxa"/>
            <w:vMerge/>
            <w:vAlign w:val="center"/>
            <w:hideMark/>
          </w:tcPr>
          <w:p w14:paraId="6503E3BD" w14:textId="77777777" w:rsidR="00FA6278" w:rsidRPr="00FA6278" w:rsidRDefault="00FA6278" w:rsidP="00FA6278">
            <w:pPr>
              <w:spacing w:line="240" w:lineRule="auto"/>
              <w:ind w:left="0"/>
              <w:rPr>
                <w:rFonts w:eastAsia="Times New Roman" w:cs="Times New Roman"/>
                <w:b/>
                <w:bCs/>
                <w:sz w:val="20"/>
                <w:szCs w:val="20"/>
                <w:lang w:eastAsia="en-GB"/>
              </w:rPr>
            </w:pPr>
          </w:p>
        </w:tc>
        <w:tc>
          <w:tcPr>
            <w:tcW w:w="2410" w:type="dxa"/>
            <w:shd w:val="clear" w:color="000000" w:fill="FFFFFF"/>
            <w:noWrap/>
            <w:vAlign w:val="bottom"/>
            <w:hideMark/>
          </w:tcPr>
          <w:p w14:paraId="6144A765"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S01006645</w:t>
            </w:r>
          </w:p>
        </w:tc>
        <w:tc>
          <w:tcPr>
            <w:tcW w:w="2835" w:type="dxa"/>
            <w:shd w:val="clear" w:color="auto" w:fill="auto"/>
            <w:noWrap/>
            <w:vAlign w:val="bottom"/>
            <w:hideMark/>
          </w:tcPr>
          <w:p w14:paraId="21D6B073"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George Street</w:t>
            </w:r>
          </w:p>
        </w:tc>
      </w:tr>
      <w:tr w:rsidR="00FA6278" w:rsidRPr="00FA6278" w14:paraId="4E884569" w14:textId="77777777" w:rsidTr="00FA6278">
        <w:trPr>
          <w:trHeight w:val="284"/>
        </w:trPr>
        <w:tc>
          <w:tcPr>
            <w:tcW w:w="2292" w:type="dxa"/>
            <w:vMerge/>
            <w:vAlign w:val="center"/>
            <w:hideMark/>
          </w:tcPr>
          <w:p w14:paraId="2FD20963" w14:textId="77777777" w:rsidR="00FA6278" w:rsidRPr="00FA6278" w:rsidRDefault="00FA6278" w:rsidP="00FA6278">
            <w:pPr>
              <w:spacing w:line="240" w:lineRule="auto"/>
              <w:ind w:left="0"/>
              <w:rPr>
                <w:rFonts w:eastAsia="Times New Roman" w:cs="Times New Roman"/>
                <w:b/>
                <w:bCs/>
                <w:sz w:val="20"/>
                <w:szCs w:val="20"/>
                <w:lang w:eastAsia="en-GB"/>
              </w:rPr>
            </w:pPr>
          </w:p>
        </w:tc>
        <w:tc>
          <w:tcPr>
            <w:tcW w:w="2410" w:type="dxa"/>
            <w:shd w:val="clear" w:color="000000" w:fill="FFFFFF"/>
            <w:noWrap/>
            <w:vAlign w:val="bottom"/>
            <w:hideMark/>
          </w:tcPr>
          <w:p w14:paraId="27BEE9A4"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S01006629</w:t>
            </w:r>
          </w:p>
        </w:tc>
        <w:tc>
          <w:tcPr>
            <w:tcW w:w="2835" w:type="dxa"/>
            <w:shd w:val="clear" w:color="auto" w:fill="auto"/>
            <w:noWrap/>
            <w:vAlign w:val="bottom"/>
            <w:hideMark/>
          </w:tcPr>
          <w:p w14:paraId="621607C7"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Torry</w:t>
            </w:r>
          </w:p>
        </w:tc>
      </w:tr>
      <w:tr w:rsidR="00FA6278" w:rsidRPr="00FA6278" w14:paraId="5FC3D84C" w14:textId="77777777" w:rsidTr="00FA6278">
        <w:trPr>
          <w:trHeight w:val="284"/>
        </w:trPr>
        <w:tc>
          <w:tcPr>
            <w:tcW w:w="2292" w:type="dxa"/>
            <w:vMerge/>
            <w:vAlign w:val="center"/>
            <w:hideMark/>
          </w:tcPr>
          <w:p w14:paraId="5CDBB2E6" w14:textId="77777777" w:rsidR="00FA6278" w:rsidRPr="00FA6278" w:rsidRDefault="00FA6278" w:rsidP="00FA6278">
            <w:pPr>
              <w:spacing w:line="240" w:lineRule="auto"/>
              <w:ind w:left="0"/>
              <w:rPr>
                <w:rFonts w:eastAsia="Times New Roman" w:cs="Times New Roman"/>
                <w:b/>
                <w:bCs/>
                <w:sz w:val="20"/>
                <w:szCs w:val="20"/>
                <w:lang w:eastAsia="en-GB"/>
              </w:rPr>
            </w:pPr>
          </w:p>
        </w:tc>
        <w:tc>
          <w:tcPr>
            <w:tcW w:w="2410" w:type="dxa"/>
            <w:shd w:val="clear" w:color="000000" w:fill="FFFFFF"/>
            <w:noWrap/>
            <w:vAlign w:val="bottom"/>
            <w:hideMark/>
          </w:tcPr>
          <w:p w14:paraId="736B05A8"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S01006674</w:t>
            </w:r>
          </w:p>
        </w:tc>
        <w:tc>
          <w:tcPr>
            <w:tcW w:w="2835" w:type="dxa"/>
            <w:shd w:val="clear" w:color="auto" w:fill="auto"/>
            <w:noWrap/>
            <w:vAlign w:val="bottom"/>
            <w:hideMark/>
          </w:tcPr>
          <w:p w14:paraId="6BC4F1A5"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Seaton</w:t>
            </w:r>
          </w:p>
        </w:tc>
      </w:tr>
      <w:tr w:rsidR="00FA6278" w:rsidRPr="00FA6278" w14:paraId="19EF9F55" w14:textId="77777777" w:rsidTr="00FA6278">
        <w:trPr>
          <w:trHeight w:val="284"/>
        </w:trPr>
        <w:tc>
          <w:tcPr>
            <w:tcW w:w="2292" w:type="dxa"/>
            <w:vMerge/>
            <w:vAlign w:val="center"/>
            <w:hideMark/>
          </w:tcPr>
          <w:p w14:paraId="774DBA8A" w14:textId="77777777" w:rsidR="00FA6278" w:rsidRPr="00FA6278" w:rsidRDefault="00FA6278" w:rsidP="00FA6278">
            <w:pPr>
              <w:spacing w:line="240" w:lineRule="auto"/>
              <w:ind w:left="0"/>
              <w:rPr>
                <w:rFonts w:eastAsia="Times New Roman" w:cs="Times New Roman"/>
                <w:b/>
                <w:bCs/>
                <w:sz w:val="20"/>
                <w:szCs w:val="20"/>
                <w:lang w:eastAsia="en-GB"/>
              </w:rPr>
            </w:pPr>
          </w:p>
        </w:tc>
        <w:tc>
          <w:tcPr>
            <w:tcW w:w="2410" w:type="dxa"/>
            <w:shd w:val="clear" w:color="000000" w:fill="FFFFFF"/>
            <w:noWrap/>
            <w:vAlign w:val="bottom"/>
            <w:hideMark/>
          </w:tcPr>
          <w:p w14:paraId="7BFA45A7"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S01006632</w:t>
            </w:r>
          </w:p>
        </w:tc>
        <w:tc>
          <w:tcPr>
            <w:tcW w:w="2835" w:type="dxa"/>
            <w:shd w:val="clear" w:color="auto" w:fill="auto"/>
            <w:noWrap/>
            <w:vAlign w:val="bottom"/>
            <w:hideMark/>
          </w:tcPr>
          <w:p w14:paraId="4B4F0BE2"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Torry</w:t>
            </w:r>
          </w:p>
        </w:tc>
      </w:tr>
      <w:tr w:rsidR="00FA6278" w:rsidRPr="00FA6278" w14:paraId="2793A029" w14:textId="77777777" w:rsidTr="00FA6278">
        <w:trPr>
          <w:trHeight w:val="284"/>
        </w:trPr>
        <w:tc>
          <w:tcPr>
            <w:tcW w:w="2292" w:type="dxa"/>
            <w:vMerge/>
            <w:vAlign w:val="center"/>
            <w:hideMark/>
          </w:tcPr>
          <w:p w14:paraId="18C03468" w14:textId="77777777" w:rsidR="00FA6278" w:rsidRPr="00FA6278" w:rsidRDefault="00FA6278" w:rsidP="00FA6278">
            <w:pPr>
              <w:spacing w:line="240" w:lineRule="auto"/>
              <w:ind w:left="0"/>
              <w:rPr>
                <w:rFonts w:eastAsia="Times New Roman" w:cs="Times New Roman"/>
                <w:b/>
                <w:bCs/>
                <w:sz w:val="20"/>
                <w:szCs w:val="20"/>
                <w:lang w:eastAsia="en-GB"/>
              </w:rPr>
            </w:pPr>
          </w:p>
        </w:tc>
        <w:tc>
          <w:tcPr>
            <w:tcW w:w="2410" w:type="dxa"/>
            <w:shd w:val="clear" w:color="000000" w:fill="FFFFFF"/>
            <w:noWrap/>
            <w:vAlign w:val="bottom"/>
            <w:hideMark/>
          </w:tcPr>
          <w:p w14:paraId="20A739EC"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S01006627</w:t>
            </w:r>
          </w:p>
        </w:tc>
        <w:tc>
          <w:tcPr>
            <w:tcW w:w="2835" w:type="dxa"/>
            <w:shd w:val="clear" w:color="auto" w:fill="auto"/>
            <w:noWrap/>
            <w:vAlign w:val="bottom"/>
            <w:hideMark/>
          </w:tcPr>
          <w:p w14:paraId="4A65D8CB"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Torry</w:t>
            </w:r>
          </w:p>
        </w:tc>
      </w:tr>
      <w:tr w:rsidR="00FA6278" w:rsidRPr="00FA6278" w14:paraId="54A39EC4" w14:textId="77777777" w:rsidTr="00FA6278">
        <w:trPr>
          <w:trHeight w:val="284"/>
        </w:trPr>
        <w:tc>
          <w:tcPr>
            <w:tcW w:w="2292" w:type="dxa"/>
            <w:vMerge/>
            <w:vAlign w:val="center"/>
            <w:hideMark/>
          </w:tcPr>
          <w:p w14:paraId="6573FCF0" w14:textId="77777777" w:rsidR="00FA6278" w:rsidRPr="00FA6278" w:rsidRDefault="00FA6278" w:rsidP="00FA6278">
            <w:pPr>
              <w:spacing w:line="240" w:lineRule="auto"/>
              <w:ind w:left="0"/>
              <w:rPr>
                <w:rFonts w:eastAsia="Times New Roman" w:cs="Times New Roman"/>
                <w:b/>
                <w:bCs/>
                <w:sz w:val="20"/>
                <w:szCs w:val="20"/>
                <w:lang w:eastAsia="en-GB"/>
              </w:rPr>
            </w:pPr>
          </w:p>
        </w:tc>
        <w:tc>
          <w:tcPr>
            <w:tcW w:w="2410" w:type="dxa"/>
            <w:shd w:val="clear" w:color="000000" w:fill="FFFFFF"/>
            <w:noWrap/>
            <w:vAlign w:val="bottom"/>
            <w:hideMark/>
          </w:tcPr>
          <w:p w14:paraId="2DBB7E4C"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S01006685</w:t>
            </w:r>
          </w:p>
        </w:tc>
        <w:tc>
          <w:tcPr>
            <w:tcW w:w="2835" w:type="dxa"/>
            <w:shd w:val="clear" w:color="000000" w:fill="FFFFFF"/>
            <w:noWrap/>
            <w:vAlign w:val="bottom"/>
            <w:hideMark/>
          </w:tcPr>
          <w:p w14:paraId="0CE8EDCC" w14:textId="77777777" w:rsidR="00FA6278" w:rsidRPr="00FA6278" w:rsidRDefault="00FA6278" w:rsidP="00FA6278">
            <w:pPr>
              <w:spacing w:line="240" w:lineRule="auto"/>
              <w:ind w:left="0"/>
              <w:rPr>
                <w:rFonts w:eastAsia="Times New Roman" w:cs="Times New Roman"/>
                <w:sz w:val="20"/>
                <w:szCs w:val="20"/>
                <w:lang w:eastAsia="en-GB"/>
              </w:rPr>
            </w:pPr>
            <w:r w:rsidRPr="00FA6278">
              <w:rPr>
                <w:rFonts w:eastAsia="Times New Roman" w:cs="Times New Roman"/>
                <w:sz w:val="20"/>
                <w:szCs w:val="20"/>
                <w:lang w:eastAsia="en-GB"/>
              </w:rPr>
              <w:t>Woodside</w:t>
            </w:r>
          </w:p>
        </w:tc>
      </w:tr>
    </w:tbl>
    <w:p w14:paraId="2E394280" w14:textId="77777777" w:rsidR="00332C18" w:rsidRDefault="00332C18" w:rsidP="00C452D4">
      <w:pPr>
        <w:ind w:left="721" w:hanging="1"/>
        <w:rPr>
          <w:rFonts w:ascii="Calibri" w:hAnsi="Calibri" w:cs="Calibri"/>
        </w:rPr>
      </w:pPr>
    </w:p>
    <w:p w14:paraId="0FB41150" w14:textId="1C456B7C" w:rsidR="00162E36" w:rsidRDefault="00162E36" w:rsidP="00C452D4">
      <w:pPr>
        <w:ind w:left="721" w:hanging="1"/>
        <w:rPr>
          <w:rFonts w:ascii="Calibri" w:hAnsi="Calibri" w:cs="Calibri"/>
        </w:rPr>
      </w:pPr>
      <w:r w:rsidRPr="00A92738">
        <w:rPr>
          <w:rFonts w:ascii="Calibri" w:hAnsi="Calibri" w:cs="Calibri"/>
        </w:rPr>
        <w:t>A more detailed examination of deprivation in Aberdeen City can be carried out by looking at individual domains. T</w:t>
      </w:r>
      <w:r w:rsidR="00A92738">
        <w:rPr>
          <w:rFonts w:ascii="Calibri" w:hAnsi="Calibri" w:cs="Calibri"/>
        </w:rPr>
        <w:t xml:space="preserve">he </w:t>
      </w:r>
      <w:r w:rsidR="006C67F3">
        <w:rPr>
          <w:rFonts w:ascii="Calibri" w:hAnsi="Calibri" w:cs="Calibri"/>
        </w:rPr>
        <w:t>chart</w:t>
      </w:r>
      <w:r w:rsidR="00A92738">
        <w:rPr>
          <w:rFonts w:ascii="Calibri" w:hAnsi="Calibri" w:cs="Calibri"/>
        </w:rPr>
        <w:t xml:space="preserve"> below</w:t>
      </w:r>
      <w:r w:rsidRPr="00A92738">
        <w:rPr>
          <w:rFonts w:ascii="Calibri" w:hAnsi="Calibri" w:cs="Calibri"/>
        </w:rPr>
        <w:t xml:space="preserve"> shows the number of Aberdeen City’s data zones </w:t>
      </w:r>
      <w:r w:rsidR="006C67F3">
        <w:rPr>
          <w:rFonts w:ascii="Calibri" w:hAnsi="Calibri" w:cs="Calibri"/>
        </w:rPr>
        <w:t xml:space="preserve">within each </w:t>
      </w:r>
      <w:r w:rsidRPr="00A92738">
        <w:rPr>
          <w:rFonts w:ascii="Calibri" w:hAnsi="Calibri" w:cs="Calibri"/>
        </w:rPr>
        <w:t>individual domain</w:t>
      </w:r>
      <w:r w:rsidR="001428CF">
        <w:rPr>
          <w:rFonts w:ascii="Calibri" w:hAnsi="Calibri" w:cs="Calibri"/>
        </w:rPr>
        <w:t xml:space="preserve"> split by deprivation quintile</w:t>
      </w:r>
      <w:r w:rsidRPr="00A92738">
        <w:rPr>
          <w:rFonts w:ascii="Calibri" w:hAnsi="Calibri" w:cs="Calibri"/>
        </w:rPr>
        <w:t xml:space="preserve">. </w:t>
      </w:r>
      <w:r w:rsidR="001428CF">
        <w:rPr>
          <w:rFonts w:ascii="Calibri" w:hAnsi="Calibri" w:cs="Calibri"/>
        </w:rPr>
        <w:t xml:space="preserve"> So, for example, while only 22 of the City’s 283 data zones are in the most deprived quintile</w:t>
      </w:r>
      <w:r w:rsidR="00AF49BF">
        <w:rPr>
          <w:rFonts w:ascii="Calibri" w:hAnsi="Calibri" w:cs="Calibri"/>
        </w:rPr>
        <w:t xml:space="preserve"> (0-20%)</w:t>
      </w:r>
      <w:r w:rsidR="001428CF">
        <w:rPr>
          <w:rFonts w:ascii="Calibri" w:hAnsi="Calibri" w:cs="Calibri"/>
        </w:rPr>
        <w:t xml:space="preserve"> for All Domains, 98</w:t>
      </w:r>
      <w:r w:rsidR="00244F1E">
        <w:rPr>
          <w:rFonts w:ascii="Calibri" w:hAnsi="Calibri" w:cs="Calibri"/>
        </w:rPr>
        <w:t xml:space="preserve"> </w:t>
      </w:r>
      <w:r w:rsidR="001428CF">
        <w:rPr>
          <w:rFonts w:ascii="Calibri" w:hAnsi="Calibri" w:cs="Calibri"/>
        </w:rPr>
        <w:t xml:space="preserve">data zones </w:t>
      </w:r>
      <w:r w:rsidR="003370E9">
        <w:rPr>
          <w:rFonts w:ascii="Calibri" w:hAnsi="Calibri" w:cs="Calibri"/>
        </w:rPr>
        <w:t>(</w:t>
      </w:r>
      <w:r w:rsidR="003370E9" w:rsidRPr="003370E9">
        <w:rPr>
          <w:rFonts w:ascii="Calibri" w:hAnsi="Calibri" w:cs="Calibri"/>
        </w:rPr>
        <w:t xml:space="preserve">34.6%) </w:t>
      </w:r>
      <w:r w:rsidR="001428CF">
        <w:rPr>
          <w:rFonts w:ascii="Calibri" w:hAnsi="Calibri" w:cs="Calibri"/>
        </w:rPr>
        <w:t>are in the most deprived quintile for Housing</w:t>
      </w:r>
      <w:r w:rsidR="003370E9">
        <w:rPr>
          <w:rFonts w:ascii="Calibri" w:hAnsi="Calibri" w:cs="Calibri"/>
        </w:rPr>
        <w:t>,</w:t>
      </w:r>
      <w:r w:rsidR="001428CF">
        <w:rPr>
          <w:rFonts w:ascii="Calibri" w:hAnsi="Calibri" w:cs="Calibri"/>
        </w:rPr>
        <w:t xml:space="preserve"> 73</w:t>
      </w:r>
      <w:r w:rsidR="003370E9">
        <w:rPr>
          <w:rFonts w:ascii="Calibri" w:hAnsi="Calibri" w:cs="Calibri"/>
        </w:rPr>
        <w:t xml:space="preserve"> (28.8%)</w:t>
      </w:r>
      <w:r w:rsidR="001428CF">
        <w:rPr>
          <w:rFonts w:ascii="Calibri" w:hAnsi="Calibri" w:cs="Calibri"/>
        </w:rPr>
        <w:t xml:space="preserve"> are in the most deprived quintile for Crime</w:t>
      </w:r>
      <w:r w:rsidR="003370E9">
        <w:rPr>
          <w:rFonts w:ascii="Calibri" w:hAnsi="Calibri" w:cs="Calibri"/>
        </w:rPr>
        <w:t xml:space="preserve"> and 67 (23.7%) </w:t>
      </w:r>
      <w:r w:rsidR="00C401AB">
        <w:rPr>
          <w:rFonts w:ascii="Calibri" w:hAnsi="Calibri" w:cs="Calibri"/>
        </w:rPr>
        <w:t>are in the most deprived quintile for Education, Skills and Training</w:t>
      </w:r>
      <w:r w:rsidR="001428CF">
        <w:rPr>
          <w:rFonts w:ascii="Calibri" w:hAnsi="Calibri" w:cs="Calibri"/>
        </w:rPr>
        <w:t>.</w:t>
      </w:r>
    </w:p>
    <w:p w14:paraId="6FFE8FB5" w14:textId="77777777" w:rsidR="003245FE" w:rsidRDefault="003245FE" w:rsidP="00162E36">
      <w:pPr>
        <w:ind w:left="721" w:hanging="902"/>
        <w:rPr>
          <w:rFonts w:ascii="Calibri" w:hAnsi="Calibri" w:cs="Calibri"/>
        </w:rPr>
      </w:pPr>
    </w:p>
    <w:p w14:paraId="45B8BF9A" w14:textId="26BA7944" w:rsidR="006C67F3" w:rsidRPr="00A92738" w:rsidRDefault="006C67F3" w:rsidP="001428CF">
      <w:pPr>
        <w:ind w:left="721" w:hanging="902"/>
        <w:rPr>
          <w:rFonts w:ascii="Calibri" w:hAnsi="Calibri" w:cs="Calibri"/>
        </w:rPr>
      </w:pPr>
      <w:r w:rsidRPr="001428CF">
        <w:rPr>
          <w:rFonts w:ascii="Calibri" w:hAnsi="Calibri" w:cs="Calibri"/>
          <w:b/>
        </w:rPr>
        <w:tab/>
      </w:r>
      <w:r w:rsidR="001428CF" w:rsidRPr="001428CF">
        <w:rPr>
          <w:rFonts w:ascii="Calibri" w:hAnsi="Calibri" w:cs="Calibri"/>
          <w:b/>
        </w:rPr>
        <w:t>Number of data zones in each SIMD domain by SIMD (2016) quintile</w:t>
      </w:r>
      <w:r>
        <w:rPr>
          <w:noProof/>
        </w:rPr>
        <w:drawing>
          <wp:inline distT="0" distB="0" distL="0" distR="0" wp14:anchorId="4EFC2B7A" wp14:editId="77B86BF6">
            <wp:extent cx="5110480" cy="2306472"/>
            <wp:effectExtent l="0" t="0" r="13970" b="17780"/>
            <wp:docPr id="24" name="Chart 24">
              <a:extLst xmlns:a="http://schemas.openxmlformats.org/drawingml/2006/main">
                <a:ext uri="{FF2B5EF4-FFF2-40B4-BE49-F238E27FC236}">
                  <a16:creationId xmlns:a16="http://schemas.microsoft.com/office/drawing/2014/main" id="{D459CBE8-C6A2-495C-BC28-00E96A2D55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14:paraId="6A32D3E2" w14:textId="67553C8C" w:rsidR="00162E36" w:rsidRPr="00332C18" w:rsidRDefault="001428CF" w:rsidP="006C67F3">
      <w:pPr>
        <w:rPr>
          <w:rStyle w:val="Hyperlink"/>
          <w:rFonts w:ascii="Calibri" w:hAnsi="Calibri" w:cs="Calibri"/>
          <w:sz w:val="16"/>
          <w:szCs w:val="16"/>
        </w:rPr>
      </w:pPr>
      <w:r w:rsidRPr="00332C18">
        <w:rPr>
          <w:rFonts w:ascii="Calibri" w:hAnsi="Calibri" w:cs="Calibri"/>
          <w:sz w:val="16"/>
          <w:szCs w:val="16"/>
        </w:rPr>
        <w:t>Source: SIMD 2016</w:t>
      </w:r>
    </w:p>
    <w:p w14:paraId="0DEB7091" w14:textId="0F6A5881" w:rsidR="00472BE1" w:rsidRPr="00815770" w:rsidRDefault="00472BE1" w:rsidP="007A6668">
      <w:pPr>
        <w:pStyle w:val="Heading2"/>
        <w:numPr>
          <w:ilvl w:val="1"/>
          <w:numId w:val="4"/>
        </w:numPr>
        <w:spacing w:after="240"/>
      </w:pPr>
      <w:bookmarkStart w:id="130" w:name="_Toc519088662"/>
      <w:r w:rsidRPr="00815770">
        <w:lastRenderedPageBreak/>
        <w:t>Poverty</w:t>
      </w:r>
      <w:bookmarkEnd w:id="130"/>
      <w:r w:rsidRPr="00815770">
        <w:t xml:space="preserve"> </w:t>
      </w:r>
    </w:p>
    <w:p w14:paraId="1564C731" w14:textId="1F99D603" w:rsidR="00044BEF" w:rsidRDefault="00B53AFF" w:rsidP="00815770">
      <w:pPr>
        <w:pStyle w:val="Heading2"/>
        <w:numPr>
          <w:ilvl w:val="2"/>
          <w:numId w:val="4"/>
        </w:numPr>
        <w:rPr>
          <w:rFonts w:cs="Calibri"/>
        </w:rPr>
      </w:pPr>
      <w:bookmarkStart w:id="131" w:name="_Toc519088663"/>
      <w:r>
        <w:rPr>
          <w:rFonts w:cs="Calibri"/>
        </w:rPr>
        <w:t>Relative poverty</w:t>
      </w:r>
      <w:bookmarkEnd w:id="131"/>
      <w:r w:rsidR="001E4927" w:rsidRPr="00815770">
        <w:rPr>
          <w:rFonts w:cs="Calibri"/>
        </w:rPr>
        <w:tab/>
      </w:r>
    </w:p>
    <w:p w14:paraId="0A9E59CE" w14:textId="7FEB1CA6" w:rsidR="00815770" w:rsidRDefault="000F5F18" w:rsidP="000F5F18">
      <w:r>
        <w:t xml:space="preserve">According to the Scottish Government’s Poverty and Income Inequality Report for 2014-17, both poverty rates and income inequality in Scotland appear to be rising.  </w:t>
      </w:r>
      <w:r w:rsidR="00231A7D">
        <w:t xml:space="preserve">In </w:t>
      </w:r>
      <w:r>
        <w:t xml:space="preserve">2014-17 an estimated 19% of people in </w:t>
      </w:r>
      <w:r w:rsidR="00231A7D">
        <w:t xml:space="preserve">Scotland </w:t>
      </w:r>
      <w:r>
        <w:t>were living in relative poverty (</w:t>
      </w:r>
      <w:r w:rsidR="00B53AFF">
        <w:t xml:space="preserve">i.e. </w:t>
      </w:r>
      <w:r>
        <w:t xml:space="preserve">below 60% of UK median income), and the top 10% of the population had 24% more </w:t>
      </w:r>
      <w:r w:rsidRPr="000F5F18">
        <w:t>income in 2014-17 than the bottom 40% combined</w:t>
      </w:r>
      <w:r>
        <w:t xml:space="preserve"> (</w:t>
      </w:r>
      <w:r w:rsidRPr="000F5F18">
        <w:t>compare</w:t>
      </w:r>
      <w:r>
        <w:t>d</w:t>
      </w:r>
      <w:r w:rsidRPr="000F5F18">
        <w:t xml:space="preserve"> to 21% more income in 2013-16</w:t>
      </w:r>
      <w:r>
        <w:t>)</w:t>
      </w:r>
      <w:r w:rsidRPr="000F5F18">
        <w:t>.</w:t>
      </w:r>
      <w:r w:rsidR="00B53AFF">
        <w:t xml:space="preserve">  </w:t>
      </w:r>
    </w:p>
    <w:p w14:paraId="40E666AA" w14:textId="321C2F35" w:rsidR="00B53AFF" w:rsidRDefault="00B53AFF" w:rsidP="000F5F18"/>
    <w:p w14:paraId="7E4BD4CC" w14:textId="23DC2AFC" w:rsidR="00B53AFF" w:rsidRDefault="00B53AFF" w:rsidP="000F5F18">
      <w:r w:rsidRPr="00B53AFF">
        <w:rPr>
          <w:b/>
        </w:rPr>
        <w:t xml:space="preserve">In-work poverty:  </w:t>
      </w:r>
      <w:r>
        <w:rPr>
          <w:b/>
        </w:rPr>
        <w:t xml:space="preserve"> </w:t>
      </w:r>
      <w:r>
        <w:t>The proportion of people in relative poverty (after housing costs) who are in working households is increasing.  In</w:t>
      </w:r>
      <w:r w:rsidR="003370E9">
        <w:t xml:space="preserve"> Scotland in</w:t>
      </w:r>
      <w:r>
        <w:t xml:space="preserve"> 2014-17 an estimated 59% of those in relative poverty were in working households (i.e. at least one adult in employment).  </w:t>
      </w:r>
      <w:r w:rsidR="0055784D">
        <w:t>The proportion of children in relative poverty in working households has increased from 52% in 2009-12 to 66% in 2014-17.</w:t>
      </w:r>
    </w:p>
    <w:p w14:paraId="0966B59C" w14:textId="59910024" w:rsidR="00B53AFF" w:rsidRDefault="00B53AFF" w:rsidP="000F5F18"/>
    <w:p w14:paraId="2ABF4A62" w14:textId="1382BCFB" w:rsidR="00B53AFF" w:rsidRPr="00B53AFF" w:rsidRDefault="00B53AFF" w:rsidP="000F5F18">
      <w:r>
        <w:rPr>
          <w:noProof/>
        </w:rPr>
        <w:drawing>
          <wp:inline distT="0" distB="0" distL="0" distR="0" wp14:anchorId="19989924" wp14:editId="2D83BD49">
            <wp:extent cx="5314950" cy="3228976"/>
            <wp:effectExtent l="0" t="0" r="0" b="9525"/>
            <wp:docPr id="247" name="Chart 247">
              <a:extLst xmlns:a="http://schemas.openxmlformats.org/drawingml/2006/main">
                <a:ext uri="{FF2B5EF4-FFF2-40B4-BE49-F238E27FC236}">
                  <a16:creationId xmlns:a16="http://schemas.microsoft.com/office/drawing/2014/main" id="{E918E340-2A46-4630-94D9-E65DE3610E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14:paraId="11FBE50E" w14:textId="7720056A" w:rsidR="0055784D" w:rsidRPr="00332C18" w:rsidRDefault="0055784D" w:rsidP="00815770">
      <w:pPr>
        <w:rPr>
          <w:sz w:val="16"/>
          <w:szCs w:val="16"/>
        </w:rPr>
      </w:pPr>
      <w:r w:rsidRPr="00332C18">
        <w:rPr>
          <w:sz w:val="16"/>
          <w:szCs w:val="16"/>
        </w:rPr>
        <w:t xml:space="preserve">Source:  Scottish Government, Poverty and Income Inequality in Scotland, 2014-17, available at: </w:t>
      </w:r>
      <w:hyperlink r:id="rId232" w:history="1">
        <w:r w:rsidRPr="00332C18">
          <w:rPr>
            <w:rStyle w:val="Hyperlink"/>
            <w:sz w:val="16"/>
            <w:szCs w:val="16"/>
          </w:rPr>
          <w:t>http://www.gov.scot/Publications/2018/03/3017/downloads</w:t>
        </w:r>
      </w:hyperlink>
      <w:r w:rsidRPr="00332C18">
        <w:rPr>
          <w:sz w:val="16"/>
          <w:szCs w:val="16"/>
        </w:rPr>
        <w:t xml:space="preserve"> </w:t>
      </w:r>
    </w:p>
    <w:p w14:paraId="7F945CB1" w14:textId="31087C5F" w:rsidR="00AF49BF" w:rsidRDefault="00AF49BF" w:rsidP="00815770"/>
    <w:p w14:paraId="39748C0E" w14:textId="3EEBF905" w:rsidR="006A68B4" w:rsidRDefault="00873A7C" w:rsidP="00873A7C">
      <w:pPr>
        <w:pStyle w:val="Heading2"/>
        <w:numPr>
          <w:ilvl w:val="2"/>
          <w:numId w:val="4"/>
        </w:numPr>
      </w:pPr>
      <w:bookmarkStart w:id="132" w:name="_Toc519088664"/>
      <w:r>
        <w:t>Financial inclusion team</w:t>
      </w:r>
      <w:bookmarkEnd w:id="132"/>
    </w:p>
    <w:p w14:paraId="700B72CE" w14:textId="6C0E8ED2" w:rsidR="00873A7C" w:rsidRDefault="00873A7C" w:rsidP="00873A7C">
      <w:r w:rsidRPr="00873A7C">
        <w:t>The Financial Inclusion Team</w:t>
      </w:r>
      <w:r>
        <w:t xml:space="preserve"> (FIT)</w:t>
      </w:r>
      <w:r w:rsidRPr="00873A7C">
        <w:t> offer specialist advice and advocacy on all aspects of Social Security benefits, Council Tax, Housing Benefits and Tax Credits, representation at appeal tribunals and support with money, budgeting and debt advice.</w:t>
      </w:r>
      <w:r>
        <w:t xml:space="preserve">  Information is provided separately for enquires and cases.  Enquiries are usually dealt with on the same day with no follow-up being required, while cases require on-going work with the client to achieve resolution.  In the year to end March 2018, FIT dealt with 1,724 enquiries and 2,183 open cases.  </w:t>
      </w:r>
    </w:p>
    <w:p w14:paraId="67DFBCF7" w14:textId="37316B37" w:rsidR="00873A7C" w:rsidRDefault="00873A7C" w:rsidP="00873A7C"/>
    <w:p w14:paraId="7DEAE129" w14:textId="7BFB7CAC" w:rsidR="00873A7C" w:rsidRPr="00873A7C" w:rsidRDefault="00873A7C" w:rsidP="00873A7C">
      <w:r>
        <w:t xml:space="preserve">Help provided is classified into three categories; debt, money guidance and welfare rights.  For both enquires and open cases, advice/help was most commonly requested in relation to welfare rights (62.6% of enquires and 66.2% of open cases).  </w:t>
      </w:r>
    </w:p>
    <w:p w14:paraId="28CF55B1" w14:textId="77777777" w:rsidR="00081D78" w:rsidRDefault="00081D78" w:rsidP="00815770">
      <w:pPr>
        <w:rPr>
          <w:b/>
        </w:rPr>
      </w:pPr>
    </w:p>
    <w:p w14:paraId="2A257422" w14:textId="00F742EE" w:rsidR="00EA4975" w:rsidRPr="00EA4975" w:rsidRDefault="00EA4975" w:rsidP="00815770">
      <w:pPr>
        <w:rPr>
          <w:b/>
        </w:rPr>
      </w:pPr>
      <w:r w:rsidRPr="00EA4975">
        <w:rPr>
          <w:b/>
        </w:rPr>
        <w:t>Count of open cases and enquiries, April 2017 to March 2018</w:t>
      </w:r>
    </w:p>
    <w:tbl>
      <w:tblPr>
        <w:tblStyle w:val="TableGrid"/>
        <w:tblW w:w="7560" w:type="dxa"/>
        <w:tblInd w:w="704" w:type="dxa"/>
        <w:tblLook w:val="04A0" w:firstRow="1" w:lastRow="0" w:firstColumn="1" w:lastColumn="0" w:noHBand="0" w:noVBand="1"/>
      </w:tblPr>
      <w:tblGrid>
        <w:gridCol w:w="2374"/>
        <w:gridCol w:w="2623"/>
        <w:gridCol w:w="2563"/>
      </w:tblGrid>
      <w:tr w:rsidR="00EA4975" w:rsidRPr="00081D78" w14:paraId="3A4A8D77" w14:textId="77777777" w:rsidTr="00081D78">
        <w:trPr>
          <w:trHeight w:val="300"/>
        </w:trPr>
        <w:tc>
          <w:tcPr>
            <w:tcW w:w="2374" w:type="dxa"/>
            <w:shd w:val="clear" w:color="auto" w:fill="D9E2F3" w:themeFill="accent1" w:themeFillTint="33"/>
          </w:tcPr>
          <w:p w14:paraId="4CBB1B75" w14:textId="77777777" w:rsidR="00EA4975" w:rsidRPr="00081D78" w:rsidRDefault="00EA4975" w:rsidP="00081D78">
            <w:pPr>
              <w:ind w:left="0" w:firstLineChars="100" w:firstLine="201"/>
              <w:rPr>
                <w:rFonts w:eastAsia="Times New Roman" w:cs="Arial"/>
                <w:b/>
                <w:bCs/>
                <w:sz w:val="20"/>
                <w:szCs w:val="20"/>
                <w:lang w:eastAsia="en-GB"/>
              </w:rPr>
            </w:pPr>
          </w:p>
        </w:tc>
        <w:tc>
          <w:tcPr>
            <w:tcW w:w="2623" w:type="dxa"/>
            <w:shd w:val="clear" w:color="auto" w:fill="D9E2F3" w:themeFill="accent1" w:themeFillTint="33"/>
          </w:tcPr>
          <w:p w14:paraId="41192A26" w14:textId="3D8A7823" w:rsidR="00EA4975" w:rsidRPr="00081D78" w:rsidRDefault="00EA4975" w:rsidP="00081D78">
            <w:pPr>
              <w:ind w:left="0" w:firstLineChars="100" w:firstLine="201"/>
              <w:jc w:val="center"/>
              <w:rPr>
                <w:rFonts w:eastAsia="Times New Roman" w:cs="Arial"/>
                <w:b/>
                <w:bCs/>
                <w:sz w:val="20"/>
                <w:szCs w:val="20"/>
                <w:lang w:eastAsia="en-GB"/>
              </w:rPr>
            </w:pPr>
            <w:r w:rsidRPr="00081D78">
              <w:rPr>
                <w:rFonts w:eastAsia="Times New Roman" w:cs="Arial"/>
                <w:b/>
                <w:bCs/>
                <w:sz w:val="20"/>
                <w:szCs w:val="20"/>
                <w:lang w:eastAsia="en-GB"/>
              </w:rPr>
              <w:t>April 2017 to March 2018</w:t>
            </w:r>
          </w:p>
        </w:tc>
        <w:tc>
          <w:tcPr>
            <w:tcW w:w="2563" w:type="dxa"/>
            <w:shd w:val="clear" w:color="auto" w:fill="D9E2F3" w:themeFill="accent1" w:themeFillTint="33"/>
          </w:tcPr>
          <w:p w14:paraId="7D72DB0D" w14:textId="481F1D49" w:rsidR="00EA4975" w:rsidRPr="00081D78" w:rsidRDefault="002B031A" w:rsidP="00081D78">
            <w:pPr>
              <w:ind w:left="0" w:firstLineChars="100" w:firstLine="201"/>
              <w:jc w:val="center"/>
              <w:rPr>
                <w:rFonts w:eastAsia="Times New Roman" w:cs="Arial"/>
                <w:b/>
                <w:bCs/>
                <w:sz w:val="20"/>
                <w:szCs w:val="20"/>
                <w:lang w:eastAsia="en-GB"/>
              </w:rPr>
            </w:pPr>
            <w:r w:rsidRPr="00081D78">
              <w:rPr>
                <w:rFonts w:eastAsia="Times New Roman" w:cs="Arial"/>
                <w:b/>
                <w:bCs/>
                <w:sz w:val="20"/>
                <w:szCs w:val="20"/>
                <w:lang w:eastAsia="en-GB"/>
              </w:rPr>
              <w:t>April 2017 to March 2018</w:t>
            </w:r>
          </w:p>
        </w:tc>
      </w:tr>
      <w:tr w:rsidR="00EA4975" w:rsidRPr="00081D78" w14:paraId="1D9C9B37" w14:textId="77777777" w:rsidTr="00081D78">
        <w:trPr>
          <w:trHeight w:val="296"/>
        </w:trPr>
        <w:tc>
          <w:tcPr>
            <w:tcW w:w="2374" w:type="dxa"/>
            <w:shd w:val="clear" w:color="auto" w:fill="D9E2F3" w:themeFill="accent1" w:themeFillTint="33"/>
            <w:hideMark/>
          </w:tcPr>
          <w:p w14:paraId="5921DEED" w14:textId="77777777" w:rsidR="00EA4975" w:rsidRPr="00081D78" w:rsidRDefault="00EA4975" w:rsidP="00081D78">
            <w:pPr>
              <w:ind w:left="0" w:firstLineChars="100" w:firstLine="201"/>
              <w:rPr>
                <w:rFonts w:eastAsia="Times New Roman" w:cs="Arial"/>
                <w:b/>
                <w:bCs/>
                <w:sz w:val="20"/>
                <w:szCs w:val="20"/>
                <w:lang w:eastAsia="en-GB"/>
              </w:rPr>
            </w:pPr>
            <w:r w:rsidRPr="00081D78">
              <w:rPr>
                <w:rFonts w:eastAsia="Times New Roman" w:cs="Arial"/>
                <w:b/>
                <w:bCs/>
                <w:sz w:val="20"/>
                <w:szCs w:val="20"/>
                <w:lang w:eastAsia="en-GB"/>
              </w:rPr>
              <w:t>Matter Category</w:t>
            </w:r>
          </w:p>
        </w:tc>
        <w:tc>
          <w:tcPr>
            <w:tcW w:w="2623" w:type="dxa"/>
            <w:shd w:val="clear" w:color="auto" w:fill="D9E2F3" w:themeFill="accent1" w:themeFillTint="33"/>
            <w:hideMark/>
          </w:tcPr>
          <w:p w14:paraId="03721BFE" w14:textId="5177063D" w:rsidR="00EA4975" w:rsidRPr="00081D78" w:rsidRDefault="00EA4975" w:rsidP="00081D78">
            <w:pPr>
              <w:ind w:left="0" w:firstLineChars="100" w:firstLine="201"/>
              <w:jc w:val="center"/>
              <w:rPr>
                <w:rFonts w:eastAsia="Times New Roman" w:cs="Arial"/>
                <w:b/>
                <w:bCs/>
                <w:sz w:val="20"/>
                <w:szCs w:val="20"/>
                <w:lang w:eastAsia="en-GB"/>
              </w:rPr>
            </w:pPr>
            <w:r w:rsidRPr="00081D78">
              <w:rPr>
                <w:rFonts w:eastAsia="Times New Roman" w:cs="Arial"/>
                <w:b/>
                <w:bCs/>
                <w:sz w:val="20"/>
                <w:szCs w:val="20"/>
                <w:lang w:eastAsia="en-GB"/>
              </w:rPr>
              <w:t>Open cases</w:t>
            </w:r>
          </w:p>
        </w:tc>
        <w:tc>
          <w:tcPr>
            <w:tcW w:w="2563" w:type="dxa"/>
            <w:shd w:val="clear" w:color="auto" w:fill="D9E2F3" w:themeFill="accent1" w:themeFillTint="33"/>
          </w:tcPr>
          <w:p w14:paraId="4BA89658" w14:textId="0168A63C" w:rsidR="00EA4975" w:rsidRPr="00081D78" w:rsidRDefault="00EA4975" w:rsidP="00081D78">
            <w:pPr>
              <w:ind w:left="0" w:firstLineChars="100" w:firstLine="201"/>
              <w:jc w:val="center"/>
              <w:rPr>
                <w:rFonts w:eastAsia="Times New Roman" w:cs="Arial"/>
                <w:b/>
                <w:bCs/>
                <w:sz w:val="20"/>
                <w:szCs w:val="20"/>
                <w:lang w:eastAsia="en-GB"/>
              </w:rPr>
            </w:pPr>
            <w:r w:rsidRPr="00081D78">
              <w:rPr>
                <w:rFonts w:eastAsia="Times New Roman" w:cs="Arial"/>
                <w:b/>
                <w:bCs/>
                <w:sz w:val="20"/>
                <w:szCs w:val="20"/>
                <w:lang w:eastAsia="en-GB"/>
              </w:rPr>
              <w:t>Enquiries</w:t>
            </w:r>
          </w:p>
        </w:tc>
      </w:tr>
      <w:tr w:rsidR="00EA4975" w:rsidRPr="00081D78" w14:paraId="45DD5C44" w14:textId="77777777" w:rsidTr="00081D78">
        <w:trPr>
          <w:trHeight w:val="300"/>
        </w:trPr>
        <w:tc>
          <w:tcPr>
            <w:tcW w:w="2374" w:type="dxa"/>
            <w:hideMark/>
          </w:tcPr>
          <w:p w14:paraId="1BFB6061" w14:textId="77777777" w:rsidR="00EA4975" w:rsidRPr="00081D78" w:rsidRDefault="00EA4975" w:rsidP="00EA4975">
            <w:pPr>
              <w:ind w:left="0" w:firstLineChars="100" w:firstLine="200"/>
              <w:rPr>
                <w:rFonts w:eastAsia="Times New Roman" w:cs="Arial"/>
                <w:color w:val="000000"/>
                <w:sz w:val="20"/>
                <w:szCs w:val="20"/>
                <w:lang w:eastAsia="en-GB"/>
              </w:rPr>
            </w:pPr>
            <w:r w:rsidRPr="00081D78">
              <w:rPr>
                <w:rFonts w:eastAsia="Times New Roman" w:cs="Arial"/>
                <w:color w:val="000000"/>
                <w:sz w:val="20"/>
                <w:szCs w:val="20"/>
                <w:lang w:eastAsia="en-GB"/>
              </w:rPr>
              <w:t>Debt</w:t>
            </w:r>
          </w:p>
        </w:tc>
        <w:tc>
          <w:tcPr>
            <w:tcW w:w="2623" w:type="dxa"/>
            <w:hideMark/>
          </w:tcPr>
          <w:p w14:paraId="15AD2316" w14:textId="77777777" w:rsidR="00EA4975" w:rsidRPr="00081D78" w:rsidRDefault="00EA4975" w:rsidP="00EA4975">
            <w:pPr>
              <w:ind w:left="0" w:firstLineChars="100" w:firstLine="200"/>
              <w:jc w:val="center"/>
              <w:rPr>
                <w:rFonts w:eastAsia="Times New Roman" w:cs="Arial"/>
                <w:color w:val="000000"/>
                <w:sz w:val="20"/>
                <w:szCs w:val="20"/>
                <w:lang w:eastAsia="en-GB"/>
              </w:rPr>
            </w:pPr>
            <w:r w:rsidRPr="00081D78">
              <w:rPr>
                <w:rFonts w:eastAsia="Times New Roman" w:cs="Arial"/>
                <w:color w:val="000000"/>
                <w:sz w:val="20"/>
                <w:szCs w:val="20"/>
                <w:lang w:eastAsia="en-GB"/>
              </w:rPr>
              <w:t>680</w:t>
            </w:r>
          </w:p>
        </w:tc>
        <w:tc>
          <w:tcPr>
            <w:tcW w:w="2563" w:type="dxa"/>
          </w:tcPr>
          <w:p w14:paraId="2E27BF29" w14:textId="4F1EE81C" w:rsidR="00EA4975" w:rsidRPr="00081D78" w:rsidRDefault="00EA4975" w:rsidP="00EA4975">
            <w:pPr>
              <w:ind w:left="0" w:firstLineChars="100" w:firstLine="200"/>
              <w:jc w:val="center"/>
              <w:rPr>
                <w:rFonts w:eastAsia="Times New Roman" w:cs="Arial"/>
                <w:color w:val="000000"/>
                <w:sz w:val="20"/>
                <w:szCs w:val="20"/>
                <w:lang w:eastAsia="en-GB"/>
              </w:rPr>
            </w:pPr>
            <w:r w:rsidRPr="00081D78">
              <w:rPr>
                <w:rFonts w:eastAsia="Times New Roman" w:cs="Arial"/>
                <w:color w:val="000000"/>
                <w:sz w:val="20"/>
                <w:szCs w:val="20"/>
                <w:lang w:eastAsia="en-GB"/>
              </w:rPr>
              <w:t>322</w:t>
            </w:r>
          </w:p>
        </w:tc>
      </w:tr>
      <w:tr w:rsidR="00EA4975" w:rsidRPr="00081D78" w14:paraId="0E065340" w14:textId="77777777" w:rsidTr="00081D78">
        <w:trPr>
          <w:trHeight w:val="300"/>
        </w:trPr>
        <w:tc>
          <w:tcPr>
            <w:tcW w:w="2374" w:type="dxa"/>
            <w:hideMark/>
          </w:tcPr>
          <w:p w14:paraId="58296469" w14:textId="77777777" w:rsidR="00EA4975" w:rsidRPr="00081D78" w:rsidRDefault="00EA4975" w:rsidP="00EA4975">
            <w:pPr>
              <w:ind w:left="0" w:firstLineChars="100" w:firstLine="200"/>
              <w:rPr>
                <w:rFonts w:eastAsia="Times New Roman" w:cs="Arial"/>
                <w:color w:val="000000"/>
                <w:sz w:val="20"/>
                <w:szCs w:val="20"/>
                <w:lang w:eastAsia="en-GB"/>
              </w:rPr>
            </w:pPr>
            <w:r w:rsidRPr="00081D78">
              <w:rPr>
                <w:rFonts w:eastAsia="Times New Roman" w:cs="Arial"/>
                <w:color w:val="000000"/>
                <w:sz w:val="20"/>
                <w:szCs w:val="20"/>
                <w:lang w:eastAsia="en-GB"/>
              </w:rPr>
              <w:t>Money Guidance</w:t>
            </w:r>
          </w:p>
        </w:tc>
        <w:tc>
          <w:tcPr>
            <w:tcW w:w="2623" w:type="dxa"/>
            <w:hideMark/>
          </w:tcPr>
          <w:p w14:paraId="46FDE377" w14:textId="77777777" w:rsidR="00EA4975" w:rsidRPr="00081D78" w:rsidRDefault="00EA4975" w:rsidP="00EA4975">
            <w:pPr>
              <w:ind w:left="0" w:firstLineChars="100" w:firstLine="200"/>
              <w:jc w:val="center"/>
              <w:rPr>
                <w:rFonts w:eastAsia="Times New Roman" w:cs="Arial"/>
                <w:color w:val="000000"/>
                <w:sz w:val="20"/>
                <w:szCs w:val="20"/>
                <w:lang w:eastAsia="en-GB"/>
              </w:rPr>
            </w:pPr>
            <w:r w:rsidRPr="00081D78">
              <w:rPr>
                <w:rFonts w:eastAsia="Times New Roman" w:cs="Arial"/>
                <w:color w:val="000000"/>
                <w:sz w:val="20"/>
                <w:szCs w:val="20"/>
                <w:lang w:eastAsia="en-GB"/>
              </w:rPr>
              <w:t>57</w:t>
            </w:r>
          </w:p>
        </w:tc>
        <w:tc>
          <w:tcPr>
            <w:tcW w:w="2563" w:type="dxa"/>
          </w:tcPr>
          <w:p w14:paraId="150C2579" w14:textId="7EA73EDF" w:rsidR="00EA4975" w:rsidRPr="00081D78" w:rsidRDefault="00EA4975" w:rsidP="00EA4975">
            <w:pPr>
              <w:ind w:left="0" w:firstLineChars="100" w:firstLine="200"/>
              <w:jc w:val="center"/>
              <w:rPr>
                <w:rFonts w:eastAsia="Times New Roman" w:cs="Arial"/>
                <w:color w:val="000000"/>
                <w:sz w:val="20"/>
                <w:szCs w:val="20"/>
                <w:lang w:eastAsia="en-GB"/>
              </w:rPr>
            </w:pPr>
            <w:r w:rsidRPr="00081D78">
              <w:rPr>
                <w:rFonts w:eastAsia="Times New Roman" w:cs="Arial"/>
                <w:color w:val="000000"/>
                <w:sz w:val="20"/>
                <w:szCs w:val="20"/>
                <w:lang w:eastAsia="en-GB"/>
              </w:rPr>
              <w:t>323</w:t>
            </w:r>
          </w:p>
        </w:tc>
      </w:tr>
      <w:tr w:rsidR="00EA4975" w:rsidRPr="00081D78" w14:paraId="749A546A" w14:textId="77777777" w:rsidTr="00081D78">
        <w:trPr>
          <w:trHeight w:val="300"/>
        </w:trPr>
        <w:tc>
          <w:tcPr>
            <w:tcW w:w="2374" w:type="dxa"/>
            <w:hideMark/>
          </w:tcPr>
          <w:p w14:paraId="23B46BE2" w14:textId="77777777" w:rsidR="00EA4975" w:rsidRPr="00081D78" w:rsidRDefault="00EA4975" w:rsidP="00EA4975">
            <w:pPr>
              <w:ind w:left="0" w:firstLineChars="100" w:firstLine="200"/>
              <w:rPr>
                <w:rFonts w:eastAsia="Times New Roman" w:cs="Arial"/>
                <w:color w:val="000000"/>
                <w:sz w:val="20"/>
                <w:szCs w:val="20"/>
                <w:lang w:eastAsia="en-GB"/>
              </w:rPr>
            </w:pPr>
            <w:r w:rsidRPr="00081D78">
              <w:rPr>
                <w:rFonts w:eastAsia="Times New Roman" w:cs="Arial"/>
                <w:color w:val="000000"/>
                <w:sz w:val="20"/>
                <w:szCs w:val="20"/>
                <w:lang w:eastAsia="en-GB"/>
              </w:rPr>
              <w:t>Welfare Rights</w:t>
            </w:r>
          </w:p>
        </w:tc>
        <w:tc>
          <w:tcPr>
            <w:tcW w:w="2623" w:type="dxa"/>
            <w:hideMark/>
          </w:tcPr>
          <w:p w14:paraId="5B9B8854" w14:textId="77777777" w:rsidR="00EA4975" w:rsidRPr="00081D78" w:rsidRDefault="00EA4975" w:rsidP="00EA4975">
            <w:pPr>
              <w:ind w:left="0" w:firstLineChars="100" w:firstLine="200"/>
              <w:jc w:val="center"/>
              <w:rPr>
                <w:rFonts w:eastAsia="Times New Roman" w:cs="Arial"/>
                <w:color w:val="000000"/>
                <w:sz w:val="20"/>
                <w:szCs w:val="20"/>
                <w:lang w:eastAsia="en-GB"/>
              </w:rPr>
            </w:pPr>
            <w:r w:rsidRPr="00081D78">
              <w:rPr>
                <w:rFonts w:eastAsia="Times New Roman" w:cs="Arial"/>
                <w:color w:val="000000"/>
                <w:sz w:val="20"/>
                <w:szCs w:val="20"/>
                <w:lang w:eastAsia="en-GB"/>
              </w:rPr>
              <w:t>1446</w:t>
            </w:r>
          </w:p>
        </w:tc>
        <w:tc>
          <w:tcPr>
            <w:tcW w:w="2563" w:type="dxa"/>
          </w:tcPr>
          <w:p w14:paraId="78C9E670" w14:textId="0CFA84EF" w:rsidR="00EA4975" w:rsidRPr="00081D78" w:rsidRDefault="00EA4975" w:rsidP="00EA4975">
            <w:pPr>
              <w:ind w:left="0" w:firstLineChars="100" w:firstLine="200"/>
              <w:jc w:val="center"/>
              <w:rPr>
                <w:rFonts w:eastAsia="Times New Roman" w:cs="Arial"/>
                <w:color w:val="000000"/>
                <w:sz w:val="20"/>
                <w:szCs w:val="20"/>
                <w:lang w:eastAsia="en-GB"/>
              </w:rPr>
            </w:pPr>
            <w:r w:rsidRPr="00081D78">
              <w:rPr>
                <w:rFonts w:eastAsia="Times New Roman" w:cs="Arial"/>
                <w:color w:val="000000"/>
                <w:sz w:val="20"/>
                <w:szCs w:val="20"/>
                <w:lang w:eastAsia="en-GB"/>
              </w:rPr>
              <w:t>1079</w:t>
            </w:r>
          </w:p>
        </w:tc>
      </w:tr>
      <w:tr w:rsidR="00EA4975" w:rsidRPr="00081D78" w14:paraId="33EE41F5" w14:textId="77777777" w:rsidTr="00081D78">
        <w:trPr>
          <w:trHeight w:val="315"/>
        </w:trPr>
        <w:tc>
          <w:tcPr>
            <w:tcW w:w="2374" w:type="dxa"/>
            <w:hideMark/>
          </w:tcPr>
          <w:p w14:paraId="5FA55EEA" w14:textId="77777777" w:rsidR="00EA4975" w:rsidRPr="00081D78" w:rsidRDefault="00EA4975" w:rsidP="00EA4975">
            <w:pPr>
              <w:ind w:left="0" w:firstLineChars="100" w:firstLine="201"/>
              <w:rPr>
                <w:rFonts w:eastAsia="Times New Roman" w:cs="Arial"/>
                <w:b/>
                <w:bCs/>
                <w:color w:val="FFFFFF"/>
                <w:sz w:val="20"/>
                <w:szCs w:val="20"/>
                <w:lang w:eastAsia="en-GB"/>
              </w:rPr>
            </w:pPr>
            <w:r w:rsidRPr="00081D78">
              <w:rPr>
                <w:rFonts w:eastAsia="Times New Roman" w:cs="Arial"/>
                <w:b/>
                <w:bCs/>
                <w:color w:val="FFFFFF"/>
                <w:sz w:val="20"/>
                <w:szCs w:val="20"/>
                <w:lang w:eastAsia="en-GB"/>
              </w:rPr>
              <w:t>Report Total</w:t>
            </w:r>
          </w:p>
        </w:tc>
        <w:tc>
          <w:tcPr>
            <w:tcW w:w="2623" w:type="dxa"/>
            <w:hideMark/>
          </w:tcPr>
          <w:p w14:paraId="66373350" w14:textId="77777777" w:rsidR="00EA4975" w:rsidRPr="00081D78" w:rsidRDefault="00EA4975" w:rsidP="00EA4975">
            <w:pPr>
              <w:ind w:left="0" w:firstLineChars="100" w:firstLine="201"/>
              <w:jc w:val="center"/>
              <w:rPr>
                <w:rFonts w:eastAsia="Times New Roman" w:cs="Arial"/>
                <w:b/>
                <w:bCs/>
                <w:color w:val="000000"/>
                <w:sz w:val="20"/>
                <w:szCs w:val="20"/>
                <w:lang w:eastAsia="en-GB"/>
              </w:rPr>
            </w:pPr>
            <w:r w:rsidRPr="00081D78">
              <w:rPr>
                <w:rFonts w:eastAsia="Times New Roman" w:cs="Arial"/>
                <w:b/>
                <w:bCs/>
                <w:color w:val="000000"/>
                <w:sz w:val="20"/>
                <w:szCs w:val="20"/>
                <w:lang w:eastAsia="en-GB"/>
              </w:rPr>
              <w:t>2183</w:t>
            </w:r>
          </w:p>
        </w:tc>
        <w:tc>
          <w:tcPr>
            <w:tcW w:w="2563" w:type="dxa"/>
          </w:tcPr>
          <w:p w14:paraId="6EB86B03" w14:textId="51CBD8BE" w:rsidR="00EA4975" w:rsidRPr="00081D78" w:rsidRDefault="00EA4975" w:rsidP="00EA4975">
            <w:pPr>
              <w:ind w:left="0" w:firstLineChars="100" w:firstLine="201"/>
              <w:jc w:val="center"/>
              <w:rPr>
                <w:rFonts w:eastAsia="Times New Roman" w:cs="Arial"/>
                <w:b/>
                <w:bCs/>
                <w:color w:val="000000"/>
                <w:sz w:val="20"/>
                <w:szCs w:val="20"/>
                <w:lang w:eastAsia="en-GB"/>
              </w:rPr>
            </w:pPr>
            <w:r w:rsidRPr="00081D78">
              <w:rPr>
                <w:rFonts w:eastAsia="Times New Roman" w:cs="Arial"/>
                <w:b/>
                <w:bCs/>
                <w:color w:val="000000"/>
                <w:sz w:val="20"/>
                <w:szCs w:val="20"/>
                <w:lang w:eastAsia="en-GB"/>
              </w:rPr>
              <w:t>1724</w:t>
            </w:r>
          </w:p>
        </w:tc>
      </w:tr>
    </w:tbl>
    <w:p w14:paraId="0788E2FA" w14:textId="05F56B78" w:rsidR="00EA4975" w:rsidRDefault="00EA4975" w:rsidP="00815770">
      <w:r w:rsidRPr="00EA4975">
        <w:t>Source, ACC Financial Inclusion Team</w:t>
      </w:r>
    </w:p>
    <w:p w14:paraId="33288574" w14:textId="4310B4BA" w:rsidR="002B031A" w:rsidRDefault="002B031A" w:rsidP="00815770"/>
    <w:p w14:paraId="72F21311" w14:textId="7A627213" w:rsidR="002B031A" w:rsidRPr="00EA4975" w:rsidRDefault="002B031A" w:rsidP="00815770">
      <w:r>
        <w:rPr>
          <w:noProof/>
        </w:rPr>
        <w:drawing>
          <wp:inline distT="0" distB="0" distL="0" distR="0" wp14:anchorId="2DBF4E92" wp14:editId="0871042F">
            <wp:extent cx="5263763" cy="2743200"/>
            <wp:effectExtent l="0" t="0" r="13335" b="0"/>
            <wp:docPr id="85" name="Chart 85">
              <a:extLst xmlns:a="http://schemas.openxmlformats.org/drawingml/2006/main">
                <a:ext uri="{FF2B5EF4-FFF2-40B4-BE49-F238E27FC236}">
                  <a16:creationId xmlns:a16="http://schemas.microsoft.com/office/drawing/2014/main" id="{ACBD25B3-458B-4226-AC66-EAED05FE4C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14:paraId="0DC60D05" w14:textId="77777777" w:rsidR="003370E9" w:rsidRDefault="003370E9" w:rsidP="00815770">
      <w:pPr>
        <w:rPr>
          <w:highlight w:val="yellow"/>
        </w:rPr>
      </w:pPr>
    </w:p>
    <w:p w14:paraId="6D501C56" w14:textId="09D512E2" w:rsidR="00873A7C" w:rsidRDefault="007A6668" w:rsidP="00815770">
      <w:r>
        <w:t>O</w:t>
      </w:r>
      <w:r w:rsidR="00EA4975" w:rsidRPr="007A6668">
        <w:t xml:space="preserve">nly six months of data is currently available for year to end March 2017 </w:t>
      </w:r>
      <w:r w:rsidR="009E50EA" w:rsidRPr="007A6668">
        <w:t xml:space="preserve">(October 2016 to March 2017) </w:t>
      </w:r>
      <w:r w:rsidR="00EA4975" w:rsidRPr="007A6668">
        <w:t xml:space="preserve">so </w:t>
      </w:r>
      <w:r>
        <w:t xml:space="preserve">it is </w:t>
      </w:r>
      <w:r w:rsidR="00EA4975" w:rsidRPr="007A6668">
        <w:t xml:space="preserve">not possible to do </w:t>
      </w:r>
      <w:r>
        <w:t xml:space="preserve">a full </w:t>
      </w:r>
      <w:r w:rsidR="00EA4975" w:rsidRPr="007A6668">
        <w:t>comparison</w:t>
      </w:r>
      <w:r>
        <w:t>. However, ju</w:t>
      </w:r>
      <w:r w:rsidR="00EA4975" w:rsidRPr="007A6668">
        <w:t xml:space="preserve">st going by number of cases for the six months it looks like while the number of enquiries </w:t>
      </w:r>
      <w:r w:rsidR="009E50EA" w:rsidRPr="007A6668">
        <w:t>were lower in</w:t>
      </w:r>
      <w:r w:rsidR="00EA4975" w:rsidRPr="007A6668">
        <w:t xml:space="preserve"> </w:t>
      </w:r>
      <w:r>
        <w:t xml:space="preserve">the </w:t>
      </w:r>
      <w:r w:rsidR="00EA4975" w:rsidRPr="007A6668">
        <w:t>year to end March 2018</w:t>
      </w:r>
      <w:r w:rsidR="009E50EA" w:rsidRPr="007A6668">
        <w:t xml:space="preserve"> than the previous year</w:t>
      </w:r>
      <w:r>
        <w:t>,</w:t>
      </w:r>
      <w:r w:rsidR="009E50EA" w:rsidRPr="007A6668">
        <w:t xml:space="preserve"> </w:t>
      </w:r>
      <w:r w:rsidR="00EA4975" w:rsidRPr="007A6668">
        <w:t xml:space="preserve">the number of cases has increased.  </w:t>
      </w:r>
    </w:p>
    <w:p w14:paraId="390BFAB6" w14:textId="202AD4DA" w:rsidR="00EA4975" w:rsidRDefault="00EA4975" w:rsidP="00815770"/>
    <w:p w14:paraId="740044F8" w14:textId="77777777" w:rsidR="00EA4975" w:rsidRPr="00873A7C" w:rsidRDefault="00EA4975" w:rsidP="00EA4975">
      <w:pPr>
        <w:spacing w:line="240" w:lineRule="auto"/>
        <w:rPr>
          <w:rFonts w:eastAsia="Times New Roman" w:cs="Arial"/>
          <w:b/>
          <w:bCs/>
          <w:color w:val="000000"/>
          <w:lang w:eastAsia="en-GB"/>
        </w:rPr>
      </w:pPr>
      <w:r>
        <w:rPr>
          <w:rFonts w:eastAsia="Times New Roman" w:cs="Arial"/>
          <w:b/>
          <w:bCs/>
          <w:color w:val="000000"/>
          <w:lang w:eastAsia="en-GB"/>
        </w:rPr>
        <w:t>Count of open enquires, October 2016 to March 2018</w:t>
      </w:r>
    </w:p>
    <w:tbl>
      <w:tblPr>
        <w:tblStyle w:val="TableGrid"/>
        <w:tblpPr w:leftFromText="180" w:rightFromText="180" w:vertAnchor="text" w:horzAnchor="page" w:tblpX="2130" w:tblpY="211"/>
        <w:tblW w:w="8075" w:type="dxa"/>
        <w:tblLook w:val="04A0" w:firstRow="1" w:lastRow="0" w:firstColumn="1" w:lastColumn="0" w:noHBand="0" w:noVBand="1"/>
      </w:tblPr>
      <w:tblGrid>
        <w:gridCol w:w="3220"/>
        <w:gridCol w:w="2740"/>
        <w:gridCol w:w="2115"/>
      </w:tblGrid>
      <w:tr w:rsidR="00081D78" w:rsidRPr="00081D78" w14:paraId="40A06EB5" w14:textId="77777777" w:rsidTr="00081D78">
        <w:trPr>
          <w:trHeight w:val="300"/>
        </w:trPr>
        <w:tc>
          <w:tcPr>
            <w:tcW w:w="3220" w:type="dxa"/>
            <w:shd w:val="clear" w:color="auto" w:fill="D9E2F3" w:themeFill="accent1" w:themeFillTint="33"/>
            <w:vAlign w:val="center"/>
          </w:tcPr>
          <w:p w14:paraId="4962C160" w14:textId="77777777" w:rsidR="00EA4975" w:rsidRPr="00081D78" w:rsidRDefault="00EA4975" w:rsidP="00081D78">
            <w:pPr>
              <w:ind w:left="0" w:firstLineChars="100" w:firstLine="201"/>
              <w:rPr>
                <w:rFonts w:eastAsia="Times New Roman" w:cs="Arial"/>
                <w:b/>
                <w:bCs/>
                <w:sz w:val="20"/>
                <w:szCs w:val="20"/>
                <w:lang w:eastAsia="en-GB"/>
              </w:rPr>
            </w:pPr>
          </w:p>
        </w:tc>
        <w:tc>
          <w:tcPr>
            <w:tcW w:w="2740" w:type="dxa"/>
            <w:shd w:val="clear" w:color="auto" w:fill="D9E2F3" w:themeFill="accent1" w:themeFillTint="33"/>
            <w:vAlign w:val="center"/>
          </w:tcPr>
          <w:p w14:paraId="6CA14D46" w14:textId="77777777" w:rsidR="00EA4975" w:rsidRPr="00081D78" w:rsidRDefault="00EA4975" w:rsidP="00081D78">
            <w:pPr>
              <w:ind w:left="0" w:firstLineChars="100" w:firstLine="201"/>
              <w:jc w:val="center"/>
              <w:rPr>
                <w:rFonts w:eastAsia="Times New Roman" w:cs="Arial"/>
                <w:b/>
                <w:bCs/>
                <w:sz w:val="20"/>
                <w:szCs w:val="20"/>
                <w:lang w:eastAsia="en-GB"/>
              </w:rPr>
            </w:pPr>
            <w:r w:rsidRPr="00081D78">
              <w:rPr>
                <w:rFonts w:eastAsia="Times New Roman" w:cs="Arial"/>
                <w:b/>
                <w:bCs/>
                <w:sz w:val="20"/>
                <w:szCs w:val="20"/>
                <w:lang w:eastAsia="en-GB"/>
              </w:rPr>
              <w:t>April 2017 to March 2018</w:t>
            </w:r>
          </w:p>
        </w:tc>
        <w:tc>
          <w:tcPr>
            <w:tcW w:w="2115" w:type="dxa"/>
            <w:shd w:val="clear" w:color="auto" w:fill="D9E2F3" w:themeFill="accent1" w:themeFillTint="33"/>
            <w:vAlign w:val="center"/>
          </w:tcPr>
          <w:p w14:paraId="031E68A0" w14:textId="77777777" w:rsidR="00EA4975" w:rsidRPr="00081D78" w:rsidRDefault="00EA4975" w:rsidP="00081D78">
            <w:pPr>
              <w:ind w:left="0" w:firstLineChars="100" w:firstLine="201"/>
              <w:jc w:val="center"/>
              <w:rPr>
                <w:rFonts w:eastAsia="Times New Roman" w:cs="Arial"/>
                <w:b/>
                <w:bCs/>
                <w:sz w:val="20"/>
                <w:szCs w:val="20"/>
                <w:lang w:eastAsia="en-GB"/>
              </w:rPr>
            </w:pPr>
            <w:r w:rsidRPr="00081D78">
              <w:rPr>
                <w:rFonts w:eastAsia="Times New Roman" w:cs="Arial"/>
                <w:b/>
                <w:bCs/>
                <w:sz w:val="20"/>
                <w:szCs w:val="20"/>
                <w:lang w:eastAsia="en-GB"/>
              </w:rPr>
              <w:t>October 2016 to March 2017</w:t>
            </w:r>
          </w:p>
        </w:tc>
      </w:tr>
      <w:tr w:rsidR="00081D78" w:rsidRPr="00081D78" w14:paraId="3F88DDE9" w14:textId="77777777" w:rsidTr="00081D78">
        <w:trPr>
          <w:trHeight w:val="347"/>
        </w:trPr>
        <w:tc>
          <w:tcPr>
            <w:tcW w:w="3220" w:type="dxa"/>
            <w:shd w:val="clear" w:color="auto" w:fill="D9E2F3" w:themeFill="accent1" w:themeFillTint="33"/>
            <w:vAlign w:val="center"/>
            <w:hideMark/>
          </w:tcPr>
          <w:p w14:paraId="65C3F284" w14:textId="77777777" w:rsidR="00EA4975" w:rsidRPr="00081D78" w:rsidRDefault="00EA4975" w:rsidP="00081D78">
            <w:pPr>
              <w:ind w:left="0" w:firstLineChars="100" w:firstLine="201"/>
              <w:rPr>
                <w:rFonts w:eastAsia="Times New Roman" w:cs="Arial"/>
                <w:b/>
                <w:bCs/>
                <w:sz w:val="20"/>
                <w:szCs w:val="20"/>
                <w:lang w:eastAsia="en-GB"/>
              </w:rPr>
            </w:pPr>
            <w:r w:rsidRPr="00081D78">
              <w:rPr>
                <w:rFonts w:eastAsia="Times New Roman" w:cs="Arial"/>
                <w:b/>
                <w:bCs/>
                <w:sz w:val="20"/>
                <w:szCs w:val="20"/>
                <w:lang w:eastAsia="en-GB"/>
              </w:rPr>
              <w:t>Matter Category</w:t>
            </w:r>
          </w:p>
        </w:tc>
        <w:tc>
          <w:tcPr>
            <w:tcW w:w="2740" w:type="dxa"/>
            <w:shd w:val="clear" w:color="auto" w:fill="D9E2F3" w:themeFill="accent1" w:themeFillTint="33"/>
            <w:vAlign w:val="center"/>
            <w:hideMark/>
          </w:tcPr>
          <w:p w14:paraId="293B9DDA" w14:textId="77777777" w:rsidR="00EA4975" w:rsidRPr="00081D78" w:rsidRDefault="00EA4975" w:rsidP="00081D78">
            <w:pPr>
              <w:ind w:left="0" w:firstLineChars="100" w:firstLine="201"/>
              <w:jc w:val="center"/>
              <w:rPr>
                <w:rFonts w:eastAsia="Times New Roman" w:cs="Arial"/>
                <w:b/>
                <w:bCs/>
                <w:sz w:val="20"/>
                <w:szCs w:val="20"/>
                <w:lang w:eastAsia="en-GB"/>
              </w:rPr>
            </w:pPr>
            <w:r w:rsidRPr="00081D78">
              <w:rPr>
                <w:rFonts w:eastAsia="Times New Roman" w:cs="Arial"/>
                <w:b/>
                <w:bCs/>
                <w:sz w:val="20"/>
                <w:szCs w:val="20"/>
                <w:lang w:eastAsia="en-GB"/>
              </w:rPr>
              <w:t>Count Number of Cases</w:t>
            </w:r>
          </w:p>
        </w:tc>
        <w:tc>
          <w:tcPr>
            <w:tcW w:w="2115" w:type="dxa"/>
            <w:shd w:val="clear" w:color="auto" w:fill="D9E2F3" w:themeFill="accent1" w:themeFillTint="33"/>
            <w:vAlign w:val="center"/>
          </w:tcPr>
          <w:p w14:paraId="6F237D3F" w14:textId="77777777" w:rsidR="00EA4975" w:rsidRPr="00081D78" w:rsidRDefault="00EA4975" w:rsidP="00081D78">
            <w:pPr>
              <w:ind w:left="0" w:firstLineChars="100" w:firstLine="201"/>
              <w:jc w:val="center"/>
              <w:rPr>
                <w:rFonts w:eastAsia="Times New Roman" w:cs="Arial"/>
                <w:b/>
                <w:bCs/>
                <w:sz w:val="20"/>
                <w:szCs w:val="20"/>
                <w:lang w:eastAsia="en-GB"/>
              </w:rPr>
            </w:pPr>
            <w:r w:rsidRPr="00081D78">
              <w:rPr>
                <w:rFonts w:eastAsia="Times New Roman" w:cs="Arial"/>
                <w:b/>
                <w:bCs/>
                <w:sz w:val="20"/>
                <w:szCs w:val="20"/>
                <w:lang w:eastAsia="en-GB"/>
              </w:rPr>
              <w:t>Count Number of Cases</w:t>
            </w:r>
          </w:p>
        </w:tc>
      </w:tr>
      <w:tr w:rsidR="00081D78" w:rsidRPr="00081D78" w14:paraId="5DD13029" w14:textId="77777777" w:rsidTr="00081D78">
        <w:trPr>
          <w:trHeight w:val="300"/>
        </w:trPr>
        <w:tc>
          <w:tcPr>
            <w:tcW w:w="3220" w:type="dxa"/>
            <w:vAlign w:val="center"/>
            <w:hideMark/>
          </w:tcPr>
          <w:p w14:paraId="00B60F96" w14:textId="77777777" w:rsidR="00EA4975" w:rsidRPr="00081D78" w:rsidRDefault="00EA4975" w:rsidP="00081D78">
            <w:pPr>
              <w:ind w:left="0" w:firstLineChars="100" w:firstLine="200"/>
              <w:rPr>
                <w:rFonts w:eastAsia="Times New Roman" w:cs="Arial"/>
                <w:sz w:val="20"/>
                <w:szCs w:val="20"/>
                <w:lang w:eastAsia="en-GB"/>
              </w:rPr>
            </w:pPr>
            <w:r w:rsidRPr="00081D78">
              <w:rPr>
                <w:rFonts w:eastAsia="Times New Roman" w:cs="Arial"/>
                <w:sz w:val="20"/>
                <w:szCs w:val="20"/>
                <w:lang w:eastAsia="en-GB"/>
              </w:rPr>
              <w:t>Debt</w:t>
            </w:r>
          </w:p>
        </w:tc>
        <w:tc>
          <w:tcPr>
            <w:tcW w:w="2740" w:type="dxa"/>
            <w:vAlign w:val="center"/>
            <w:hideMark/>
          </w:tcPr>
          <w:p w14:paraId="63809C19" w14:textId="77777777" w:rsidR="00EA4975" w:rsidRPr="00081D78" w:rsidRDefault="00EA4975" w:rsidP="00081D78">
            <w:pPr>
              <w:ind w:left="0" w:firstLineChars="100" w:firstLine="200"/>
              <w:jc w:val="center"/>
              <w:rPr>
                <w:rFonts w:eastAsia="Times New Roman" w:cs="Arial"/>
                <w:sz w:val="20"/>
                <w:szCs w:val="20"/>
                <w:lang w:eastAsia="en-GB"/>
              </w:rPr>
            </w:pPr>
            <w:r w:rsidRPr="00081D78">
              <w:rPr>
                <w:rFonts w:eastAsia="Times New Roman" w:cs="Arial"/>
                <w:sz w:val="20"/>
                <w:szCs w:val="20"/>
                <w:lang w:eastAsia="en-GB"/>
              </w:rPr>
              <w:t>322</w:t>
            </w:r>
          </w:p>
        </w:tc>
        <w:tc>
          <w:tcPr>
            <w:tcW w:w="2115" w:type="dxa"/>
            <w:vAlign w:val="center"/>
          </w:tcPr>
          <w:p w14:paraId="57F1442C" w14:textId="77777777" w:rsidR="00EA4975" w:rsidRPr="00081D78" w:rsidRDefault="00EA4975" w:rsidP="00081D78">
            <w:pPr>
              <w:ind w:left="0" w:firstLineChars="100" w:firstLine="200"/>
              <w:jc w:val="center"/>
              <w:rPr>
                <w:rFonts w:eastAsia="Times New Roman" w:cs="Arial"/>
                <w:sz w:val="20"/>
                <w:szCs w:val="20"/>
                <w:lang w:eastAsia="en-GB"/>
              </w:rPr>
            </w:pPr>
            <w:r w:rsidRPr="00081D78">
              <w:rPr>
                <w:rFonts w:cs="Arial"/>
                <w:sz w:val="20"/>
                <w:szCs w:val="20"/>
              </w:rPr>
              <w:t>203</w:t>
            </w:r>
          </w:p>
        </w:tc>
      </w:tr>
      <w:tr w:rsidR="00081D78" w:rsidRPr="00081D78" w14:paraId="5CE02DE1" w14:textId="77777777" w:rsidTr="00081D78">
        <w:trPr>
          <w:trHeight w:val="300"/>
        </w:trPr>
        <w:tc>
          <w:tcPr>
            <w:tcW w:w="3220" w:type="dxa"/>
            <w:vAlign w:val="center"/>
            <w:hideMark/>
          </w:tcPr>
          <w:p w14:paraId="3D318F7A" w14:textId="77777777" w:rsidR="00EA4975" w:rsidRPr="00081D78" w:rsidRDefault="00EA4975" w:rsidP="00081D78">
            <w:pPr>
              <w:ind w:left="0" w:firstLineChars="100" w:firstLine="200"/>
              <w:rPr>
                <w:rFonts w:eastAsia="Times New Roman" w:cs="Arial"/>
                <w:sz w:val="20"/>
                <w:szCs w:val="20"/>
                <w:lang w:eastAsia="en-GB"/>
              </w:rPr>
            </w:pPr>
            <w:r w:rsidRPr="00081D78">
              <w:rPr>
                <w:rFonts w:eastAsia="Times New Roman" w:cs="Arial"/>
                <w:sz w:val="20"/>
                <w:szCs w:val="20"/>
                <w:lang w:eastAsia="en-GB"/>
              </w:rPr>
              <w:t>Money Guidance</w:t>
            </w:r>
          </w:p>
        </w:tc>
        <w:tc>
          <w:tcPr>
            <w:tcW w:w="2740" w:type="dxa"/>
            <w:vAlign w:val="center"/>
            <w:hideMark/>
          </w:tcPr>
          <w:p w14:paraId="315A1B74" w14:textId="77777777" w:rsidR="00EA4975" w:rsidRPr="00081D78" w:rsidRDefault="00EA4975" w:rsidP="00081D78">
            <w:pPr>
              <w:ind w:left="0" w:firstLineChars="100" w:firstLine="200"/>
              <w:jc w:val="center"/>
              <w:rPr>
                <w:rFonts w:eastAsia="Times New Roman" w:cs="Arial"/>
                <w:sz w:val="20"/>
                <w:szCs w:val="20"/>
                <w:lang w:eastAsia="en-GB"/>
              </w:rPr>
            </w:pPr>
            <w:r w:rsidRPr="00081D78">
              <w:rPr>
                <w:rFonts w:eastAsia="Times New Roman" w:cs="Arial"/>
                <w:sz w:val="20"/>
                <w:szCs w:val="20"/>
                <w:lang w:eastAsia="en-GB"/>
              </w:rPr>
              <w:t>323</w:t>
            </w:r>
          </w:p>
        </w:tc>
        <w:tc>
          <w:tcPr>
            <w:tcW w:w="2115" w:type="dxa"/>
            <w:vAlign w:val="center"/>
          </w:tcPr>
          <w:p w14:paraId="68DC0CB3" w14:textId="77777777" w:rsidR="00EA4975" w:rsidRPr="00081D78" w:rsidRDefault="00EA4975" w:rsidP="00081D78">
            <w:pPr>
              <w:ind w:left="0" w:firstLineChars="100" w:firstLine="200"/>
              <w:jc w:val="center"/>
              <w:rPr>
                <w:rFonts w:eastAsia="Times New Roman" w:cs="Arial"/>
                <w:sz w:val="20"/>
                <w:szCs w:val="20"/>
                <w:lang w:eastAsia="en-GB"/>
              </w:rPr>
            </w:pPr>
            <w:r w:rsidRPr="00081D78">
              <w:rPr>
                <w:rFonts w:cs="Arial"/>
                <w:sz w:val="20"/>
                <w:szCs w:val="20"/>
              </w:rPr>
              <w:t>84</w:t>
            </w:r>
          </w:p>
        </w:tc>
      </w:tr>
      <w:tr w:rsidR="00081D78" w:rsidRPr="00081D78" w14:paraId="3BEC7639" w14:textId="77777777" w:rsidTr="00081D78">
        <w:trPr>
          <w:trHeight w:val="300"/>
        </w:trPr>
        <w:tc>
          <w:tcPr>
            <w:tcW w:w="3220" w:type="dxa"/>
            <w:vAlign w:val="center"/>
            <w:hideMark/>
          </w:tcPr>
          <w:p w14:paraId="1F4CFE70" w14:textId="77777777" w:rsidR="00EA4975" w:rsidRPr="00081D78" w:rsidRDefault="00EA4975" w:rsidP="00081D78">
            <w:pPr>
              <w:ind w:left="0" w:firstLineChars="100" w:firstLine="200"/>
              <w:rPr>
                <w:rFonts w:eastAsia="Times New Roman" w:cs="Arial"/>
                <w:sz w:val="20"/>
                <w:szCs w:val="20"/>
                <w:lang w:eastAsia="en-GB"/>
              </w:rPr>
            </w:pPr>
            <w:r w:rsidRPr="00081D78">
              <w:rPr>
                <w:rFonts w:eastAsia="Times New Roman" w:cs="Arial"/>
                <w:sz w:val="20"/>
                <w:szCs w:val="20"/>
                <w:lang w:eastAsia="en-GB"/>
              </w:rPr>
              <w:t>Welfare Rights</w:t>
            </w:r>
          </w:p>
        </w:tc>
        <w:tc>
          <w:tcPr>
            <w:tcW w:w="2740" w:type="dxa"/>
            <w:vAlign w:val="center"/>
            <w:hideMark/>
          </w:tcPr>
          <w:p w14:paraId="67C9BF2A" w14:textId="77777777" w:rsidR="00EA4975" w:rsidRPr="00081D78" w:rsidRDefault="00EA4975" w:rsidP="00081D78">
            <w:pPr>
              <w:ind w:left="0" w:firstLineChars="100" w:firstLine="200"/>
              <w:jc w:val="center"/>
              <w:rPr>
                <w:rFonts w:eastAsia="Times New Roman" w:cs="Arial"/>
                <w:sz w:val="20"/>
                <w:szCs w:val="20"/>
                <w:lang w:eastAsia="en-GB"/>
              </w:rPr>
            </w:pPr>
            <w:r w:rsidRPr="00081D78">
              <w:rPr>
                <w:rFonts w:eastAsia="Times New Roman" w:cs="Arial"/>
                <w:sz w:val="20"/>
                <w:szCs w:val="20"/>
                <w:lang w:eastAsia="en-GB"/>
              </w:rPr>
              <w:t>1079</w:t>
            </w:r>
          </w:p>
        </w:tc>
        <w:tc>
          <w:tcPr>
            <w:tcW w:w="2115" w:type="dxa"/>
            <w:vAlign w:val="center"/>
          </w:tcPr>
          <w:p w14:paraId="41B79C1A" w14:textId="77777777" w:rsidR="00EA4975" w:rsidRPr="00081D78" w:rsidRDefault="00EA4975" w:rsidP="00081D78">
            <w:pPr>
              <w:ind w:left="0" w:firstLineChars="100" w:firstLine="200"/>
              <w:jc w:val="center"/>
              <w:rPr>
                <w:rFonts w:eastAsia="Times New Roman" w:cs="Arial"/>
                <w:sz w:val="20"/>
                <w:szCs w:val="20"/>
                <w:lang w:eastAsia="en-GB"/>
              </w:rPr>
            </w:pPr>
            <w:r w:rsidRPr="00081D78">
              <w:rPr>
                <w:rFonts w:cs="Arial"/>
                <w:sz w:val="20"/>
                <w:szCs w:val="20"/>
              </w:rPr>
              <w:t>764</w:t>
            </w:r>
          </w:p>
        </w:tc>
      </w:tr>
      <w:tr w:rsidR="00081D78" w:rsidRPr="00081D78" w14:paraId="58DFF80A" w14:textId="77777777" w:rsidTr="00081D78">
        <w:trPr>
          <w:trHeight w:val="315"/>
        </w:trPr>
        <w:tc>
          <w:tcPr>
            <w:tcW w:w="3220" w:type="dxa"/>
            <w:vAlign w:val="center"/>
            <w:hideMark/>
          </w:tcPr>
          <w:p w14:paraId="79804E4E" w14:textId="77777777" w:rsidR="00EA4975" w:rsidRPr="00081D78" w:rsidRDefault="00EA4975" w:rsidP="00081D78">
            <w:pPr>
              <w:ind w:left="0" w:firstLineChars="100" w:firstLine="201"/>
              <w:rPr>
                <w:rFonts w:eastAsia="Times New Roman" w:cs="Arial"/>
                <w:b/>
                <w:bCs/>
                <w:sz w:val="20"/>
                <w:szCs w:val="20"/>
                <w:lang w:eastAsia="en-GB"/>
              </w:rPr>
            </w:pPr>
            <w:r w:rsidRPr="00081D78">
              <w:rPr>
                <w:rFonts w:eastAsia="Times New Roman" w:cs="Arial"/>
                <w:b/>
                <w:bCs/>
                <w:sz w:val="20"/>
                <w:szCs w:val="20"/>
                <w:lang w:eastAsia="en-GB"/>
              </w:rPr>
              <w:t>Report Total</w:t>
            </w:r>
          </w:p>
        </w:tc>
        <w:tc>
          <w:tcPr>
            <w:tcW w:w="2740" w:type="dxa"/>
            <w:vAlign w:val="center"/>
            <w:hideMark/>
          </w:tcPr>
          <w:p w14:paraId="4A49123A" w14:textId="77777777" w:rsidR="00EA4975" w:rsidRPr="00081D78" w:rsidRDefault="00EA4975" w:rsidP="00081D78">
            <w:pPr>
              <w:ind w:left="0" w:firstLineChars="100" w:firstLine="201"/>
              <w:jc w:val="center"/>
              <w:rPr>
                <w:rFonts w:eastAsia="Times New Roman" w:cs="Arial"/>
                <w:b/>
                <w:bCs/>
                <w:sz w:val="20"/>
                <w:szCs w:val="20"/>
                <w:lang w:eastAsia="en-GB"/>
              </w:rPr>
            </w:pPr>
            <w:r w:rsidRPr="00081D78">
              <w:rPr>
                <w:rFonts w:eastAsia="Times New Roman" w:cs="Arial"/>
                <w:b/>
                <w:bCs/>
                <w:sz w:val="20"/>
                <w:szCs w:val="20"/>
                <w:lang w:eastAsia="en-GB"/>
              </w:rPr>
              <w:t>1724</w:t>
            </w:r>
          </w:p>
        </w:tc>
        <w:tc>
          <w:tcPr>
            <w:tcW w:w="2115" w:type="dxa"/>
            <w:vAlign w:val="center"/>
          </w:tcPr>
          <w:p w14:paraId="704D19B4" w14:textId="77777777" w:rsidR="00EA4975" w:rsidRPr="00081D78" w:rsidRDefault="00EA4975" w:rsidP="00081D78">
            <w:pPr>
              <w:ind w:left="0" w:firstLineChars="100" w:firstLine="201"/>
              <w:jc w:val="center"/>
              <w:rPr>
                <w:rFonts w:eastAsia="Times New Roman" w:cs="Arial"/>
                <w:b/>
                <w:bCs/>
                <w:sz w:val="20"/>
                <w:szCs w:val="20"/>
                <w:lang w:eastAsia="en-GB"/>
              </w:rPr>
            </w:pPr>
            <w:r w:rsidRPr="00081D78">
              <w:rPr>
                <w:rFonts w:cs="Arial"/>
                <w:b/>
                <w:bCs/>
                <w:sz w:val="20"/>
                <w:szCs w:val="20"/>
              </w:rPr>
              <w:t>1051</w:t>
            </w:r>
          </w:p>
        </w:tc>
      </w:tr>
    </w:tbl>
    <w:p w14:paraId="233B75F8" w14:textId="77777777" w:rsidR="00EA4975" w:rsidRDefault="00EA4975" w:rsidP="00EA4975"/>
    <w:p w14:paraId="19E3B6BC" w14:textId="77777777" w:rsidR="00332C18" w:rsidRDefault="00332C18">
      <w:pPr>
        <w:rPr>
          <w:b/>
        </w:rPr>
      </w:pPr>
      <w:r>
        <w:rPr>
          <w:b/>
        </w:rPr>
        <w:br w:type="page"/>
      </w:r>
    </w:p>
    <w:p w14:paraId="3B2978DF" w14:textId="4210CF0B" w:rsidR="00EA4975" w:rsidRPr="00873A7C" w:rsidRDefault="00EA4975" w:rsidP="00EA4975">
      <w:pPr>
        <w:rPr>
          <w:b/>
        </w:rPr>
      </w:pPr>
      <w:r w:rsidRPr="00873A7C">
        <w:rPr>
          <w:b/>
        </w:rPr>
        <w:lastRenderedPageBreak/>
        <w:t>Count of open cases</w:t>
      </w:r>
      <w:r>
        <w:rPr>
          <w:b/>
        </w:rPr>
        <w:t>, October 2016 to March 2018</w:t>
      </w:r>
    </w:p>
    <w:tbl>
      <w:tblPr>
        <w:tblStyle w:val="TableGrid"/>
        <w:tblW w:w="8264" w:type="dxa"/>
        <w:tblInd w:w="607" w:type="dxa"/>
        <w:tblLook w:val="04A0" w:firstRow="1" w:lastRow="0" w:firstColumn="1" w:lastColumn="0" w:noHBand="0" w:noVBand="1"/>
      </w:tblPr>
      <w:tblGrid>
        <w:gridCol w:w="3078"/>
        <w:gridCol w:w="2623"/>
        <w:gridCol w:w="2563"/>
      </w:tblGrid>
      <w:tr w:rsidR="00081D78" w:rsidRPr="00081D78" w14:paraId="73EE8C7C" w14:textId="77777777" w:rsidTr="00081D78">
        <w:trPr>
          <w:trHeight w:val="300"/>
        </w:trPr>
        <w:tc>
          <w:tcPr>
            <w:tcW w:w="3078" w:type="dxa"/>
            <w:shd w:val="clear" w:color="auto" w:fill="D9E2F3" w:themeFill="accent1" w:themeFillTint="33"/>
            <w:vAlign w:val="center"/>
          </w:tcPr>
          <w:p w14:paraId="410ECB51" w14:textId="77777777" w:rsidR="00EA4975" w:rsidRPr="00081D78" w:rsidRDefault="00EA4975" w:rsidP="00081D78">
            <w:pPr>
              <w:ind w:left="0" w:firstLineChars="100" w:firstLine="201"/>
              <w:rPr>
                <w:rFonts w:eastAsia="Times New Roman" w:cs="Arial"/>
                <w:b/>
                <w:bCs/>
                <w:sz w:val="20"/>
                <w:szCs w:val="20"/>
                <w:lang w:eastAsia="en-GB"/>
              </w:rPr>
            </w:pPr>
          </w:p>
        </w:tc>
        <w:tc>
          <w:tcPr>
            <w:tcW w:w="2623" w:type="dxa"/>
            <w:shd w:val="clear" w:color="auto" w:fill="D9E2F3" w:themeFill="accent1" w:themeFillTint="33"/>
            <w:vAlign w:val="center"/>
          </w:tcPr>
          <w:p w14:paraId="6F9AC720" w14:textId="77777777" w:rsidR="00EA4975" w:rsidRPr="00081D78" w:rsidRDefault="00EA4975" w:rsidP="00081D78">
            <w:pPr>
              <w:ind w:left="0" w:firstLineChars="100" w:firstLine="201"/>
              <w:jc w:val="center"/>
              <w:rPr>
                <w:rFonts w:eastAsia="Times New Roman" w:cs="Arial"/>
                <w:b/>
                <w:bCs/>
                <w:sz w:val="20"/>
                <w:szCs w:val="20"/>
                <w:lang w:eastAsia="en-GB"/>
              </w:rPr>
            </w:pPr>
            <w:r w:rsidRPr="00081D78">
              <w:rPr>
                <w:rFonts w:eastAsia="Times New Roman" w:cs="Arial"/>
                <w:b/>
                <w:bCs/>
                <w:sz w:val="20"/>
                <w:szCs w:val="20"/>
                <w:lang w:eastAsia="en-GB"/>
              </w:rPr>
              <w:t>April 2017 to March 2018</w:t>
            </w:r>
          </w:p>
        </w:tc>
        <w:tc>
          <w:tcPr>
            <w:tcW w:w="2563" w:type="dxa"/>
            <w:shd w:val="clear" w:color="auto" w:fill="D9E2F3" w:themeFill="accent1" w:themeFillTint="33"/>
            <w:vAlign w:val="center"/>
          </w:tcPr>
          <w:p w14:paraId="1FD61BA0" w14:textId="77777777" w:rsidR="00EA4975" w:rsidRPr="00081D78" w:rsidRDefault="00EA4975" w:rsidP="00081D78">
            <w:pPr>
              <w:ind w:left="0" w:firstLineChars="100" w:firstLine="201"/>
              <w:jc w:val="center"/>
              <w:rPr>
                <w:rFonts w:eastAsia="Times New Roman" w:cs="Arial"/>
                <w:b/>
                <w:bCs/>
                <w:sz w:val="20"/>
                <w:szCs w:val="20"/>
                <w:lang w:eastAsia="en-GB"/>
              </w:rPr>
            </w:pPr>
            <w:r w:rsidRPr="00081D78">
              <w:rPr>
                <w:rFonts w:eastAsia="Times New Roman" w:cs="Arial"/>
                <w:b/>
                <w:bCs/>
                <w:sz w:val="20"/>
                <w:szCs w:val="20"/>
                <w:lang w:eastAsia="en-GB"/>
              </w:rPr>
              <w:t>October 2016 to March 2017</w:t>
            </w:r>
          </w:p>
        </w:tc>
      </w:tr>
      <w:tr w:rsidR="00081D78" w:rsidRPr="00081D78" w14:paraId="64292C6E" w14:textId="77777777" w:rsidTr="00081D78">
        <w:trPr>
          <w:trHeight w:val="371"/>
        </w:trPr>
        <w:tc>
          <w:tcPr>
            <w:tcW w:w="3078" w:type="dxa"/>
            <w:shd w:val="clear" w:color="auto" w:fill="D9E2F3" w:themeFill="accent1" w:themeFillTint="33"/>
            <w:vAlign w:val="center"/>
            <w:hideMark/>
          </w:tcPr>
          <w:p w14:paraId="21905634" w14:textId="77777777" w:rsidR="00EA4975" w:rsidRPr="00081D78" w:rsidRDefault="00EA4975" w:rsidP="00081D78">
            <w:pPr>
              <w:ind w:left="0" w:firstLineChars="100" w:firstLine="201"/>
              <w:rPr>
                <w:rFonts w:eastAsia="Times New Roman" w:cs="Arial"/>
                <w:b/>
                <w:bCs/>
                <w:sz w:val="20"/>
                <w:szCs w:val="20"/>
                <w:lang w:eastAsia="en-GB"/>
              </w:rPr>
            </w:pPr>
            <w:r w:rsidRPr="00081D78">
              <w:rPr>
                <w:rFonts w:eastAsia="Times New Roman" w:cs="Arial"/>
                <w:b/>
                <w:bCs/>
                <w:sz w:val="20"/>
                <w:szCs w:val="20"/>
                <w:lang w:eastAsia="en-GB"/>
              </w:rPr>
              <w:t>Matter Category</w:t>
            </w:r>
          </w:p>
        </w:tc>
        <w:tc>
          <w:tcPr>
            <w:tcW w:w="2623" w:type="dxa"/>
            <w:shd w:val="clear" w:color="auto" w:fill="D9E2F3" w:themeFill="accent1" w:themeFillTint="33"/>
            <w:vAlign w:val="center"/>
            <w:hideMark/>
          </w:tcPr>
          <w:p w14:paraId="3947C4C2" w14:textId="77777777" w:rsidR="00EA4975" w:rsidRPr="00081D78" w:rsidRDefault="00EA4975" w:rsidP="00081D78">
            <w:pPr>
              <w:ind w:left="0" w:firstLineChars="100" w:firstLine="201"/>
              <w:jc w:val="center"/>
              <w:rPr>
                <w:rFonts w:eastAsia="Times New Roman" w:cs="Arial"/>
                <w:b/>
                <w:bCs/>
                <w:sz w:val="20"/>
                <w:szCs w:val="20"/>
                <w:lang w:eastAsia="en-GB"/>
              </w:rPr>
            </w:pPr>
            <w:r w:rsidRPr="00081D78">
              <w:rPr>
                <w:rFonts w:eastAsia="Times New Roman" w:cs="Arial"/>
                <w:b/>
                <w:bCs/>
                <w:sz w:val="20"/>
                <w:szCs w:val="20"/>
                <w:lang w:eastAsia="en-GB"/>
              </w:rPr>
              <w:t>Count Number of Cases</w:t>
            </w:r>
          </w:p>
        </w:tc>
        <w:tc>
          <w:tcPr>
            <w:tcW w:w="2563" w:type="dxa"/>
            <w:shd w:val="clear" w:color="auto" w:fill="D9E2F3" w:themeFill="accent1" w:themeFillTint="33"/>
            <w:vAlign w:val="center"/>
          </w:tcPr>
          <w:p w14:paraId="11542557" w14:textId="77777777" w:rsidR="00EA4975" w:rsidRPr="00081D78" w:rsidRDefault="00EA4975" w:rsidP="00081D78">
            <w:pPr>
              <w:ind w:left="0" w:firstLineChars="100" w:firstLine="201"/>
              <w:jc w:val="center"/>
              <w:rPr>
                <w:rFonts w:eastAsia="Times New Roman" w:cs="Arial"/>
                <w:b/>
                <w:bCs/>
                <w:sz w:val="20"/>
                <w:szCs w:val="20"/>
                <w:lang w:eastAsia="en-GB"/>
              </w:rPr>
            </w:pPr>
            <w:r w:rsidRPr="00081D78">
              <w:rPr>
                <w:rFonts w:eastAsia="Times New Roman" w:cs="Arial"/>
                <w:b/>
                <w:bCs/>
                <w:sz w:val="20"/>
                <w:szCs w:val="20"/>
                <w:lang w:eastAsia="en-GB"/>
              </w:rPr>
              <w:t>Count Number of Cases</w:t>
            </w:r>
          </w:p>
        </w:tc>
      </w:tr>
      <w:tr w:rsidR="00081D78" w:rsidRPr="00081D78" w14:paraId="2ACADEBA" w14:textId="77777777" w:rsidTr="00081D78">
        <w:trPr>
          <w:trHeight w:val="300"/>
        </w:trPr>
        <w:tc>
          <w:tcPr>
            <w:tcW w:w="3078" w:type="dxa"/>
            <w:vAlign w:val="center"/>
            <w:hideMark/>
          </w:tcPr>
          <w:p w14:paraId="1A9A7026" w14:textId="77777777" w:rsidR="00EA4975" w:rsidRPr="00081D78" w:rsidRDefault="00EA4975" w:rsidP="00081D78">
            <w:pPr>
              <w:ind w:left="0" w:firstLineChars="100" w:firstLine="200"/>
              <w:rPr>
                <w:rFonts w:eastAsia="Times New Roman" w:cs="Arial"/>
                <w:sz w:val="20"/>
                <w:szCs w:val="20"/>
                <w:lang w:eastAsia="en-GB"/>
              </w:rPr>
            </w:pPr>
            <w:r w:rsidRPr="00081D78">
              <w:rPr>
                <w:rFonts w:eastAsia="Times New Roman" w:cs="Arial"/>
                <w:sz w:val="20"/>
                <w:szCs w:val="20"/>
                <w:lang w:eastAsia="en-GB"/>
              </w:rPr>
              <w:t>Debt</w:t>
            </w:r>
          </w:p>
        </w:tc>
        <w:tc>
          <w:tcPr>
            <w:tcW w:w="2623" w:type="dxa"/>
            <w:vAlign w:val="center"/>
            <w:hideMark/>
          </w:tcPr>
          <w:p w14:paraId="31CD22C5" w14:textId="77777777" w:rsidR="00EA4975" w:rsidRPr="00081D78" w:rsidRDefault="00EA4975" w:rsidP="00081D78">
            <w:pPr>
              <w:ind w:left="0" w:firstLineChars="100" w:firstLine="200"/>
              <w:jc w:val="center"/>
              <w:rPr>
                <w:rFonts w:eastAsia="Times New Roman" w:cs="Arial"/>
                <w:sz w:val="20"/>
                <w:szCs w:val="20"/>
                <w:lang w:eastAsia="en-GB"/>
              </w:rPr>
            </w:pPr>
            <w:r w:rsidRPr="00081D78">
              <w:rPr>
                <w:rFonts w:eastAsia="Times New Roman" w:cs="Arial"/>
                <w:sz w:val="20"/>
                <w:szCs w:val="20"/>
                <w:lang w:eastAsia="en-GB"/>
              </w:rPr>
              <w:t>680</w:t>
            </w:r>
          </w:p>
        </w:tc>
        <w:tc>
          <w:tcPr>
            <w:tcW w:w="2563" w:type="dxa"/>
            <w:vAlign w:val="center"/>
          </w:tcPr>
          <w:p w14:paraId="25BBA58D" w14:textId="77777777" w:rsidR="00EA4975" w:rsidRPr="00081D78" w:rsidRDefault="00EA4975" w:rsidP="00081D78">
            <w:pPr>
              <w:ind w:left="0" w:firstLineChars="100" w:firstLine="200"/>
              <w:jc w:val="center"/>
              <w:rPr>
                <w:rFonts w:eastAsia="Times New Roman" w:cs="Arial"/>
                <w:sz w:val="20"/>
                <w:szCs w:val="20"/>
                <w:lang w:eastAsia="en-GB"/>
              </w:rPr>
            </w:pPr>
            <w:r w:rsidRPr="00081D78">
              <w:rPr>
                <w:rFonts w:cs="Arial"/>
                <w:sz w:val="20"/>
                <w:szCs w:val="20"/>
              </w:rPr>
              <w:t>404</w:t>
            </w:r>
          </w:p>
        </w:tc>
      </w:tr>
      <w:tr w:rsidR="00081D78" w:rsidRPr="00081D78" w14:paraId="2323B815" w14:textId="77777777" w:rsidTr="00081D78">
        <w:trPr>
          <w:trHeight w:val="300"/>
        </w:trPr>
        <w:tc>
          <w:tcPr>
            <w:tcW w:w="3078" w:type="dxa"/>
            <w:vAlign w:val="center"/>
            <w:hideMark/>
          </w:tcPr>
          <w:p w14:paraId="43CF4A81" w14:textId="77777777" w:rsidR="00EA4975" w:rsidRPr="00081D78" w:rsidRDefault="00EA4975" w:rsidP="00081D78">
            <w:pPr>
              <w:ind w:left="0" w:firstLineChars="100" w:firstLine="200"/>
              <w:rPr>
                <w:rFonts w:eastAsia="Times New Roman" w:cs="Arial"/>
                <w:sz w:val="20"/>
                <w:szCs w:val="20"/>
                <w:lang w:eastAsia="en-GB"/>
              </w:rPr>
            </w:pPr>
            <w:r w:rsidRPr="00081D78">
              <w:rPr>
                <w:rFonts w:eastAsia="Times New Roman" w:cs="Arial"/>
                <w:sz w:val="20"/>
                <w:szCs w:val="20"/>
                <w:lang w:eastAsia="en-GB"/>
              </w:rPr>
              <w:t>Money Guidance</w:t>
            </w:r>
          </w:p>
        </w:tc>
        <w:tc>
          <w:tcPr>
            <w:tcW w:w="2623" w:type="dxa"/>
            <w:vAlign w:val="center"/>
            <w:hideMark/>
          </w:tcPr>
          <w:p w14:paraId="026A14E7" w14:textId="77777777" w:rsidR="00EA4975" w:rsidRPr="00081D78" w:rsidRDefault="00EA4975" w:rsidP="00081D78">
            <w:pPr>
              <w:ind w:left="0" w:firstLineChars="100" w:firstLine="200"/>
              <w:jc w:val="center"/>
              <w:rPr>
                <w:rFonts w:eastAsia="Times New Roman" w:cs="Arial"/>
                <w:sz w:val="20"/>
                <w:szCs w:val="20"/>
                <w:lang w:eastAsia="en-GB"/>
              </w:rPr>
            </w:pPr>
            <w:r w:rsidRPr="00081D78">
              <w:rPr>
                <w:rFonts w:eastAsia="Times New Roman" w:cs="Arial"/>
                <w:sz w:val="20"/>
                <w:szCs w:val="20"/>
                <w:lang w:eastAsia="en-GB"/>
              </w:rPr>
              <w:t>57</w:t>
            </w:r>
          </w:p>
        </w:tc>
        <w:tc>
          <w:tcPr>
            <w:tcW w:w="2563" w:type="dxa"/>
            <w:vAlign w:val="center"/>
          </w:tcPr>
          <w:p w14:paraId="3AB093D2" w14:textId="77777777" w:rsidR="00EA4975" w:rsidRPr="00081D78" w:rsidRDefault="00EA4975" w:rsidP="00081D78">
            <w:pPr>
              <w:ind w:left="0" w:firstLineChars="100" w:firstLine="200"/>
              <w:jc w:val="center"/>
              <w:rPr>
                <w:rFonts w:eastAsia="Times New Roman" w:cs="Arial"/>
                <w:sz w:val="20"/>
                <w:szCs w:val="20"/>
                <w:lang w:eastAsia="en-GB"/>
              </w:rPr>
            </w:pPr>
            <w:r w:rsidRPr="00081D78">
              <w:rPr>
                <w:rFonts w:cs="Arial"/>
                <w:sz w:val="20"/>
                <w:szCs w:val="20"/>
              </w:rPr>
              <w:t>23</w:t>
            </w:r>
          </w:p>
        </w:tc>
      </w:tr>
      <w:tr w:rsidR="00081D78" w:rsidRPr="00081D78" w14:paraId="145320BA" w14:textId="77777777" w:rsidTr="00081D78">
        <w:trPr>
          <w:trHeight w:val="300"/>
        </w:trPr>
        <w:tc>
          <w:tcPr>
            <w:tcW w:w="3078" w:type="dxa"/>
            <w:vAlign w:val="center"/>
            <w:hideMark/>
          </w:tcPr>
          <w:p w14:paraId="2C59D17A" w14:textId="77777777" w:rsidR="00EA4975" w:rsidRPr="00081D78" w:rsidRDefault="00EA4975" w:rsidP="00081D78">
            <w:pPr>
              <w:ind w:left="0" w:firstLineChars="100" w:firstLine="200"/>
              <w:rPr>
                <w:rFonts w:eastAsia="Times New Roman" w:cs="Arial"/>
                <w:sz w:val="20"/>
                <w:szCs w:val="20"/>
                <w:lang w:eastAsia="en-GB"/>
              </w:rPr>
            </w:pPr>
            <w:r w:rsidRPr="00081D78">
              <w:rPr>
                <w:rFonts w:eastAsia="Times New Roman" w:cs="Arial"/>
                <w:sz w:val="20"/>
                <w:szCs w:val="20"/>
                <w:lang w:eastAsia="en-GB"/>
              </w:rPr>
              <w:t>Welfare Rights</w:t>
            </w:r>
          </w:p>
        </w:tc>
        <w:tc>
          <w:tcPr>
            <w:tcW w:w="2623" w:type="dxa"/>
            <w:vAlign w:val="center"/>
            <w:hideMark/>
          </w:tcPr>
          <w:p w14:paraId="0CC5F29D" w14:textId="77777777" w:rsidR="00EA4975" w:rsidRPr="00081D78" w:rsidRDefault="00EA4975" w:rsidP="00081D78">
            <w:pPr>
              <w:ind w:left="0" w:firstLineChars="100" w:firstLine="200"/>
              <w:jc w:val="center"/>
              <w:rPr>
                <w:rFonts w:eastAsia="Times New Roman" w:cs="Arial"/>
                <w:sz w:val="20"/>
                <w:szCs w:val="20"/>
                <w:lang w:eastAsia="en-GB"/>
              </w:rPr>
            </w:pPr>
            <w:r w:rsidRPr="00081D78">
              <w:rPr>
                <w:rFonts w:eastAsia="Times New Roman" w:cs="Arial"/>
                <w:sz w:val="20"/>
                <w:szCs w:val="20"/>
                <w:lang w:eastAsia="en-GB"/>
              </w:rPr>
              <w:t>1446</w:t>
            </w:r>
          </w:p>
        </w:tc>
        <w:tc>
          <w:tcPr>
            <w:tcW w:w="2563" w:type="dxa"/>
            <w:vAlign w:val="center"/>
          </w:tcPr>
          <w:p w14:paraId="20F93AD7" w14:textId="77777777" w:rsidR="00EA4975" w:rsidRPr="00081D78" w:rsidRDefault="00EA4975" w:rsidP="00081D78">
            <w:pPr>
              <w:ind w:left="0" w:firstLineChars="100" w:firstLine="200"/>
              <w:jc w:val="center"/>
              <w:rPr>
                <w:rFonts w:eastAsia="Times New Roman" w:cs="Arial"/>
                <w:sz w:val="20"/>
                <w:szCs w:val="20"/>
                <w:lang w:eastAsia="en-GB"/>
              </w:rPr>
            </w:pPr>
            <w:r w:rsidRPr="00081D78">
              <w:rPr>
                <w:rFonts w:cs="Arial"/>
                <w:sz w:val="20"/>
                <w:szCs w:val="20"/>
              </w:rPr>
              <w:t>924</w:t>
            </w:r>
          </w:p>
        </w:tc>
      </w:tr>
      <w:tr w:rsidR="00081D78" w:rsidRPr="00081D78" w14:paraId="35E6D867" w14:textId="77777777" w:rsidTr="00081D78">
        <w:trPr>
          <w:trHeight w:val="315"/>
        </w:trPr>
        <w:tc>
          <w:tcPr>
            <w:tcW w:w="3078" w:type="dxa"/>
            <w:vAlign w:val="center"/>
            <w:hideMark/>
          </w:tcPr>
          <w:p w14:paraId="541B3225" w14:textId="77777777" w:rsidR="00EA4975" w:rsidRPr="00081D78" w:rsidRDefault="00EA4975" w:rsidP="00081D78">
            <w:pPr>
              <w:ind w:left="0" w:firstLineChars="100" w:firstLine="201"/>
              <w:rPr>
                <w:rFonts w:eastAsia="Times New Roman" w:cs="Arial"/>
                <w:b/>
                <w:bCs/>
                <w:sz w:val="20"/>
                <w:szCs w:val="20"/>
                <w:lang w:eastAsia="en-GB"/>
              </w:rPr>
            </w:pPr>
            <w:r w:rsidRPr="00081D78">
              <w:rPr>
                <w:rFonts w:eastAsia="Times New Roman" w:cs="Arial"/>
                <w:b/>
                <w:bCs/>
                <w:sz w:val="20"/>
                <w:szCs w:val="20"/>
                <w:lang w:eastAsia="en-GB"/>
              </w:rPr>
              <w:t>Report Total</w:t>
            </w:r>
          </w:p>
        </w:tc>
        <w:tc>
          <w:tcPr>
            <w:tcW w:w="2623" w:type="dxa"/>
            <w:vAlign w:val="center"/>
            <w:hideMark/>
          </w:tcPr>
          <w:p w14:paraId="325FA696" w14:textId="77777777" w:rsidR="00EA4975" w:rsidRPr="00081D78" w:rsidRDefault="00EA4975" w:rsidP="00081D78">
            <w:pPr>
              <w:ind w:left="0" w:firstLineChars="100" w:firstLine="201"/>
              <w:jc w:val="center"/>
              <w:rPr>
                <w:rFonts w:eastAsia="Times New Roman" w:cs="Arial"/>
                <w:b/>
                <w:bCs/>
                <w:sz w:val="20"/>
                <w:szCs w:val="20"/>
                <w:lang w:eastAsia="en-GB"/>
              </w:rPr>
            </w:pPr>
            <w:r w:rsidRPr="00081D78">
              <w:rPr>
                <w:rFonts w:eastAsia="Times New Roman" w:cs="Arial"/>
                <w:b/>
                <w:bCs/>
                <w:sz w:val="20"/>
                <w:szCs w:val="20"/>
                <w:lang w:eastAsia="en-GB"/>
              </w:rPr>
              <w:t>2183</w:t>
            </w:r>
          </w:p>
        </w:tc>
        <w:tc>
          <w:tcPr>
            <w:tcW w:w="2563" w:type="dxa"/>
            <w:vAlign w:val="center"/>
          </w:tcPr>
          <w:p w14:paraId="1A86869C" w14:textId="77777777" w:rsidR="00EA4975" w:rsidRPr="00081D78" w:rsidRDefault="00EA4975" w:rsidP="00081D78">
            <w:pPr>
              <w:ind w:left="0" w:firstLineChars="100" w:firstLine="201"/>
              <w:jc w:val="center"/>
              <w:rPr>
                <w:rFonts w:eastAsia="Times New Roman" w:cs="Arial"/>
                <w:b/>
                <w:bCs/>
                <w:sz w:val="20"/>
                <w:szCs w:val="20"/>
                <w:lang w:eastAsia="en-GB"/>
              </w:rPr>
            </w:pPr>
            <w:r w:rsidRPr="00081D78">
              <w:rPr>
                <w:rFonts w:cs="Arial"/>
                <w:b/>
                <w:bCs/>
                <w:sz w:val="20"/>
                <w:szCs w:val="20"/>
              </w:rPr>
              <w:t>1351</w:t>
            </w:r>
          </w:p>
        </w:tc>
      </w:tr>
    </w:tbl>
    <w:p w14:paraId="31960D2E" w14:textId="77777777" w:rsidR="00EA4975" w:rsidRDefault="00EA4975" w:rsidP="00EA4975"/>
    <w:p w14:paraId="26FA82B8" w14:textId="77777777" w:rsidR="00EA4975" w:rsidRPr="00815770" w:rsidRDefault="00EA4975" w:rsidP="00815770"/>
    <w:p w14:paraId="2B85E2CE" w14:textId="0F87ABFB" w:rsidR="00044BEF" w:rsidRPr="00044BEF" w:rsidRDefault="00044BEF" w:rsidP="00BB0278">
      <w:pPr>
        <w:pStyle w:val="Heading2"/>
        <w:numPr>
          <w:ilvl w:val="2"/>
          <w:numId w:val="4"/>
        </w:numPr>
        <w:rPr>
          <w:rFonts w:cs="Calibri"/>
          <w:bCs/>
          <w:iCs/>
          <w:lang w:val="en-US"/>
        </w:rPr>
      </w:pPr>
      <w:bookmarkStart w:id="133" w:name="_Toc519088665"/>
      <w:r w:rsidRPr="00044BEF">
        <w:rPr>
          <w:rFonts w:cs="Calibri"/>
          <w:bCs/>
          <w:iCs/>
          <w:lang w:val="en-US"/>
        </w:rPr>
        <w:t>Food Poverty</w:t>
      </w:r>
      <w:bookmarkEnd w:id="133"/>
    </w:p>
    <w:p w14:paraId="44868C2A" w14:textId="04522D3F" w:rsidR="001E4927" w:rsidRPr="00044BEF" w:rsidRDefault="001E4927" w:rsidP="00044BEF">
      <w:pPr>
        <w:spacing w:before="240"/>
        <w:ind w:left="721" w:hanging="13"/>
        <w:rPr>
          <w:rFonts w:ascii="Calibri" w:hAnsi="Calibri" w:cs="Calibri"/>
          <w:bCs/>
          <w:iCs/>
          <w:lang w:val="en-US"/>
        </w:rPr>
      </w:pPr>
      <w:r w:rsidRPr="00044BEF">
        <w:rPr>
          <w:rFonts w:ascii="Calibri" w:hAnsi="Calibri" w:cs="Calibri"/>
          <w:bCs/>
          <w:iCs/>
          <w:lang w:val="en-US"/>
        </w:rPr>
        <w:t xml:space="preserve">Food Poverty can be defined as the inability of individuals or households to obtain an adequate and nutritious diet, either because they cannot afford healthy food or there </w:t>
      </w:r>
      <w:r w:rsidR="003245FE" w:rsidRPr="00044BEF">
        <w:rPr>
          <w:rFonts w:ascii="Calibri" w:hAnsi="Calibri" w:cs="Calibri"/>
          <w:bCs/>
          <w:iCs/>
          <w:lang w:val="en-US"/>
        </w:rPr>
        <w:t>is</w:t>
      </w:r>
      <w:r w:rsidRPr="00044BEF">
        <w:rPr>
          <w:rFonts w:ascii="Calibri" w:hAnsi="Calibri" w:cs="Calibri"/>
          <w:bCs/>
          <w:iCs/>
          <w:lang w:val="en-US"/>
        </w:rPr>
        <w:t xml:space="preserve"> a lack of shops to buy food in the area that are easy to reach.  Two key mechanisms to address this are food banks and the direct provision of meals.</w:t>
      </w:r>
    </w:p>
    <w:p w14:paraId="78BC0BA9" w14:textId="0F504B13" w:rsidR="001E4927" w:rsidRPr="00044BEF" w:rsidRDefault="001E4927" w:rsidP="00044BEF">
      <w:pPr>
        <w:spacing w:before="240"/>
        <w:ind w:left="721" w:hanging="13"/>
        <w:rPr>
          <w:rFonts w:ascii="Calibri" w:hAnsi="Calibri" w:cs="Calibri"/>
        </w:rPr>
      </w:pPr>
      <w:r w:rsidRPr="00044BEF">
        <w:rPr>
          <w:rFonts w:ascii="Calibri" w:hAnsi="Calibri" w:cs="Calibri"/>
        </w:rPr>
        <w:t>According to the Trussell Trust, there were 145,865 3-day emergency supplies given to people in Scotland in 2016/17 – this included 47,955 children.  In the North East of Scotland 61,567 3-day emergency supplies were given out in 2016/17.</w:t>
      </w:r>
    </w:p>
    <w:p w14:paraId="681D66AF" w14:textId="227CB283" w:rsidR="001E4927" w:rsidRPr="001E4927" w:rsidRDefault="001E4927" w:rsidP="009100E4">
      <w:pPr>
        <w:spacing w:before="240"/>
        <w:ind w:left="721" w:hanging="902"/>
        <w:rPr>
          <w:rFonts w:ascii="Calibri" w:hAnsi="Calibri" w:cs="Calibri"/>
          <w:bCs/>
          <w:iCs/>
          <w:highlight w:val="yellow"/>
          <w:lang w:val="en-US"/>
        </w:rPr>
      </w:pPr>
      <w:r w:rsidRPr="00044BEF">
        <w:rPr>
          <w:rFonts w:ascii="Calibri" w:hAnsi="Calibri" w:cs="Calibri"/>
        </w:rPr>
        <w:tab/>
      </w:r>
      <w:r w:rsidRPr="00044BEF">
        <w:rPr>
          <w:rFonts w:ascii="Calibri" w:hAnsi="Calibri" w:cs="Calibri"/>
          <w:bCs/>
          <w:iCs/>
          <w:lang w:val="en-US"/>
        </w:rPr>
        <w:t xml:space="preserve">While The Trussell Trust is the most commonly cited source for data on food insecurity, a Scottish Government report by the Independent Working Group on Food Poverty suggests that the numbers given are likely to </w:t>
      </w:r>
      <w:r w:rsidRPr="00044BEF">
        <w:rPr>
          <w:rFonts w:ascii="Calibri" w:hAnsi="Calibri" w:cs="Calibri"/>
        </w:rPr>
        <w:t xml:space="preserve">under-estimate the number of people who are food insecure – firstly because there are other providers of emergency food supplies (e.g. CFINE), and secondly because it is known that many people who are struggling to afford food do not use foodbanks (Source: Scottish Government, Dignity: Ending Hunger Together, available at: </w:t>
      </w:r>
      <w:hyperlink r:id="rId234" w:history="1">
        <w:r w:rsidRPr="00044BEF">
          <w:rPr>
            <w:rStyle w:val="Hyperlink"/>
            <w:rFonts w:ascii="Calibri" w:hAnsi="Calibri" w:cs="Calibri"/>
          </w:rPr>
          <w:t>http://www.gov.scot/Publications/2016/06/8020</w:t>
        </w:r>
      </w:hyperlink>
      <w:r w:rsidRPr="00044BEF">
        <w:rPr>
          <w:rFonts w:ascii="Calibri" w:hAnsi="Calibri" w:cs="Calibri"/>
        </w:rPr>
        <w:t xml:space="preserve"> ).  </w:t>
      </w:r>
    </w:p>
    <w:p w14:paraId="72604805" w14:textId="24D920EF" w:rsidR="00D66612" w:rsidRDefault="00D66612" w:rsidP="00D66612">
      <w:pPr>
        <w:spacing w:before="120"/>
        <w:rPr>
          <w:rFonts w:cs="Arial"/>
          <w:bCs/>
          <w:iCs/>
          <w:szCs w:val="24"/>
          <w:lang w:val="en-US"/>
        </w:rPr>
      </w:pPr>
      <w:r>
        <w:rPr>
          <w:rFonts w:cs="Arial"/>
          <w:bCs/>
          <w:iCs/>
          <w:szCs w:val="24"/>
          <w:lang w:val="en-US"/>
        </w:rPr>
        <w:t>There are a number of food banks operating outside the Trussell Trust network in Aberdeen City:</w:t>
      </w:r>
      <w:r>
        <w:rPr>
          <w:rFonts w:cs="Arial"/>
          <w:bCs/>
          <w:iCs/>
          <w:szCs w:val="24"/>
          <w:lang w:val="en-US"/>
        </w:rPr>
        <w:tab/>
      </w:r>
      <w:hyperlink r:id="rId235" w:history="1">
        <w:r w:rsidRPr="00037C0C">
          <w:rPr>
            <w:rStyle w:val="Hyperlink"/>
            <w:rFonts w:cs="Arial"/>
            <w:bCs/>
            <w:iCs/>
            <w:szCs w:val="24"/>
            <w:lang w:val="en-US"/>
          </w:rPr>
          <w:t>https://www.theguardian.com/society/2017/may/29/report-reveals-scale-of-food-bank-use-in-the-uk-ifan</w:t>
        </w:r>
      </w:hyperlink>
      <w:r>
        <w:rPr>
          <w:rFonts w:cs="Arial"/>
          <w:bCs/>
          <w:iCs/>
          <w:szCs w:val="24"/>
          <w:lang w:val="en-US"/>
        </w:rPr>
        <w:t xml:space="preserve"> </w:t>
      </w:r>
    </w:p>
    <w:p w14:paraId="6CA7C5C0" w14:textId="29B8FD1C" w:rsidR="00D66612" w:rsidRDefault="00D66612" w:rsidP="00D66612">
      <w:pPr>
        <w:pStyle w:val="ListParagraph"/>
        <w:numPr>
          <w:ilvl w:val="0"/>
          <w:numId w:val="23"/>
        </w:numPr>
        <w:spacing w:before="120"/>
        <w:rPr>
          <w:rFonts w:cs="Arial"/>
          <w:bCs/>
          <w:iCs/>
          <w:szCs w:val="24"/>
          <w:lang w:val="en-US"/>
        </w:rPr>
      </w:pPr>
      <w:r>
        <w:rPr>
          <w:rFonts w:cs="Arial"/>
          <w:bCs/>
          <w:iCs/>
          <w:szCs w:val="24"/>
          <w:lang w:val="en-US"/>
        </w:rPr>
        <w:t>Community Food Initiatives North East (CFINE)</w:t>
      </w:r>
    </w:p>
    <w:p w14:paraId="38D2D5B1" w14:textId="50B5EB1C" w:rsidR="00D66612" w:rsidRDefault="00D66612" w:rsidP="00D66612">
      <w:pPr>
        <w:pStyle w:val="ListParagraph"/>
        <w:numPr>
          <w:ilvl w:val="0"/>
          <w:numId w:val="23"/>
        </w:numPr>
        <w:spacing w:before="120"/>
        <w:rPr>
          <w:rFonts w:cs="Arial"/>
          <w:bCs/>
          <w:iCs/>
          <w:szCs w:val="24"/>
          <w:lang w:val="en-US"/>
        </w:rPr>
      </w:pPr>
      <w:r>
        <w:rPr>
          <w:rFonts w:cs="Arial"/>
          <w:bCs/>
          <w:iCs/>
          <w:szCs w:val="24"/>
          <w:lang w:val="en-US"/>
        </w:rPr>
        <w:t>Bethany Christian Trust</w:t>
      </w:r>
    </w:p>
    <w:p w14:paraId="6E09762C" w14:textId="57D690F4" w:rsidR="00D66612" w:rsidRDefault="00D66612" w:rsidP="00D66612">
      <w:pPr>
        <w:pStyle w:val="ListParagraph"/>
        <w:numPr>
          <w:ilvl w:val="0"/>
          <w:numId w:val="23"/>
        </w:numPr>
        <w:spacing w:before="120"/>
        <w:rPr>
          <w:rFonts w:cs="Arial"/>
          <w:bCs/>
          <w:iCs/>
          <w:szCs w:val="24"/>
          <w:lang w:val="en-US"/>
        </w:rPr>
      </w:pPr>
      <w:r>
        <w:rPr>
          <w:rFonts w:cs="Arial"/>
          <w:bCs/>
          <w:iCs/>
          <w:szCs w:val="24"/>
          <w:lang w:val="en-US"/>
        </w:rPr>
        <w:t>The Cyrenians</w:t>
      </w:r>
    </w:p>
    <w:p w14:paraId="4D0CF62D" w14:textId="763DB513" w:rsidR="00D66612" w:rsidRDefault="00D66612" w:rsidP="00D66612">
      <w:pPr>
        <w:pStyle w:val="ListParagraph"/>
        <w:numPr>
          <w:ilvl w:val="0"/>
          <w:numId w:val="23"/>
        </w:numPr>
        <w:spacing w:before="120"/>
        <w:rPr>
          <w:rFonts w:cs="Arial"/>
          <w:bCs/>
          <w:iCs/>
          <w:szCs w:val="24"/>
          <w:lang w:val="en-US"/>
        </w:rPr>
      </w:pPr>
      <w:r>
        <w:rPr>
          <w:rFonts w:cs="Arial"/>
          <w:bCs/>
          <w:iCs/>
          <w:szCs w:val="24"/>
          <w:lang w:val="en-US"/>
        </w:rPr>
        <w:t xml:space="preserve">Instant Neighbour - </w:t>
      </w:r>
      <w:r w:rsidRPr="00D66612">
        <w:rPr>
          <w:rFonts w:cs="Arial"/>
          <w:bCs/>
          <w:iCs/>
          <w:szCs w:val="24"/>
          <w:lang w:val="en-US"/>
        </w:rPr>
        <w:t>estimated that they would be giving out 6,500 food parcels in 2017 which is an increase of 30-35% on the total of 5,000 for the previous year.</w:t>
      </w:r>
    </w:p>
    <w:p w14:paraId="12BE76A2" w14:textId="5508C5E4" w:rsidR="00D66612" w:rsidRDefault="00D66612" w:rsidP="00D66612">
      <w:pPr>
        <w:pStyle w:val="ListParagraph"/>
        <w:numPr>
          <w:ilvl w:val="0"/>
          <w:numId w:val="23"/>
        </w:numPr>
        <w:spacing w:before="120"/>
        <w:rPr>
          <w:rFonts w:cs="Arial"/>
          <w:bCs/>
          <w:iCs/>
          <w:szCs w:val="24"/>
          <w:lang w:val="en-US"/>
        </w:rPr>
      </w:pPr>
      <w:r>
        <w:rPr>
          <w:rFonts w:cs="Arial"/>
          <w:bCs/>
          <w:iCs/>
          <w:szCs w:val="24"/>
          <w:lang w:val="en-US"/>
        </w:rPr>
        <w:t>Somebody Cares</w:t>
      </w:r>
    </w:p>
    <w:p w14:paraId="4C9CA1E1" w14:textId="77B6DA9B" w:rsidR="00D66612" w:rsidRDefault="00D66612" w:rsidP="00D66612">
      <w:pPr>
        <w:pStyle w:val="ListParagraph"/>
        <w:numPr>
          <w:ilvl w:val="0"/>
          <w:numId w:val="23"/>
        </w:numPr>
        <w:spacing w:before="120"/>
        <w:rPr>
          <w:rFonts w:cs="Arial"/>
          <w:bCs/>
          <w:iCs/>
          <w:szCs w:val="24"/>
          <w:lang w:val="en-US"/>
        </w:rPr>
      </w:pPr>
      <w:r>
        <w:rPr>
          <w:rFonts w:cs="Arial"/>
          <w:bCs/>
          <w:iCs/>
          <w:szCs w:val="24"/>
          <w:lang w:val="en-US"/>
        </w:rPr>
        <w:t>Integrate Aberdeen</w:t>
      </w:r>
    </w:p>
    <w:p w14:paraId="3CED6864" w14:textId="7A998D11" w:rsidR="00D66612" w:rsidRDefault="00D66612" w:rsidP="00D66612">
      <w:pPr>
        <w:pStyle w:val="ListParagraph"/>
        <w:numPr>
          <w:ilvl w:val="0"/>
          <w:numId w:val="23"/>
        </w:numPr>
        <w:spacing w:before="120"/>
        <w:rPr>
          <w:rFonts w:cs="Arial"/>
          <w:bCs/>
          <w:iCs/>
          <w:szCs w:val="24"/>
          <w:lang w:val="en-US"/>
        </w:rPr>
      </w:pPr>
      <w:r>
        <w:rPr>
          <w:rFonts w:cs="Arial"/>
          <w:bCs/>
          <w:iCs/>
          <w:szCs w:val="24"/>
          <w:lang w:val="en-US"/>
        </w:rPr>
        <w:t>St Vincent de Paul Society</w:t>
      </w:r>
    </w:p>
    <w:p w14:paraId="6FC5C30D" w14:textId="5867C997" w:rsidR="00D66612" w:rsidRDefault="00D66612" w:rsidP="00D66612">
      <w:pPr>
        <w:pStyle w:val="ListParagraph"/>
        <w:numPr>
          <w:ilvl w:val="0"/>
          <w:numId w:val="23"/>
        </w:numPr>
        <w:spacing w:before="120"/>
        <w:rPr>
          <w:rFonts w:cs="Arial"/>
          <w:bCs/>
          <w:iCs/>
          <w:szCs w:val="24"/>
          <w:lang w:val="en-US"/>
        </w:rPr>
      </w:pPr>
      <w:r>
        <w:rPr>
          <w:rFonts w:cs="Arial"/>
          <w:bCs/>
          <w:iCs/>
          <w:szCs w:val="24"/>
          <w:lang w:val="en-US"/>
        </w:rPr>
        <w:t>Salvation Army</w:t>
      </w:r>
    </w:p>
    <w:p w14:paraId="20AD90EE" w14:textId="651E0A7B" w:rsidR="00D66612" w:rsidRPr="00D66612" w:rsidRDefault="007A6668" w:rsidP="00D66612">
      <w:pPr>
        <w:spacing w:before="120"/>
        <w:rPr>
          <w:rFonts w:cs="Arial"/>
          <w:bCs/>
          <w:iCs/>
          <w:szCs w:val="24"/>
          <w:lang w:val="en-US"/>
        </w:rPr>
      </w:pPr>
      <w:r w:rsidRPr="007A6668">
        <w:rPr>
          <w:rFonts w:cs="Arial"/>
          <w:bCs/>
          <w:iCs/>
          <w:noProof/>
          <w:szCs w:val="24"/>
          <w:lang w:val="en-US"/>
        </w:rPr>
        <w:lastRenderedPageBreak/>
        <mc:AlternateContent>
          <mc:Choice Requires="wps">
            <w:drawing>
              <wp:anchor distT="45720" distB="45720" distL="114300" distR="114300" simplePos="0" relativeHeight="251670528" behindDoc="0" locked="0" layoutInCell="1" allowOverlap="1" wp14:anchorId="4614DB34" wp14:editId="1FF90D70">
                <wp:simplePos x="0" y="0"/>
                <wp:positionH relativeFrom="column">
                  <wp:posOffset>593090</wp:posOffset>
                </wp:positionH>
                <wp:positionV relativeFrom="paragraph">
                  <wp:posOffset>629285</wp:posOffset>
                </wp:positionV>
                <wp:extent cx="5083175" cy="893445"/>
                <wp:effectExtent l="0" t="0" r="22225" b="20955"/>
                <wp:wrapSquare wrapText="bothSides"/>
                <wp:docPr id="1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3175" cy="893445"/>
                        </a:xfrm>
                        <a:prstGeom prst="rect">
                          <a:avLst/>
                        </a:prstGeom>
                        <a:solidFill>
                          <a:srgbClr val="FFFFFF"/>
                        </a:solidFill>
                        <a:ln w="9525">
                          <a:solidFill>
                            <a:srgbClr val="000000"/>
                          </a:solidFill>
                          <a:miter lim="800000"/>
                          <a:headEnd/>
                          <a:tailEnd/>
                        </a:ln>
                      </wps:spPr>
                      <wps:txbx>
                        <w:txbxContent>
                          <w:p w14:paraId="0D8C2511" w14:textId="55EC62DF" w:rsidR="00175103" w:rsidRDefault="00175103" w:rsidP="007A6668">
                            <w:pPr>
                              <w:ind w:left="0"/>
                            </w:pPr>
                            <w:r>
                              <w:t>The 42</w:t>
                            </w:r>
                            <w:r w:rsidRPr="00CF617B">
                              <w:rPr>
                                <w:vertAlign w:val="superscript"/>
                              </w:rPr>
                              <w:t>nd</w:t>
                            </w:r>
                            <w:r>
                              <w:t xml:space="preserve"> Aberdeen City Voice asked respondents a series of questions relating to food security.  Almost 8% of respondents reported that there was a time during the last 12 months when they were worried they would not have enough food to eat and 3% reported that their household had run out of food at some time over the last year. </w:t>
                            </w:r>
                          </w:p>
                          <w:p w14:paraId="29732720" w14:textId="0BEA9E22" w:rsidR="00175103" w:rsidRDefault="0017510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14DB34" id="_x0000_s1034" type="#_x0000_t202" style="position:absolute;left:0;text-align:left;margin-left:46.7pt;margin-top:49.55pt;width:400.25pt;height:70.3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np6JwIAAE0EAAAOAAAAZHJzL2Uyb0RvYy54bWysVNtu2zAMfR+wfxD0vthOkzUx4hRdugwD&#10;ugvQ7gNkWY6FSaImKbGzrx8lp2l2exnmB4EUqUPykPTqZtCKHITzEkxFi0lOiTAcGml2Ff3yuH21&#10;oMQHZhqmwIiKHoWnN+uXL1a9LcUUOlCNcARBjC97W9EuBFtmmeed0MxPwAqDxhacZgFVt8sax3pE&#10;1yqb5vnrrAfXWAdceI+3d6ORrhN+2woePrWtF4GoimJuIZ0unXU8s/WKlTvHbCf5KQ32D1loJg0G&#10;PUPdscDI3snfoLTkDjy0YcJBZ9C2kotUA1ZT5L9U89AxK1ItSI63Z5r8/4PlHw+fHZEN9q4oKDFM&#10;Y5MexRDIGxjINPLTW1+i24NFxzDgNfqmWr29B/7VEwObjpmduHUO+k6wBvMr4svs4umI4yNI3X+A&#10;BsOwfYAENLROR/KQDoLo2KfjuTcxFY6X83xxVVzPKeFoWyyvZrN5CsHKp9fW+fBOgCZRqKjD3id0&#10;drj3IWbDyieXGMyDks1WKpUUt6s3ypEDwznZpu+E/pObMqSv6HI+nY8E/BUiT9+fILQMOPBKaqzi&#10;7MTKSNtb06RxDEyqUcaUlTnxGKkbSQxDPaSWLWKAyHENzRGJdTDON+4jCh2475T0ONsV9d/2zAlK&#10;1HuDzVkWs1lchqTM5tdTVNylpb60MMMRqqKBklHchLRAkTcDt9jEViZ+nzM5pYwzm2g/7Vdciks9&#10;eT3/BdY/AAAA//8DAFBLAwQUAAYACAAAACEAiLw9++AAAAAJAQAADwAAAGRycy9kb3ducmV2Lnht&#10;bEyPzU7DMBCE70i8g7VIXFDrtKlKHOJUCAkEt1IquLrxNonwT7DdNLw9ywlOo9WMZr6tNpM1bMQQ&#10;e+8kLOYZMHSN171rJezfHmcFsJiU08p4hxK+McKmvryoVKn92b3iuEstoxIXSyWhS2koOY9Nh1bF&#10;uR/QkXf0wapEZ2i5DupM5dbwZZatuVW9o4VODfjQYfO5O1kJxep5/Igv+fa9WR+NSDe349NXkPL6&#10;arq/A5ZwSn9h+MUndKiJ6eBPTkdmJIh8RUlSsQBGfiFyAewgYZmLAnhd8f8f1D8AAAD//wMAUEsB&#10;Ai0AFAAGAAgAAAAhALaDOJL+AAAA4QEAABMAAAAAAAAAAAAAAAAAAAAAAFtDb250ZW50X1R5cGVz&#10;XS54bWxQSwECLQAUAAYACAAAACEAOP0h/9YAAACUAQAACwAAAAAAAAAAAAAAAAAvAQAAX3JlbHMv&#10;LnJlbHNQSwECLQAUAAYACAAAACEAtAp6eicCAABNBAAADgAAAAAAAAAAAAAAAAAuAgAAZHJzL2Uy&#10;b0RvYy54bWxQSwECLQAUAAYACAAAACEAiLw9++AAAAAJAQAADwAAAAAAAAAAAAAAAACBBAAAZHJz&#10;L2Rvd25yZXYueG1sUEsFBgAAAAAEAAQA8wAAAI4FAAAAAA==&#10;">
                <v:textbox>
                  <w:txbxContent>
                    <w:p w14:paraId="0D8C2511" w14:textId="55EC62DF" w:rsidR="00175103" w:rsidRDefault="00175103" w:rsidP="007A6668">
                      <w:pPr>
                        <w:ind w:left="0"/>
                      </w:pPr>
                      <w:r>
                        <w:t>The 42</w:t>
                      </w:r>
                      <w:r w:rsidRPr="00CF617B">
                        <w:rPr>
                          <w:vertAlign w:val="superscript"/>
                        </w:rPr>
                        <w:t>nd</w:t>
                      </w:r>
                      <w:r>
                        <w:t xml:space="preserve"> Aberdeen City Voice asked respondents a series of questions relating to food security.  Almost 8% of respondents reported that there was a time during the last 12 months when they were worried they would not have enough food to eat and 3% reported that their household had run out of food at some time over the last year. </w:t>
                      </w:r>
                    </w:p>
                    <w:p w14:paraId="29732720" w14:textId="0BEA9E22" w:rsidR="00175103" w:rsidRDefault="00175103"/>
                  </w:txbxContent>
                </v:textbox>
                <w10:wrap type="square"/>
              </v:shape>
            </w:pict>
          </mc:Fallback>
        </mc:AlternateContent>
      </w:r>
      <w:hyperlink r:id="rId236" w:history="1">
        <w:r w:rsidR="00D66612" w:rsidRPr="00037C0C">
          <w:rPr>
            <w:rStyle w:val="Hyperlink"/>
            <w:rFonts w:cs="Arial"/>
            <w:bCs/>
            <w:iCs/>
            <w:szCs w:val="24"/>
            <w:lang w:val="en-US"/>
          </w:rPr>
          <w:t>https://www.aberdeencity.gov.uk/sites/default/files/Food%20and%20clothing%20banks%20in%20Aberdeen.pdf</w:t>
        </w:r>
      </w:hyperlink>
      <w:r w:rsidR="00D66612">
        <w:rPr>
          <w:rFonts w:cs="Arial"/>
          <w:bCs/>
          <w:iCs/>
          <w:szCs w:val="24"/>
          <w:lang w:val="en-US"/>
        </w:rPr>
        <w:t xml:space="preserve"> </w:t>
      </w:r>
    </w:p>
    <w:p w14:paraId="716218F5" w14:textId="2B187A71" w:rsidR="00D66612" w:rsidRPr="00D66612" w:rsidRDefault="00D66612" w:rsidP="00044BEF">
      <w:pPr>
        <w:spacing w:before="120"/>
        <w:rPr>
          <w:rFonts w:ascii="Arial" w:hAnsi="Arial" w:cs="Arial"/>
          <w:bCs/>
          <w:iCs/>
          <w:szCs w:val="24"/>
          <w:lang w:val="en-US"/>
        </w:rPr>
      </w:pPr>
      <w:r w:rsidRPr="00D66612">
        <w:rPr>
          <w:rFonts w:cs="Arial"/>
          <w:bCs/>
          <w:iCs/>
          <w:szCs w:val="24"/>
          <w:lang w:val="en-US"/>
        </w:rPr>
        <w:tab/>
      </w:r>
    </w:p>
    <w:p w14:paraId="21BB2BDC" w14:textId="19827522" w:rsidR="00044BEF" w:rsidRPr="00912F2F" w:rsidRDefault="00044BEF" w:rsidP="00BB0278">
      <w:pPr>
        <w:pStyle w:val="Heading2"/>
        <w:numPr>
          <w:ilvl w:val="2"/>
          <w:numId w:val="4"/>
        </w:numPr>
        <w:rPr>
          <w:rFonts w:asciiTheme="minorHAnsi" w:hAnsiTheme="minorHAnsi" w:cs="Arial"/>
          <w:bCs/>
          <w:iCs/>
          <w:szCs w:val="24"/>
          <w:lang w:val="en-US"/>
        </w:rPr>
      </w:pPr>
      <w:bookmarkStart w:id="134" w:name="_Toc519088666"/>
      <w:r w:rsidRPr="00912F2F">
        <w:rPr>
          <w:rFonts w:cs="Calibri"/>
          <w:bCs/>
          <w:iCs/>
          <w:lang w:val="en-US"/>
        </w:rPr>
        <w:t>Fuel</w:t>
      </w:r>
      <w:r w:rsidRPr="00912F2F">
        <w:rPr>
          <w:rFonts w:cs="Arial"/>
          <w:bCs/>
          <w:iCs/>
          <w:szCs w:val="24"/>
          <w:lang w:val="en-US"/>
        </w:rPr>
        <w:t xml:space="preserve"> poverty</w:t>
      </w:r>
      <w:bookmarkEnd w:id="134"/>
    </w:p>
    <w:p w14:paraId="0EC1FFB9" w14:textId="6D7FE735" w:rsidR="001E4927" w:rsidRPr="00044BEF" w:rsidRDefault="001E4927" w:rsidP="00044BEF">
      <w:pPr>
        <w:spacing w:before="240"/>
        <w:ind w:left="721" w:hanging="1"/>
        <w:rPr>
          <w:rFonts w:ascii="Calibri" w:eastAsia="Calibri" w:hAnsi="Calibri" w:cs="Calibri"/>
        </w:rPr>
      </w:pPr>
      <w:r w:rsidRPr="00044BEF">
        <w:rPr>
          <w:rFonts w:ascii="Calibri" w:eastAsia="Calibri" w:hAnsi="Calibri" w:cs="Calibri"/>
        </w:rPr>
        <w:t xml:space="preserve">A household is considered as being in fuel poverty if, to heat their home to a satisfactory standard, they need to spend more than 10% of their household income on fuel.  Extreme fuel poverty indicates that a household would have to spend more than 20% of its income to maintain a satisfactory heating regime.  </w:t>
      </w:r>
    </w:p>
    <w:p w14:paraId="1C4E3960" w14:textId="37AEB1C3" w:rsidR="006812AB" w:rsidRDefault="001E4927" w:rsidP="006812AB">
      <w:pPr>
        <w:spacing w:before="240"/>
        <w:ind w:left="721" w:hanging="902"/>
        <w:rPr>
          <w:rFonts w:ascii="Calibri" w:eastAsia="Calibri" w:hAnsi="Calibri" w:cs="Calibri"/>
        </w:rPr>
      </w:pPr>
      <w:r w:rsidRPr="00044BEF">
        <w:rPr>
          <w:rFonts w:ascii="Calibri" w:hAnsi="Calibri" w:cs="Calibri"/>
          <w:szCs w:val="24"/>
        </w:rPr>
        <w:tab/>
      </w:r>
      <w:r w:rsidRPr="00044BEF">
        <w:rPr>
          <w:rFonts w:ascii="Calibri" w:eastAsia="Calibri" w:hAnsi="Calibri" w:cs="Calibri"/>
        </w:rPr>
        <w:t>In Aberdeen City an estimated 2</w:t>
      </w:r>
      <w:r w:rsidR="00A45C89">
        <w:rPr>
          <w:rFonts w:ascii="Calibri" w:eastAsia="Calibri" w:hAnsi="Calibri" w:cs="Calibri"/>
        </w:rPr>
        <w:t>8</w:t>
      </w:r>
      <w:r w:rsidRPr="00044BEF">
        <w:rPr>
          <w:rFonts w:ascii="Calibri" w:eastAsia="Calibri" w:hAnsi="Calibri" w:cs="Calibri"/>
        </w:rPr>
        <w:t xml:space="preserve">% of households are in fuel poverty </w:t>
      </w:r>
      <w:r w:rsidR="00BE5B44">
        <w:rPr>
          <w:rFonts w:ascii="Calibri" w:eastAsia="Calibri" w:hAnsi="Calibri" w:cs="Calibri"/>
        </w:rPr>
        <w:t xml:space="preserve">– lower than the average rate for Scotland of </w:t>
      </w:r>
      <w:r w:rsidR="006812AB">
        <w:rPr>
          <w:rFonts w:ascii="Calibri" w:eastAsia="Calibri" w:hAnsi="Calibri" w:cs="Calibri"/>
        </w:rPr>
        <w:t>34%.  The proportion of the City’s households in fuel poverty is higher social housing (44%) than owner-occupied housing (18%).  The disparity between social housing and owner-occupied housing in greater in Aberdeen than in Scotland where the respective figures are 37% and 32%.  Extreme fuel poverty is estimated to affect 9% of households in Aberdeen – the same as the rate for Scotland as a whole.  Again, there are differences between social housing households and owner-occupied households.</w:t>
      </w:r>
    </w:p>
    <w:p w14:paraId="465DD944" w14:textId="756072EC" w:rsidR="006812AB" w:rsidRDefault="006812AB" w:rsidP="006812AB">
      <w:pPr>
        <w:spacing w:before="240"/>
        <w:rPr>
          <w:rFonts w:ascii="Calibri" w:eastAsia="Calibri" w:hAnsi="Calibri" w:cs="Calibri"/>
        </w:rPr>
      </w:pPr>
      <w:r>
        <w:rPr>
          <w:noProof/>
        </w:rPr>
        <w:drawing>
          <wp:inline distT="0" distB="0" distL="0" distR="0" wp14:anchorId="708C76F7" wp14:editId="26EE4158">
            <wp:extent cx="5171846" cy="2733040"/>
            <wp:effectExtent l="0" t="0" r="10160" b="10160"/>
            <wp:docPr id="66" name="Chart 66">
              <a:extLst xmlns:a="http://schemas.openxmlformats.org/drawingml/2006/main">
                <a:ext uri="{FF2B5EF4-FFF2-40B4-BE49-F238E27FC236}">
                  <a16:creationId xmlns:a16="http://schemas.microsoft.com/office/drawing/2014/main" id="{129F3C43-645E-472A-B3E3-7399FDADFC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14:paraId="1025B9B4" w14:textId="4F8654CD" w:rsidR="006812AB" w:rsidRPr="00815770" w:rsidRDefault="006812AB" w:rsidP="006812AB">
      <w:pPr>
        <w:rPr>
          <w:rFonts w:ascii="Calibri" w:eastAsia="Calibri" w:hAnsi="Calibri" w:cs="Calibri"/>
          <w:sz w:val="16"/>
          <w:szCs w:val="16"/>
        </w:rPr>
      </w:pPr>
      <w:r w:rsidRPr="00815770">
        <w:rPr>
          <w:rFonts w:ascii="Calibri" w:eastAsia="Calibri" w:hAnsi="Calibri" w:cs="Calibri"/>
          <w:sz w:val="16"/>
          <w:szCs w:val="16"/>
        </w:rPr>
        <w:t xml:space="preserve">Scottish House Condition Survey (2013-15), available at: </w:t>
      </w:r>
      <w:hyperlink r:id="rId238" w:history="1">
        <w:r w:rsidR="00BE5B44" w:rsidRPr="00815770">
          <w:rPr>
            <w:rStyle w:val="Hyperlink"/>
            <w:rFonts w:ascii="Calibri" w:eastAsia="Calibri" w:hAnsi="Calibri" w:cs="Calibri"/>
            <w:sz w:val="16"/>
            <w:szCs w:val="16"/>
          </w:rPr>
          <w:t>http://www.gov.scot/Topics/Statistics/SHCS/keyanalyses/LAtables1315</w:t>
        </w:r>
      </w:hyperlink>
      <w:r w:rsidR="00BE5B44" w:rsidRPr="00815770">
        <w:rPr>
          <w:rFonts w:ascii="Calibri" w:eastAsia="Calibri" w:hAnsi="Calibri" w:cs="Calibri"/>
          <w:sz w:val="16"/>
          <w:szCs w:val="16"/>
        </w:rPr>
        <w:t xml:space="preserve"> </w:t>
      </w:r>
    </w:p>
    <w:p w14:paraId="02D628FD" w14:textId="77777777" w:rsidR="009D7711" w:rsidRDefault="009D7711" w:rsidP="00BE5B44">
      <w:pPr>
        <w:spacing w:before="240"/>
        <w:ind w:left="721" w:hanging="902"/>
        <w:rPr>
          <w:rFonts w:ascii="Arial" w:hAnsi="Arial" w:cs="Arial"/>
          <w:szCs w:val="24"/>
        </w:rPr>
      </w:pPr>
    </w:p>
    <w:p w14:paraId="36A18E41" w14:textId="610C9CE2" w:rsidR="00E97DC9" w:rsidRDefault="00E97DC9" w:rsidP="00E97DC9">
      <w:pPr>
        <w:pStyle w:val="Heading2"/>
        <w:numPr>
          <w:ilvl w:val="2"/>
          <w:numId w:val="4"/>
        </w:numPr>
        <w:spacing w:after="240"/>
      </w:pPr>
      <w:bookmarkStart w:id="135" w:name="_Toc519088667"/>
      <w:r>
        <w:t>Homelessness</w:t>
      </w:r>
      <w:bookmarkEnd w:id="135"/>
    </w:p>
    <w:p w14:paraId="6EDB2F79" w14:textId="77777777" w:rsidR="00E97DC9" w:rsidRDefault="00E97DC9" w:rsidP="00E97DC9">
      <w:r>
        <w:t xml:space="preserve">In the year to end September 2017, there were 1,693 homelessness applications to Aberdeen City Council.  This is an increase of 32% from the number of applications in the previous year (i.e. the year to end September 2016) – the second highest rate of increase of </w:t>
      </w:r>
      <w:r>
        <w:lastRenderedPageBreak/>
        <w:t>all local authorities in Scotland.  In Scotland the number of homelessness applications increased by 0.3% for the same period.</w:t>
      </w:r>
    </w:p>
    <w:p w14:paraId="69B92952" w14:textId="77777777" w:rsidR="00E97DC9" w:rsidRDefault="00E97DC9" w:rsidP="00E97DC9"/>
    <w:p w14:paraId="7F730C12" w14:textId="77777777" w:rsidR="00E97DC9" w:rsidRDefault="00E97DC9" w:rsidP="00E97DC9">
      <w:r>
        <w:rPr>
          <w:noProof/>
        </w:rPr>
        <w:drawing>
          <wp:inline distT="0" distB="0" distL="0" distR="0" wp14:anchorId="7DC34704" wp14:editId="47884F3A">
            <wp:extent cx="5072932" cy="3457575"/>
            <wp:effectExtent l="0" t="0" r="13970" b="9525"/>
            <wp:docPr id="67" name="Chart 67">
              <a:extLst xmlns:a="http://schemas.openxmlformats.org/drawingml/2006/main">
                <a:ext uri="{FF2B5EF4-FFF2-40B4-BE49-F238E27FC236}">
                  <a16:creationId xmlns:a16="http://schemas.microsoft.com/office/drawing/2014/main" id="{ACA4CEBC-D0AF-4E79-A10A-4A797620F1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14:paraId="7BA31435" w14:textId="6F701A94" w:rsidR="00E97DC9" w:rsidRPr="003370E9" w:rsidRDefault="00E97DC9" w:rsidP="00E97DC9">
      <w:pPr>
        <w:rPr>
          <w:sz w:val="16"/>
          <w:szCs w:val="16"/>
        </w:rPr>
      </w:pPr>
      <w:r w:rsidRPr="003370E9">
        <w:rPr>
          <w:sz w:val="16"/>
          <w:szCs w:val="16"/>
        </w:rPr>
        <w:t xml:space="preserve">Source: Scottish Government, Homelessness in Scotland: Update to 30 September 2017, available at: </w:t>
      </w:r>
      <w:hyperlink r:id="rId240" w:history="1">
        <w:r w:rsidRPr="003370E9">
          <w:rPr>
            <w:rStyle w:val="Hyperlink"/>
            <w:sz w:val="16"/>
            <w:szCs w:val="16"/>
          </w:rPr>
          <w:t>http://www.gov.scot/Publications/2018/01/8686/downloads</w:t>
        </w:r>
      </w:hyperlink>
      <w:r w:rsidRPr="003370E9">
        <w:rPr>
          <w:sz w:val="16"/>
          <w:szCs w:val="16"/>
        </w:rPr>
        <w:t xml:space="preserve"> </w:t>
      </w:r>
    </w:p>
    <w:p w14:paraId="04459DCC" w14:textId="77777777" w:rsidR="00E97DC9" w:rsidRPr="00472BE1" w:rsidRDefault="00E97DC9" w:rsidP="00E97DC9"/>
    <w:p w14:paraId="24148873" w14:textId="77777777" w:rsidR="00E97DC9" w:rsidRPr="00E97DC9" w:rsidRDefault="00E97DC9" w:rsidP="00E97DC9"/>
    <w:p w14:paraId="6E482B4B" w14:textId="77777777" w:rsidR="009E50EA" w:rsidRDefault="009E50EA" w:rsidP="007369E0"/>
    <w:p w14:paraId="19A07465" w14:textId="77777777" w:rsidR="007369E0" w:rsidRDefault="007369E0" w:rsidP="007369E0"/>
    <w:p w14:paraId="4D1F391F" w14:textId="77777777" w:rsidR="007369E0" w:rsidRDefault="007369E0" w:rsidP="007369E0">
      <w:pPr>
        <w:ind w:left="0"/>
        <w:rPr>
          <w:i/>
          <w:sz w:val="18"/>
        </w:rPr>
      </w:pPr>
    </w:p>
    <w:p w14:paraId="32B017D8" w14:textId="77777777" w:rsidR="00332C18" w:rsidRDefault="00332C18">
      <w:pPr>
        <w:rPr>
          <w:rFonts w:asciiTheme="majorHAnsi" w:eastAsiaTheme="majorEastAsia" w:hAnsiTheme="majorHAnsi" w:cstheme="majorBidi"/>
          <w:color w:val="2F5496" w:themeColor="accent1" w:themeShade="BF"/>
          <w:sz w:val="32"/>
          <w:szCs w:val="32"/>
        </w:rPr>
      </w:pPr>
      <w:r>
        <w:br w:type="page"/>
      </w:r>
    </w:p>
    <w:p w14:paraId="43B40B99" w14:textId="2265EFBF" w:rsidR="004A6195" w:rsidRDefault="004A6195" w:rsidP="004A6195">
      <w:pPr>
        <w:pStyle w:val="Heading1"/>
        <w:numPr>
          <w:ilvl w:val="0"/>
          <w:numId w:val="4"/>
        </w:numPr>
        <w:spacing w:after="240"/>
      </w:pPr>
      <w:bookmarkStart w:id="136" w:name="_Toc519088668"/>
      <w:r w:rsidRPr="00332C18">
        <w:rPr>
          <w:sz w:val="36"/>
          <w:szCs w:val="36"/>
        </w:rPr>
        <w:lastRenderedPageBreak/>
        <w:t>Technology</w:t>
      </w:r>
      <w:bookmarkEnd w:id="136"/>
    </w:p>
    <w:p w14:paraId="413A6DF2" w14:textId="4C3E4542" w:rsidR="00BA56DD" w:rsidRDefault="00E622BD" w:rsidP="004A6195">
      <w:pPr>
        <w:pStyle w:val="Heading2"/>
        <w:numPr>
          <w:ilvl w:val="1"/>
          <w:numId w:val="4"/>
        </w:numPr>
      </w:pPr>
      <w:bookmarkStart w:id="137" w:name="_Toc519088669"/>
      <w:r>
        <w:t>Connectivity</w:t>
      </w:r>
      <w:bookmarkEnd w:id="137"/>
      <w:r>
        <w:t xml:space="preserve"> </w:t>
      </w:r>
    </w:p>
    <w:p w14:paraId="038023D0" w14:textId="3E16780C" w:rsidR="00E622BD" w:rsidRDefault="00E622BD" w:rsidP="00BA56DD">
      <w:pPr>
        <w:pStyle w:val="Heading2"/>
        <w:numPr>
          <w:ilvl w:val="2"/>
          <w:numId w:val="4"/>
        </w:numPr>
      </w:pPr>
      <w:bookmarkStart w:id="138" w:name="_Toc519088670"/>
      <w:r>
        <w:t>Access to superfast broadband.</w:t>
      </w:r>
      <w:bookmarkEnd w:id="138"/>
    </w:p>
    <w:p w14:paraId="7A11DAE5" w14:textId="76BFFDE2" w:rsidR="004C324A" w:rsidRDefault="004C324A" w:rsidP="004C324A"/>
    <w:p w14:paraId="438836B6" w14:textId="77777777" w:rsidR="00CC3EED" w:rsidRPr="00CC3EED" w:rsidRDefault="00A447D7" w:rsidP="00CC3EED">
      <w:r>
        <w:t>In 2017, 90% of premises in Aberdeen City had access to Superfast Broadband – an increase of 7% from the figure in 2015</w:t>
      </w:r>
      <w:r w:rsidR="00CC3EED">
        <w:t xml:space="preserve"> and one of the highest rates in Scotland.  Only two local authorities had a higher coverage (Clackmannanshire and East Dunbartonshire both had 91% coverage).  </w:t>
      </w:r>
      <w:r w:rsidR="00CC3EED" w:rsidRPr="00CC3EED">
        <w:t xml:space="preserve">No premises had access to Ultrafast Broadband.  </w:t>
      </w:r>
    </w:p>
    <w:p w14:paraId="5DB7B13C" w14:textId="56F4A94B" w:rsidR="00CC3EED" w:rsidRDefault="00CC3EED" w:rsidP="004C324A"/>
    <w:p w14:paraId="030F8FDF" w14:textId="5B778980" w:rsidR="00CC3EED" w:rsidRDefault="00CC3EED" w:rsidP="004C324A">
      <w:r>
        <w:rPr>
          <w:noProof/>
        </w:rPr>
        <w:drawing>
          <wp:inline distT="0" distB="0" distL="0" distR="0" wp14:anchorId="13E2E76B" wp14:editId="536C0602">
            <wp:extent cx="4601688" cy="2559132"/>
            <wp:effectExtent l="0" t="0" r="8890" b="12700"/>
            <wp:docPr id="97" name="Chart 97">
              <a:extLst xmlns:a="http://schemas.openxmlformats.org/drawingml/2006/main">
                <a:ext uri="{FF2B5EF4-FFF2-40B4-BE49-F238E27FC236}">
                  <a16:creationId xmlns:a16="http://schemas.microsoft.com/office/drawing/2014/main" id="{57AEE30A-F168-4D47-8E87-18B7B400AA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14:paraId="09F3E2EC" w14:textId="77777777" w:rsidR="00CC3EED" w:rsidRPr="00CC3EED" w:rsidRDefault="00CC3EED" w:rsidP="00CC3EED">
      <w:pPr>
        <w:rPr>
          <w:sz w:val="16"/>
          <w:szCs w:val="16"/>
        </w:rPr>
      </w:pPr>
      <w:r w:rsidRPr="00CC3EED">
        <w:rPr>
          <w:sz w:val="16"/>
          <w:szCs w:val="16"/>
        </w:rPr>
        <w:t xml:space="preserve">Source: Ofcom Connected Nations 2017, available at: </w:t>
      </w:r>
      <w:hyperlink r:id="rId242" w:history="1">
        <w:r w:rsidRPr="00CC3EED">
          <w:rPr>
            <w:rStyle w:val="Hyperlink"/>
            <w:sz w:val="16"/>
            <w:szCs w:val="16"/>
          </w:rPr>
          <w:t>https://www.ofcom.org.uk/research-and-data/multi-sector-research/infrastructure-research/connected-nations-2017</w:t>
        </w:r>
      </w:hyperlink>
      <w:r w:rsidRPr="00CC3EED">
        <w:rPr>
          <w:sz w:val="16"/>
          <w:szCs w:val="16"/>
        </w:rPr>
        <w:t xml:space="preserve"> </w:t>
      </w:r>
    </w:p>
    <w:p w14:paraId="56A9EA9E" w14:textId="02B50FE2" w:rsidR="00CC3EED" w:rsidRDefault="00CC3EED" w:rsidP="004C324A"/>
    <w:p w14:paraId="3D612F1A" w14:textId="7F4E2A38" w:rsidR="00274A82" w:rsidRDefault="00274A82" w:rsidP="00274A82">
      <w:pPr>
        <w:pStyle w:val="Heading2"/>
        <w:numPr>
          <w:ilvl w:val="2"/>
          <w:numId w:val="4"/>
        </w:numPr>
      </w:pPr>
      <w:bookmarkStart w:id="139" w:name="_Toc519088671"/>
      <w:r>
        <w:t>Average download speed</w:t>
      </w:r>
      <w:bookmarkEnd w:id="139"/>
    </w:p>
    <w:p w14:paraId="2C6B1F38" w14:textId="77777777" w:rsidR="00274A82" w:rsidRDefault="00274A82" w:rsidP="004C324A"/>
    <w:p w14:paraId="772F0CAB" w14:textId="7124C236" w:rsidR="00CC3EED" w:rsidRDefault="00CC3EED" w:rsidP="004C324A">
      <w:r>
        <w:t>Average download speed in 2017 for Aberdeen City was 26.4 Mbits/s.  This is the 13</w:t>
      </w:r>
      <w:r w:rsidRPr="00CC3EED">
        <w:rPr>
          <w:vertAlign w:val="superscript"/>
        </w:rPr>
        <w:t>th</w:t>
      </w:r>
      <w:r>
        <w:t xml:space="preserve"> lowest of all local authorities in Scotland.  (Ranges from a low of 17.6 Mbits/s in Orkney to a high of 71.2 Mbits/s in West Dunbartonshire).  </w:t>
      </w:r>
    </w:p>
    <w:p w14:paraId="2A3B7E0A" w14:textId="77777777" w:rsidR="00332C18" w:rsidRDefault="00332C18" w:rsidP="004C324A"/>
    <w:p w14:paraId="1EA93AE2" w14:textId="3DA0DC25" w:rsidR="00CC3EED" w:rsidRDefault="00CC3EED" w:rsidP="004C324A">
      <w:r>
        <w:rPr>
          <w:noProof/>
        </w:rPr>
        <w:drawing>
          <wp:inline distT="0" distB="0" distL="0" distR="0" wp14:anchorId="5F2A57F3" wp14:editId="1FCC83E8">
            <wp:extent cx="4577715" cy="2224585"/>
            <wp:effectExtent l="0" t="0" r="13335" b="4445"/>
            <wp:docPr id="100" name="Chart 100">
              <a:extLst xmlns:a="http://schemas.openxmlformats.org/drawingml/2006/main">
                <a:ext uri="{FF2B5EF4-FFF2-40B4-BE49-F238E27FC236}">
                  <a16:creationId xmlns:a16="http://schemas.microsoft.com/office/drawing/2014/main" id="{FCABC8DE-8AC1-4B43-BF5D-F4AAF889F9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p>
    <w:p w14:paraId="3337B4FD" w14:textId="2906DC74" w:rsidR="00BA56DD" w:rsidRDefault="00BA56DD" w:rsidP="00BA56DD">
      <w:pPr>
        <w:rPr>
          <w:sz w:val="16"/>
          <w:szCs w:val="16"/>
        </w:rPr>
      </w:pPr>
      <w:r w:rsidRPr="00BA56DD">
        <w:rPr>
          <w:sz w:val="16"/>
          <w:szCs w:val="16"/>
        </w:rPr>
        <w:t xml:space="preserve">Source: Ofcom Connected Nations 2017, available at: </w:t>
      </w:r>
      <w:hyperlink r:id="rId244" w:history="1">
        <w:r w:rsidRPr="00BA56DD">
          <w:rPr>
            <w:rStyle w:val="Hyperlink"/>
            <w:sz w:val="16"/>
            <w:szCs w:val="16"/>
          </w:rPr>
          <w:t>https://www.ofcom.org.uk/research-and-data/multi-sector-research/infrastructure-research/connected-nations-2017</w:t>
        </w:r>
      </w:hyperlink>
      <w:r w:rsidRPr="00BA56DD">
        <w:rPr>
          <w:sz w:val="16"/>
          <w:szCs w:val="16"/>
        </w:rPr>
        <w:t xml:space="preserve"> </w:t>
      </w:r>
    </w:p>
    <w:p w14:paraId="0744279C" w14:textId="77777777" w:rsidR="00274A82" w:rsidRPr="00BA56DD" w:rsidRDefault="00274A82" w:rsidP="00BA56DD">
      <w:pPr>
        <w:rPr>
          <w:sz w:val="16"/>
          <w:szCs w:val="16"/>
        </w:rPr>
      </w:pPr>
    </w:p>
    <w:p w14:paraId="7B27238D" w14:textId="2F2C25D2" w:rsidR="00BA56DD" w:rsidRPr="00BA56DD" w:rsidRDefault="00BA56DD" w:rsidP="00BA56DD">
      <w:pPr>
        <w:pStyle w:val="Heading2"/>
        <w:numPr>
          <w:ilvl w:val="2"/>
          <w:numId w:val="4"/>
        </w:numPr>
      </w:pPr>
      <w:bookmarkStart w:id="140" w:name="_Toc519088672"/>
      <w:r>
        <w:lastRenderedPageBreak/>
        <w:t>Mobile coverage</w:t>
      </w:r>
      <w:bookmarkEnd w:id="140"/>
    </w:p>
    <w:p w14:paraId="45C932C6" w14:textId="77777777" w:rsidR="00CC3EED" w:rsidRDefault="00CC3EED" w:rsidP="004C324A"/>
    <w:p w14:paraId="07F7297A" w14:textId="1A35DEDE" w:rsidR="00CC3EED" w:rsidRDefault="00BA56DD" w:rsidP="004C324A">
      <w:r>
        <w:t xml:space="preserve">In 2017 99.5% of premises in Aberdeen City had Outdoor 4G coverage (compared to 82.6% for Scotland). </w:t>
      </w:r>
    </w:p>
    <w:p w14:paraId="20A3ACA8" w14:textId="77777777" w:rsidR="00BA56DD" w:rsidRDefault="00BA56DD" w:rsidP="004C324A"/>
    <w:p w14:paraId="436CA9CD" w14:textId="6E456F88" w:rsidR="00CC3EED" w:rsidRPr="00661CB0" w:rsidRDefault="00CC3EED" w:rsidP="004C324A">
      <w:pPr>
        <w:rPr>
          <w:sz w:val="16"/>
          <w:szCs w:val="16"/>
        </w:rPr>
      </w:pPr>
      <w:r w:rsidRPr="00661CB0">
        <w:rPr>
          <w:sz w:val="16"/>
          <w:szCs w:val="16"/>
        </w:rPr>
        <w:t xml:space="preserve">Source: Ofcom Connected Nations 2017, available at: </w:t>
      </w:r>
      <w:hyperlink r:id="rId245" w:history="1">
        <w:r w:rsidRPr="00661CB0">
          <w:rPr>
            <w:rStyle w:val="Hyperlink"/>
            <w:sz w:val="16"/>
            <w:szCs w:val="16"/>
          </w:rPr>
          <w:t>https://www.ofcom.org.uk/research-and-data/multi-sector-research/infrastructure-research/connected-nations-2017</w:t>
        </w:r>
      </w:hyperlink>
      <w:r w:rsidRPr="00661CB0">
        <w:rPr>
          <w:sz w:val="16"/>
          <w:szCs w:val="16"/>
        </w:rPr>
        <w:t xml:space="preserve"> </w:t>
      </w:r>
    </w:p>
    <w:p w14:paraId="3F4947A3" w14:textId="77777777" w:rsidR="004D55CB" w:rsidRPr="004D55CB" w:rsidRDefault="004D55CB" w:rsidP="00332C18">
      <w:pPr>
        <w:ind w:left="0"/>
      </w:pPr>
    </w:p>
    <w:p w14:paraId="0B1DD6D9" w14:textId="21654326" w:rsidR="00E622BD" w:rsidRDefault="00E622BD" w:rsidP="00E622BD">
      <w:pPr>
        <w:pStyle w:val="Heading2"/>
        <w:numPr>
          <w:ilvl w:val="1"/>
          <w:numId w:val="4"/>
        </w:numPr>
      </w:pPr>
      <w:bookmarkStart w:id="141" w:name="_Toc519088673"/>
      <w:r>
        <w:t xml:space="preserve">Access to </w:t>
      </w:r>
      <w:r w:rsidR="000B024C">
        <w:t>internet</w:t>
      </w:r>
      <w:bookmarkEnd w:id="141"/>
    </w:p>
    <w:p w14:paraId="63BD3FA4" w14:textId="77777777" w:rsidR="000B024C" w:rsidRDefault="000B024C" w:rsidP="000B024C"/>
    <w:p w14:paraId="1AEEC41B" w14:textId="3CBA6D9C" w:rsidR="000B024C" w:rsidRDefault="000B024C" w:rsidP="000B024C">
      <w:r>
        <w:t xml:space="preserve">In 2016, 84% of households in Aberdeen City reported having access to the internet – an increase of 2% from 2014 – similar to the rate for Scotland of 82%.  The most common methods used for accessing internet for personal use were mobile phone/iPhone/smart phone (83%), laptop or PC (74%) and tablet (58%).  93% reported using a method other than laptop or PC to access the internet.  </w:t>
      </w:r>
    </w:p>
    <w:p w14:paraId="559F4A19" w14:textId="7763C8D6" w:rsidR="000B024C" w:rsidRDefault="000B024C" w:rsidP="000B024C"/>
    <w:p w14:paraId="4A1CB0F4" w14:textId="1A2833A2" w:rsidR="000B024C" w:rsidRDefault="000B024C" w:rsidP="000B024C">
      <w:r>
        <w:t>The most common reasons for using the internet were; to send and receive emails (85%), search for information (77%), buy goods or services (74%), use social media (70%) and internet banking (70%).</w:t>
      </w:r>
    </w:p>
    <w:p w14:paraId="03CA85EC" w14:textId="77777777" w:rsidR="000B024C" w:rsidRDefault="000B024C" w:rsidP="000B024C"/>
    <w:p w14:paraId="49B49D57" w14:textId="3AB8A55D" w:rsidR="000B024C" w:rsidRDefault="000B024C" w:rsidP="000B024C">
      <w:r>
        <w:t xml:space="preserve">Source: SHS, available at: </w:t>
      </w:r>
      <w:hyperlink r:id="rId246" w:history="1">
        <w:r w:rsidRPr="00C47DD7">
          <w:rPr>
            <w:rStyle w:val="Hyperlink"/>
          </w:rPr>
          <w:t>http://www.gov.scot/Resource/0053/00531141.pdf</w:t>
        </w:r>
      </w:hyperlink>
      <w:r>
        <w:t xml:space="preserve"> </w:t>
      </w:r>
    </w:p>
    <w:p w14:paraId="4434F78A" w14:textId="77777777" w:rsidR="000B024C" w:rsidRPr="000B024C" w:rsidRDefault="000B024C" w:rsidP="000B024C"/>
    <w:p w14:paraId="3F043015" w14:textId="74803E34" w:rsidR="00332C18" w:rsidRDefault="00332C18" w:rsidP="00E622BD">
      <w:pPr>
        <w:pStyle w:val="Heading2"/>
        <w:numPr>
          <w:ilvl w:val="1"/>
          <w:numId w:val="4"/>
        </w:numPr>
      </w:pPr>
      <w:bookmarkStart w:id="142" w:name="_Toc519088674"/>
      <w:r>
        <w:t>Access to devices</w:t>
      </w:r>
      <w:bookmarkEnd w:id="142"/>
    </w:p>
    <w:p w14:paraId="7CB38B95" w14:textId="77777777" w:rsidR="00332C18" w:rsidRPr="00332C18" w:rsidRDefault="00332C18" w:rsidP="00332C18"/>
    <w:p w14:paraId="6C800C8C" w14:textId="77777777" w:rsidR="00332C18" w:rsidRDefault="00332C18" w:rsidP="00332C18">
      <w:pPr>
        <w:pStyle w:val="ListParagraph"/>
      </w:pPr>
      <w:r>
        <w:t>The 42</w:t>
      </w:r>
      <w:r w:rsidRPr="00332C18">
        <w:rPr>
          <w:vertAlign w:val="superscript"/>
        </w:rPr>
        <w:t>nd</w:t>
      </w:r>
      <w:r>
        <w:t xml:space="preserve"> City Voice questionnaire (January 2017) included questions on the use of technology.  The respondents were initially asked “do you own or have easy access to a smartphone, tablet or laptop/PC”?  Over three-quarters (78.5%) of respondents reported that they owned or had easy access to a </w:t>
      </w:r>
      <w:r w:rsidRPr="00332C18">
        <w:rPr>
          <w:b/>
        </w:rPr>
        <w:t>laptop or PC</w:t>
      </w:r>
      <w:r>
        <w:t xml:space="preserve">, and 71.4% said they owned or had easy access to a </w:t>
      </w:r>
      <w:r w:rsidRPr="00332C18">
        <w:rPr>
          <w:b/>
        </w:rPr>
        <w:t>smart phone</w:t>
      </w:r>
      <w:r>
        <w:t>.  A smaller proportion (64.3%) reported owning or having easy access to a tablet.  Approximately half (50.5%) of respondents reported owning or having easy access to all three devices and 90.2% of respondents owned or had access to at least one of the devices.</w:t>
      </w:r>
    </w:p>
    <w:p w14:paraId="076E3F03" w14:textId="77777777" w:rsidR="00332C18" w:rsidRDefault="00332C18" w:rsidP="00332C18">
      <w:pPr>
        <w:pStyle w:val="ListParagraph"/>
      </w:pPr>
    </w:p>
    <w:p w14:paraId="2B741C26" w14:textId="77777777" w:rsidR="00332C18" w:rsidRPr="00273EEC" w:rsidRDefault="00332C18" w:rsidP="00332C18">
      <w:pPr>
        <w:pStyle w:val="ListParagraph"/>
      </w:pPr>
      <w:r>
        <w:rPr>
          <w:noProof/>
          <w:lang w:eastAsia="en-GB"/>
        </w:rPr>
        <w:drawing>
          <wp:inline distT="0" distB="0" distL="0" distR="0" wp14:anchorId="375B65B8" wp14:editId="485A1896">
            <wp:extent cx="5444836" cy="2517568"/>
            <wp:effectExtent l="0" t="0" r="3810" b="16510"/>
            <wp:docPr id="102" name="Chart 102">
              <a:extLst xmlns:a="http://schemas.openxmlformats.org/drawingml/2006/main">
                <a:ext uri="{FF2B5EF4-FFF2-40B4-BE49-F238E27FC236}">
                  <a16:creationId xmlns:a16="http://schemas.microsoft.com/office/drawing/2014/main" id="{A6405BD6-15E0-42A9-96BE-1F82F9181C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14:paraId="2068B147" w14:textId="77777777" w:rsidR="00332C18" w:rsidRPr="00332C18" w:rsidRDefault="00332C18" w:rsidP="00332C18">
      <w:pPr>
        <w:pStyle w:val="ListParagraph"/>
        <w:rPr>
          <w:i/>
          <w:sz w:val="18"/>
        </w:rPr>
      </w:pPr>
      <w:r w:rsidRPr="00332C18">
        <w:rPr>
          <w:i/>
          <w:sz w:val="18"/>
        </w:rPr>
        <w:t>Source: 42 Aberdeen City Voice (Base = 837)</w:t>
      </w:r>
    </w:p>
    <w:p w14:paraId="6B65B19B" w14:textId="77777777" w:rsidR="00332C18" w:rsidRDefault="00332C18" w:rsidP="00332C18">
      <w:pPr>
        <w:pStyle w:val="ListParagraph"/>
      </w:pPr>
    </w:p>
    <w:p w14:paraId="7586D8B6" w14:textId="77777777" w:rsidR="00332C18" w:rsidRPr="00332C18" w:rsidRDefault="00332C18" w:rsidP="00332C18"/>
    <w:p w14:paraId="1FCF7870" w14:textId="78B9DA21" w:rsidR="00E622BD" w:rsidRDefault="00E622BD" w:rsidP="00E622BD">
      <w:pPr>
        <w:pStyle w:val="Heading2"/>
        <w:numPr>
          <w:ilvl w:val="1"/>
          <w:numId w:val="4"/>
        </w:numPr>
      </w:pPr>
      <w:bookmarkStart w:id="143" w:name="_Toc519088675"/>
      <w:r>
        <w:t>Digital skills</w:t>
      </w:r>
      <w:bookmarkEnd w:id="143"/>
      <w:r>
        <w:t xml:space="preserve"> </w:t>
      </w:r>
    </w:p>
    <w:p w14:paraId="45D86266" w14:textId="7E950A9A" w:rsidR="00332C18" w:rsidRDefault="00332C18" w:rsidP="00332C18">
      <w:pPr>
        <w:pStyle w:val="ListParagraph"/>
      </w:pPr>
      <w:r>
        <w:t>City Voice panellists were then asked a set of questions about their use of digital technology for a number of different tasks.  In each case panellists were asked ‘could you do this?’  Response options were; ‘I could do this if I was asked’, ‘I couldn’t do this if I was asked’ or ‘I have no idea what you’re talking about’.  As the table shows a high percentage of respondents felt they were able to undertake the tasks listed.  Only a small percentage of respondents answered that they had no idea what the question was asking.</w:t>
      </w:r>
    </w:p>
    <w:p w14:paraId="1943BBB3" w14:textId="77777777" w:rsidR="00332C18" w:rsidRPr="00332C18" w:rsidRDefault="00332C18" w:rsidP="00332C18">
      <w:pPr>
        <w:pStyle w:val="ListParagraph"/>
        <w:rPr>
          <w:b/>
        </w:rPr>
      </w:pPr>
      <w:r w:rsidRPr="00332C18">
        <w:rPr>
          <w:b/>
        </w:rPr>
        <w:t xml:space="preserve"> </w:t>
      </w:r>
    </w:p>
    <w:tbl>
      <w:tblPr>
        <w:tblW w:w="822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3402"/>
        <w:gridCol w:w="1087"/>
        <w:gridCol w:w="1087"/>
        <w:gridCol w:w="1087"/>
      </w:tblGrid>
      <w:tr w:rsidR="00332C18" w:rsidRPr="00807E36" w14:paraId="1A9A6803" w14:textId="77777777" w:rsidTr="00B53529">
        <w:trPr>
          <w:trHeight w:val="330"/>
        </w:trPr>
        <w:tc>
          <w:tcPr>
            <w:tcW w:w="1559" w:type="dxa"/>
            <w:shd w:val="clear" w:color="auto" w:fill="B4C6E7" w:themeFill="accent1" w:themeFillTint="66"/>
            <w:noWrap/>
            <w:vAlign w:val="center"/>
            <w:hideMark/>
          </w:tcPr>
          <w:p w14:paraId="568470EE" w14:textId="77777777" w:rsidR="00332C18" w:rsidRPr="00807E36" w:rsidRDefault="00332C18" w:rsidP="00B53529">
            <w:pPr>
              <w:spacing w:line="240" w:lineRule="auto"/>
              <w:ind w:left="0"/>
              <w:rPr>
                <w:rFonts w:ascii="Times New Roman" w:eastAsia="Times New Roman" w:hAnsi="Times New Roman" w:cs="Times New Roman"/>
                <w:b/>
                <w:sz w:val="16"/>
                <w:szCs w:val="16"/>
                <w:lang w:eastAsia="en-GB"/>
              </w:rPr>
            </w:pPr>
            <w:r w:rsidRPr="00807E36">
              <w:rPr>
                <w:rFonts w:ascii="Century Gothic" w:eastAsia="Times New Roman" w:hAnsi="Century Gothic" w:cs="Times New Roman"/>
                <w:b/>
                <w:color w:val="000000"/>
                <w:sz w:val="16"/>
                <w:szCs w:val="16"/>
                <w:lang w:eastAsia="en-GB"/>
              </w:rPr>
              <w:t>Digital skills category</w:t>
            </w:r>
          </w:p>
        </w:tc>
        <w:tc>
          <w:tcPr>
            <w:tcW w:w="3402" w:type="dxa"/>
            <w:shd w:val="clear" w:color="auto" w:fill="B4C6E7" w:themeFill="accent1" w:themeFillTint="66"/>
            <w:noWrap/>
            <w:vAlign w:val="bottom"/>
            <w:hideMark/>
          </w:tcPr>
          <w:p w14:paraId="31ED4F6D" w14:textId="77777777" w:rsidR="00332C18" w:rsidRPr="00807E36" w:rsidRDefault="00332C18" w:rsidP="00B53529">
            <w:pPr>
              <w:spacing w:line="240" w:lineRule="auto"/>
              <w:ind w:left="0"/>
              <w:rPr>
                <w:rFonts w:ascii="Times New Roman" w:eastAsia="Times New Roman" w:hAnsi="Times New Roman" w:cs="Times New Roman"/>
                <w:b/>
                <w:sz w:val="16"/>
                <w:szCs w:val="16"/>
                <w:lang w:eastAsia="en-GB"/>
              </w:rPr>
            </w:pPr>
          </w:p>
        </w:tc>
        <w:tc>
          <w:tcPr>
            <w:tcW w:w="1087" w:type="dxa"/>
            <w:shd w:val="clear" w:color="auto" w:fill="B4C6E7" w:themeFill="accent1" w:themeFillTint="66"/>
            <w:noWrap/>
            <w:vAlign w:val="center"/>
            <w:hideMark/>
          </w:tcPr>
          <w:p w14:paraId="780CD0D3" w14:textId="77777777" w:rsidR="00332C18" w:rsidRPr="00807E36" w:rsidRDefault="00332C18" w:rsidP="00B53529">
            <w:pPr>
              <w:spacing w:line="240" w:lineRule="auto"/>
              <w:ind w:left="0"/>
              <w:jc w:val="center"/>
              <w:rPr>
                <w:rFonts w:ascii="Century Gothic" w:eastAsia="Times New Roman" w:hAnsi="Century Gothic" w:cs="Times New Roman"/>
                <w:b/>
                <w:color w:val="000000"/>
                <w:sz w:val="16"/>
                <w:szCs w:val="16"/>
                <w:lang w:eastAsia="en-GB"/>
              </w:rPr>
            </w:pPr>
            <w:r w:rsidRPr="00807E36">
              <w:rPr>
                <w:rFonts w:ascii="Century Gothic" w:eastAsia="Times New Roman" w:hAnsi="Century Gothic" w:cs="Times New Roman"/>
                <w:b/>
                <w:color w:val="000000"/>
                <w:sz w:val="16"/>
                <w:szCs w:val="16"/>
                <w:lang w:eastAsia="en-GB"/>
              </w:rPr>
              <w:t xml:space="preserve">I could do </w:t>
            </w:r>
            <w:r>
              <w:rPr>
                <w:rFonts w:ascii="Century Gothic" w:eastAsia="Times New Roman" w:hAnsi="Century Gothic" w:cs="Times New Roman"/>
                <w:b/>
                <w:color w:val="000000"/>
                <w:sz w:val="16"/>
                <w:szCs w:val="16"/>
                <w:lang w:eastAsia="en-GB"/>
              </w:rPr>
              <w:t>this</w:t>
            </w:r>
            <w:r w:rsidRPr="00807E36">
              <w:rPr>
                <w:rFonts w:ascii="Century Gothic" w:eastAsia="Times New Roman" w:hAnsi="Century Gothic" w:cs="Times New Roman"/>
                <w:b/>
                <w:color w:val="000000"/>
                <w:sz w:val="16"/>
                <w:szCs w:val="16"/>
                <w:lang w:eastAsia="en-GB"/>
              </w:rPr>
              <w:t xml:space="preserve"> if</w:t>
            </w:r>
            <w:r>
              <w:rPr>
                <w:rFonts w:ascii="Century Gothic" w:eastAsia="Times New Roman" w:hAnsi="Century Gothic" w:cs="Times New Roman"/>
                <w:b/>
                <w:color w:val="000000"/>
                <w:sz w:val="16"/>
                <w:szCs w:val="16"/>
                <w:lang w:eastAsia="en-GB"/>
              </w:rPr>
              <w:t xml:space="preserve"> I was</w:t>
            </w:r>
            <w:r w:rsidRPr="00807E36">
              <w:rPr>
                <w:rFonts w:ascii="Century Gothic" w:eastAsia="Times New Roman" w:hAnsi="Century Gothic" w:cs="Times New Roman"/>
                <w:b/>
                <w:color w:val="000000"/>
                <w:sz w:val="16"/>
                <w:szCs w:val="16"/>
                <w:lang w:eastAsia="en-GB"/>
              </w:rPr>
              <w:t xml:space="preserve"> asked to</w:t>
            </w:r>
          </w:p>
        </w:tc>
        <w:tc>
          <w:tcPr>
            <w:tcW w:w="1087" w:type="dxa"/>
            <w:shd w:val="clear" w:color="auto" w:fill="B4C6E7" w:themeFill="accent1" w:themeFillTint="66"/>
            <w:noWrap/>
            <w:vAlign w:val="center"/>
            <w:hideMark/>
          </w:tcPr>
          <w:p w14:paraId="1EB432C1" w14:textId="77777777" w:rsidR="00332C18" w:rsidRPr="00807E36" w:rsidRDefault="00332C18" w:rsidP="00B53529">
            <w:pPr>
              <w:spacing w:line="240" w:lineRule="auto"/>
              <w:ind w:left="0"/>
              <w:jc w:val="center"/>
              <w:rPr>
                <w:rFonts w:ascii="Century Gothic" w:eastAsia="Times New Roman" w:hAnsi="Century Gothic" w:cs="Times New Roman"/>
                <w:b/>
                <w:color w:val="000000"/>
                <w:sz w:val="16"/>
                <w:szCs w:val="16"/>
                <w:lang w:eastAsia="en-GB"/>
              </w:rPr>
            </w:pPr>
            <w:r>
              <w:rPr>
                <w:rFonts w:ascii="Century Gothic" w:eastAsia="Times New Roman" w:hAnsi="Century Gothic" w:cs="Times New Roman"/>
                <w:b/>
                <w:color w:val="000000"/>
                <w:sz w:val="16"/>
                <w:szCs w:val="16"/>
                <w:lang w:eastAsia="en-GB"/>
              </w:rPr>
              <w:t>I c</w:t>
            </w:r>
            <w:r w:rsidRPr="00807E36">
              <w:rPr>
                <w:rFonts w:ascii="Century Gothic" w:eastAsia="Times New Roman" w:hAnsi="Century Gothic" w:cs="Times New Roman"/>
                <w:b/>
                <w:color w:val="000000"/>
                <w:sz w:val="16"/>
                <w:szCs w:val="16"/>
                <w:lang w:eastAsia="en-GB"/>
              </w:rPr>
              <w:t>ouldn't do this if I was asked to</w:t>
            </w:r>
          </w:p>
        </w:tc>
        <w:tc>
          <w:tcPr>
            <w:tcW w:w="1087" w:type="dxa"/>
            <w:shd w:val="clear" w:color="auto" w:fill="B4C6E7" w:themeFill="accent1" w:themeFillTint="66"/>
            <w:noWrap/>
            <w:vAlign w:val="center"/>
            <w:hideMark/>
          </w:tcPr>
          <w:p w14:paraId="020BD296" w14:textId="77777777" w:rsidR="00332C18" w:rsidRPr="00807E36" w:rsidRDefault="00332C18" w:rsidP="00B53529">
            <w:pPr>
              <w:spacing w:line="240" w:lineRule="auto"/>
              <w:ind w:left="0"/>
              <w:jc w:val="center"/>
              <w:rPr>
                <w:rFonts w:ascii="Century Gothic" w:eastAsia="Times New Roman" w:hAnsi="Century Gothic" w:cs="Times New Roman"/>
                <w:b/>
                <w:color w:val="000000"/>
                <w:sz w:val="16"/>
                <w:szCs w:val="16"/>
                <w:lang w:eastAsia="en-GB"/>
              </w:rPr>
            </w:pPr>
            <w:r w:rsidRPr="00807E36">
              <w:rPr>
                <w:rFonts w:ascii="Century Gothic" w:eastAsia="Times New Roman" w:hAnsi="Century Gothic" w:cs="Times New Roman"/>
                <w:b/>
                <w:color w:val="000000"/>
                <w:sz w:val="16"/>
                <w:szCs w:val="16"/>
                <w:lang w:eastAsia="en-GB"/>
              </w:rPr>
              <w:t>I have no idea what you are talking about</w:t>
            </w:r>
          </w:p>
        </w:tc>
      </w:tr>
      <w:tr w:rsidR="00332C18" w:rsidRPr="00807E36" w14:paraId="44D8A4D9" w14:textId="77777777" w:rsidTr="00B53529">
        <w:trPr>
          <w:trHeight w:val="330"/>
        </w:trPr>
        <w:tc>
          <w:tcPr>
            <w:tcW w:w="1559" w:type="dxa"/>
            <w:vMerge w:val="restart"/>
            <w:shd w:val="clear" w:color="auto" w:fill="auto"/>
            <w:noWrap/>
            <w:vAlign w:val="center"/>
            <w:hideMark/>
          </w:tcPr>
          <w:p w14:paraId="3094F251"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Managing information</w:t>
            </w:r>
          </w:p>
        </w:tc>
        <w:tc>
          <w:tcPr>
            <w:tcW w:w="3402" w:type="dxa"/>
            <w:shd w:val="clear" w:color="auto" w:fill="auto"/>
            <w:noWrap/>
            <w:vAlign w:val="center"/>
            <w:hideMark/>
          </w:tcPr>
          <w:p w14:paraId="5D20D2E2"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Use a search engine</w:t>
            </w:r>
            <w:r>
              <w:rPr>
                <w:rFonts w:ascii="Century Gothic" w:eastAsia="Times New Roman" w:hAnsi="Century Gothic" w:cs="Times New Roman"/>
                <w:color w:val="000000"/>
                <w:sz w:val="16"/>
                <w:szCs w:val="16"/>
                <w:lang w:eastAsia="en-GB"/>
              </w:rPr>
              <w:t xml:space="preserve"> to look for information</w:t>
            </w:r>
          </w:p>
        </w:tc>
        <w:tc>
          <w:tcPr>
            <w:tcW w:w="1087" w:type="dxa"/>
            <w:shd w:val="clear" w:color="auto" w:fill="auto"/>
            <w:noWrap/>
            <w:vAlign w:val="center"/>
            <w:hideMark/>
          </w:tcPr>
          <w:p w14:paraId="4F47108D"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91.1%</w:t>
            </w:r>
          </w:p>
        </w:tc>
        <w:tc>
          <w:tcPr>
            <w:tcW w:w="1087" w:type="dxa"/>
            <w:shd w:val="clear" w:color="auto" w:fill="auto"/>
            <w:noWrap/>
            <w:vAlign w:val="center"/>
            <w:hideMark/>
          </w:tcPr>
          <w:p w14:paraId="7452D300"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5.2%</w:t>
            </w:r>
          </w:p>
        </w:tc>
        <w:tc>
          <w:tcPr>
            <w:tcW w:w="1087" w:type="dxa"/>
            <w:shd w:val="clear" w:color="auto" w:fill="auto"/>
            <w:noWrap/>
            <w:vAlign w:val="center"/>
            <w:hideMark/>
          </w:tcPr>
          <w:p w14:paraId="2875A8C7"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3.7%</w:t>
            </w:r>
          </w:p>
        </w:tc>
      </w:tr>
      <w:tr w:rsidR="00332C18" w:rsidRPr="00807E36" w14:paraId="10792010" w14:textId="77777777" w:rsidTr="00B53529">
        <w:trPr>
          <w:trHeight w:val="330"/>
        </w:trPr>
        <w:tc>
          <w:tcPr>
            <w:tcW w:w="1559" w:type="dxa"/>
            <w:vMerge/>
            <w:vAlign w:val="center"/>
            <w:hideMark/>
          </w:tcPr>
          <w:p w14:paraId="4638E868"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p>
        </w:tc>
        <w:tc>
          <w:tcPr>
            <w:tcW w:w="3402" w:type="dxa"/>
            <w:shd w:val="clear" w:color="auto" w:fill="auto"/>
            <w:noWrap/>
            <w:vAlign w:val="center"/>
            <w:hideMark/>
          </w:tcPr>
          <w:p w14:paraId="1038B3E1"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Download</w:t>
            </w:r>
            <w:r>
              <w:rPr>
                <w:rFonts w:ascii="Century Gothic" w:eastAsia="Times New Roman" w:hAnsi="Century Gothic" w:cs="Times New Roman"/>
                <w:color w:val="000000"/>
                <w:sz w:val="16"/>
                <w:szCs w:val="16"/>
                <w:lang w:eastAsia="en-GB"/>
              </w:rPr>
              <w:t>/save</w:t>
            </w:r>
            <w:r w:rsidRPr="00807E36">
              <w:rPr>
                <w:rFonts w:ascii="Century Gothic" w:eastAsia="Times New Roman" w:hAnsi="Century Gothic" w:cs="Times New Roman"/>
                <w:color w:val="000000"/>
                <w:sz w:val="16"/>
                <w:szCs w:val="16"/>
                <w:lang w:eastAsia="en-GB"/>
              </w:rPr>
              <w:t xml:space="preserve"> a photo</w:t>
            </w:r>
          </w:p>
        </w:tc>
        <w:tc>
          <w:tcPr>
            <w:tcW w:w="1087" w:type="dxa"/>
            <w:shd w:val="clear" w:color="auto" w:fill="auto"/>
            <w:noWrap/>
            <w:vAlign w:val="center"/>
            <w:hideMark/>
          </w:tcPr>
          <w:p w14:paraId="6A5966E6"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82.1%</w:t>
            </w:r>
          </w:p>
        </w:tc>
        <w:tc>
          <w:tcPr>
            <w:tcW w:w="1087" w:type="dxa"/>
            <w:shd w:val="clear" w:color="auto" w:fill="auto"/>
            <w:noWrap/>
            <w:vAlign w:val="center"/>
            <w:hideMark/>
          </w:tcPr>
          <w:p w14:paraId="02CD6D2F"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16.0%</w:t>
            </w:r>
          </w:p>
        </w:tc>
        <w:tc>
          <w:tcPr>
            <w:tcW w:w="1087" w:type="dxa"/>
            <w:shd w:val="clear" w:color="auto" w:fill="auto"/>
            <w:noWrap/>
            <w:vAlign w:val="center"/>
            <w:hideMark/>
          </w:tcPr>
          <w:p w14:paraId="1DE25F92"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1.9%</w:t>
            </w:r>
          </w:p>
        </w:tc>
      </w:tr>
      <w:tr w:rsidR="00332C18" w:rsidRPr="00807E36" w14:paraId="34356206" w14:textId="77777777" w:rsidTr="00B53529">
        <w:trPr>
          <w:trHeight w:val="330"/>
        </w:trPr>
        <w:tc>
          <w:tcPr>
            <w:tcW w:w="1559" w:type="dxa"/>
            <w:vMerge/>
            <w:vAlign w:val="center"/>
            <w:hideMark/>
          </w:tcPr>
          <w:p w14:paraId="11CFBCE3"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p>
        </w:tc>
        <w:tc>
          <w:tcPr>
            <w:tcW w:w="3402" w:type="dxa"/>
            <w:shd w:val="clear" w:color="auto" w:fill="auto"/>
            <w:noWrap/>
            <w:vAlign w:val="center"/>
            <w:hideMark/>
          </w:tcPr>
          <w:p w14:paraId="698E1758"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Find a website</w:t>
            </w:r>
            <w:r>
              <w:rPr>
                <w:rFonts w:ascii="Century Gothic" w:eastAsia="Times New Roman" w:hAnsi="Century Gothic" w:cs="Times New Roman"/>
                <w:color w:val="000000"/>
                <w:sz w:val="16"/>
                <w:szCs w:val="16"/>
                <w:lang w:eastAsia="en-GB"/>
              </w:rPr>
              <w:t xml:space="preserve"> you have visited before</w:t>
            </w:r>
          </w:p>
        </w:tc>
        <w:tc>
          <w:tcPr>
            <w:tcW w:w="1087" w:type="dxa"/>
            <w:shd w:val="clear" w:color="auto" w:fill="auto"/>
            <w:noWrap/>
            <w:vAlign w:val="center"/>
            <w:hideMark/>
          </w:tcPr>
          <w:p w14:paraId="0B2284BB"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92.7%</w:t>
            </w:r>
          </w:p>
        </w:tc>
        <w:tc>
          <w:tcPr>
            <w:tcW w:w="1087" w:type="dxa"/>
            <w:shd w:val="clear" w:color="auto" w:fill="auto"/>
            <w:noWrap/>
            <w:vAlign w:val="center"/>
            <w:hideMark/>
          </w:tcPr>
          <w:p w14:paraId="464AB3C7"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5.6%</w:t>
            </w:r>
          </w:p>
        </w:tc>
        <w:tc>
          <w:tcPr>
            <w:tcW w:w="1087" w:type="dxa"/>
            <w:shd w:val="clear" w:color="auto" w:fill="auto"/>
            <w:noWrap/>
            <w:vAlign w:val="center"/>
            <w:hideMark/>
          </w:tcPr>
          <w:p w14:paraId="3ADFBBD3"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1.7%</w:t>
            </w:r>
          </w:p>
        </w:tc>
      </w:tr>
      <w:tr w:rsidR="00332C18" w:rsidRPr="00807E36" w14:paraId="2AF2222B" w14:textId="77777777" w:rsidTr="00B53529">
        <w:trPr>
          <w:trHeight w:val="330"/>
        </w:trPr>
        <w:tc>
          <w:tcPr>
            <w:tcW w:w="1559" w:type="dxa"/>
            <w:vMerge w:val="restart"/>
            <w:shd w:val="clear" w:color="auto" w:fill="D9E2F3" w:themeFill="accent1" w:themeFillTint="33"/>
            <w:noWrap/>
            <w:vAlign w:val="center"/>
            <w:hideMark/>
          </w:tcPr>
          <w:p w14:paraId="7EFE47E2"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Communicating</w:t>
            </w:r>
          </w:p>
        </w:tc>
        <w:tc>
          <w:tcPr>
            <w:tcW w:w="3402" w:type="dxa"/>
            <w:shd w:val="clear" w:color="auto" w:fill="D9E2F3" w:themeFill="accent1" w:themeFillTint="33"/>
            <w:noWrap/>
            <w:vAlign w:val="center"/>
            <w:hideMark/>
          </w:tcPr>
          <w:p w14:paraId="7C18A2C8"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Send a message</w:t>
            </w:r>
            <w:r>
              <w:rPr>
                <w:rFonts w:ascii="Century Gothic" w:eastAsia="Times New Roman" w:hAnsi="Century Gothic" w:cs="Times New Roman"/>
                <w:color w:val="000000"/>
                <w:sz w:val="16"/>
                <w:szCs w:val="16"/>
                <w:lang w:eastAsia="en-GB"/>
              </w:rPr>
              <w:t xml:space="preserve"> via email on online messaging</w:t>
            </w:r>
          </w:p>
        </w:tc>
        <w:tc>
          <w:tcPr>
            <w:tcW w:w="1087" w:type="dxa"/>
            <w:shd w:val="clear" w:color="auto" w:fill="D9E2F3" w:themeFill="accent1" w:themeFillTint="33"/>
            <w:noWrap/>
            <w:vAlign w:val="center"/>
            <w:hideMark/>
          </w:tcPr>
          <w:p w14:paraId="5829D242"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94.5%</w:t>
            </w:r>
          </w:p>
        </w:tc>
        <w:tc>
          <w:tcPr>
            <w:tcW w:w="1087" w:type="dxa"/>
            <w:shd w:val="clear" w:color="auto" w:fill="D9E2F3" w:themeFill="accent1" w:themeFillTint="33"/>
            <w:noWrap/>
            <w:vAlign w:val="center"/>
            <w:hideMark/>
          </w:tcPr>
          <w:p w14:paraId="577414B4"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4.1%</w:t>
            </w:r>
          </w:p>
        </w:tc>
        <w:tc>
          <w:tcPr>
            <w:tcW w:w="1087" w:type="dxa"/>
            <w:shd w:val="clear" w:color="auto" w:fill="D9E2F3" w:themeFill="accent1" w:themeFillTint="33"/>
            <w:noWrap/>
            <w:vAlign w:val="center"/>
            <w:hideMark/>
          </w:tcPr>
          <w:p w14:paraId="1B4B185B"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1.4%</w:t>
            </w:r>
          </w:p>
        </w:tc>
      </w:tr>
      <w:tr w:rsidR="00332C18" w:rsidRPr="00807E36" w14:paraId="39AF6C18" w14:textId="77777777" w:rsidTr="00B53529">
        <w:trPr>
          <w:trHeight w:val="330"/>
        </w:trPr>
        <w:tc>
          <w:tcPr>
            <w:tcW w:w="1559" w:type="dxa"/>
            <w:vMerge/>
            <w:shd w:val="clear" w:color="auto" w:fill="D9E2F3" w:themeFill="accent1" w:themeFillTint="33"/>
            <w:vAlign w:val="center"/>
            <w:hideMark/>
          </w:tcPr>
          <w:p w14:paraId="26158D8F"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p>
        </w:tc>
        <w:tc>
          <w:tcPr>
            <w:tcW w:w="3402" w:type="dxa"/>
            <w:shd w:val="clear" w:color="auto" w:fill="D9E2F3" w:themeFill="accent1" w:themeFillTint="33"/>
            <w:noWrap/>
            <w:vAlign w:val="center"/>
            <w:hideMark/>
          </w:tcPr>
          <w:p w14:paraId="23E47ACC"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Make comments/share information</w:t>
            </w:r>
            <w:r>
              <w:rPr>
                <w:rFonts w:ascii="Century Gothic" w:eastAsia="Times New Roman" w:hAnsi="Century Gothic" w:cs="Times New Roman"/>
                <w:color w:val="000000"/>
                <w:sz w:val="16"/>
                <w:szCs w:val="16"/>
                <w:lang w:eastAsia="en-GB"/>
              </w:rPr>
              <w:t xml:space="preserve"> online</w:t>
            </w:r>
          </w:p>
        </w:tc>
        <w:tc>
          <w:tcPr>
            <w:tcW w:w="1087" w:type="dxa"/>
            <w:shd w:val="clear" w:color="auto" w:fill="D9E2F3" w:themeFill="accent1" w:themeFillTint="33"/>
            <w:noWrap/>
            <w:vAlign w:val="center"/>
            <w:hideMark/>
          </w:tcPr>
          <w:p w14:paraId="0F47A167"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85.4%</w:t>
            </w:r>
          </w:p>
        </w:tc>
        <w:tc>
          <w:tcPr>
            <w:tcW w:w="1087" w:type="dxa"/>
            <w:shd w:val="clear" w:color="auto" w:fill="D9E2F3" w:themeFill="accent1" w:themeFillTint="33"/>
            <w:noWrap/>
            <w:vAlign w:val="center"/>
            <w:hideMark/>
          </w:tcPr>
          <w:p w14:paraId="4A07B639"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12.0%</w:t>
            </w:r>
          </w:p>
        </w:tc>
        <w:tc>
          <w:tcPr>
            <w:tcW w:w="1087" w:type="dxa"/>
            <w:shd w:val="clear" w:color="auto" w:fill="D9E2F3" w:themeFill="accent1" w:themeFillTint="33"/>
            <w:noWrap/>
            <w:vAlign w:val="center"/>
            <w:hideMark/>
          </w:tcPr>
          <w:p w14:paraId="24E67F53"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2.6%</w:t>
            </w:r>
          </w:p>
        </w:tc>
      </w:tr>
      <w:tr w:rsidR="00332C18" w:rsidRPr="00807E36" w14:paraId="19800B59" w14:textId="77777777" w:rsidTr="00B53529">
        <w:trPr>
          <w:trHeight w:val="330"/>
        </w:trPr>
        <w:tc>
          <w:tcPr>
            <w:tcW w:w="1559" w:type="dxa"/>
            <w:vMerge w:val="restart"/>
            <w:shd w:val="clear" w:color="auto" w:fill="auto"/>
            <w:noWrap/>
            <w:vAlign w:val="center"/>
            <w:hideMark/>
          </w:tcPr>
          <w:p w14:paraId="19D29F80"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Transacting</w:t>
            </w:r>
          </w:p>
        </w:tc>
        <w:tc>
          <w:tcPr>
            <w:tcW w:w="3402" w:type="dxa"/>
            <w:shd w:val="clear" w:color="auto" w:fill="auto"/>
            <w:noWrap/>
            <w:vAlign w:val="center"/>
            <w:hideMark/>
          </w:tcPr>
          <w:p w14:paraId="403DAF9E"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 xml:space="preserve">Buy </w:t>
            </w:r>
            <w:r>
              <w:rPr>
                <w:rFonts w:ascii="Century Gothic" w:eastAsia="Times New Roman" w:hAnsi="Century Gothic" w:cs="Times New Roman"/>
                <w:color w:val="000000"/>
                <w:sz w:val="16"/>
                <w:szCs w:val="16"/>
                <w:lang w:eastAsia="en-GB"/>
              </w:rPr>
              <w:t xml:space="preserve">items or services </w:t>
            </w:r>
            <w:r w:rsidRPr="00807E36">
              <w:rPr>
                <w:rFonts w:ascii="Century Gothic" w:eastAsia="Times New Roman" w:hAnsi="Century Gothic" w:cs="Times New Roman"/>
                <w:color w:val="000000"/>
                <w:sz w:val="16"/>
                <w:szCs w:val="16"/>
                <w:lang w:eastAsia="en-GB"/>
              </w:rPr>
              <w:t>from a website</w:t>
            </w:r>
          </w:p>
        </w:tc>
        <w:tc>
          <w:tcPr>
            <w:tcW w:w="1087" w:type="dxa"/>
            <w:shd w:val="clear" w:color="auto" w:fill="auto"/>
            <w:noWrap/>
            <w:vAlign w:val="center"/>
            <w:hideMark/>
          </w:tcPr>
          <w:p w14:paraId="19870A21"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89.6%</w:t>
            </w:r>
          </w:p>
        </w:tc>
        <w:tc>
          <w:tcPr>
            <w:tcW w:w="1087" w:type="dxa"/>
            <w:shd w:val="clear" w:color="auto" w:fill="auto"/>
            <w:noWrap/>
            <w:vAlign w:val="center"/>
            <w:hideMark/>
          </w:tcPr>
          <w:p w14:paraId="6C9C63A2"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8.8%</w:t>
            </w:r>
          </w:p>
        </w:tc>
        <w:tc>
          <w:tcPr>
            <w:tcW w:w="1087" w:type="dxa"/>
            <w:shd w:val="clear" w:color="auto" w:fill="auto"/>
            <w:noWrap/>
            <w:vAlign w:val="center"/>
            <w:hideMark/>
          </w:tcPr>
          <w:p w14:paraId="46A74147"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1.7%</w:t>
            </w:r>
          </w:p>
        </w:tc>
      </w:tr>
      <w:tr w:rsidR="00332C18" w:rsidRPr="00807E36" w14:paraId="189A228F" w14:textId="77777777" w:rsidTr="00B53529">
        <w:trPr>
          <w:trHeight w:val="330"/>
        </w:trPr>
        <w:tc>
          <w:tcPr>
            <w:tcW w:w="1559" w:type="dxa"/>
            <w:vMerge/>
            <w:vAlign w:val="center"/>
            <w:hideMark/>
          </w:tcPr>
          <w:p w14:paraId="604024E7"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p>
        </w:tc>
        <w:tc>
          <w:tcPr>
            <w:tcW w:w="3402" w:type="dxa"/>
            <w:shd w:val="clear" w:color="auto" w:fill="auto"/>
            <w:noWrap/>
            <w:vAlign w:val="center"/>
            <w:hideMark/>
          </w:tcPr>
          <w:p w14:paraId="17D4AE60"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Buy and install apps</w:t>
            </w:r>
            <w:r>
              <w:rPr>
                <w:rFonts w:ascii="Century Gothic" w:eastAsia="Times New Roman" w:hAnsi="Century Gothic" w:cs="Times New Roman"/>
                <w:color w:val="000000"/>
                <w:sz w:val="16"/>
                <w:szCs w:val="16"/>
                <w:lang w:eastAsia="en-GB"/>
              </w:rPr>
              <w:t xml:space="preserve"> on a device</w:t>
            </w:r>
          </w:p>
        </w:tc>
        <w:tc>
          <w:tcPr>
            <w:tcW w:w="1087" w:type="dxa"/>
            <w:shd w:val="clear" w:color="auto" w:fill="auto"/>
            <w:noWrap/>
            <w:vAlign w:val="center"/>
            <w:hideMark/>
          </w:tcPr>
          <w:p w14:paraId="55326766"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77.6%</w:t>
            </w:r>
          </w:p>
        </w:tc>
        <w:tc>
          <w:tcPr>
            <w:tcW w:w="1087" w:type="dxa"/>
            <w:shd w:val="clear" w:color="auto" w:fill="auto"/>
            <w:noWrap/>
            <w:vAlign w:val="center"/>
            <w:hideMark/>
          </w:tcPr>
          <w:p w14:paraId="09B59BAF"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19.2%</w:t>
            </w:r>
          </w:p>
        </w:tc>
        <w:tc>
          <w:tcPr>
            <w:tcW w:w="1087" w:type="dxa"/>
            <w:shd w:val="clear" w:color="auto" w:fill="auto"/>
            <w:noWrap/>
            <w:vAlign w:val="center"/>
            <w:hideMark/>
          </w:tcPr>
          <w:p w14:paraId="17224412"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3.2%</w:t>
            </w:r>
          </w:p>
        </w:tc>
      </w:tr>
      <w:tr w:rsidR="00332C18" w:rsidRPr="00807E36" w14:paraId="4EA0B472" w14:textId="77777777" w:rsidTr="00B53529">
        <w:trPr>
          <w:trHeight w:val="330"/>
        </w:trPr>
        <w:tc>
          <w:tcPr>
            <w:tcW w:w="1559" w:type="dxa"/>
            <w:vMerge w:val="restart"/>
            <w:shd w:val="clear" w:color="auto" w:fill="D9E2F3" w:themeFill="accent1" w:themeFillTint="33"/>
            <w:noWrap/>
            <w:vAlign w:val="center"/>
            <w:hideMark/>
          </w:tcPr>
          <w:p w14:paraId="6C2C8E61"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Problem solving</w:t>
            </w:r>
          </w:p>
        </w:tc>
        <w:tc>
          <w:tcPr>
            <w:tcW w:w="3402" w:type="dxa"/>
            <w:shd w:val="clear" w:color="auto" w:fill="D9E2F3" w:themeFill="accent1" w:themeFillTint="33"/>
            <w:noWrap/>
            <w:vAlign w:val="center"/>
            <w:hideMark/>
          </w:tcPr>
          <w:p w14:paraId="045F158E"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Solve a problem</w:t>
            </w:r>
            <w:r>
              <w:rPr>
                <w:rFonts w:ascii="Century Gothic" w:eastAsia="Times New Roman" w:hAnsi="Century Gothic" w:cs="Times New Roman"/>
                <w:color w:val="000000"/>
                <w:sz w:val="16"/>
                <w:szCs w:val="16"/>
                <w:lang w:eastAsia="en-GB"/>
              </w:rPr>
              <w:t xml:space="preserve"> you have with a device using online help</w:t>
            </w:r>
          </w:p>
        </w:tc>
        <w:tc>
          <w:tcPr>
            <w:tcW w:w="1087" w:type="dxa"/>
            <w:shd w:val="clear" w:color="auto" w:fill="D9E2F3" w:themeFill="accent1" w:themeFillTint="33"/>
            <w:noWrap/>
            <w:vAlign w:val="center"/>
            <w:hideMark/>
          </w:tcPr>
          <w:p w14:paraId="4ECA94DE"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74.6%</w:t>
            </w:r>
          </w:p>
        </w:tc>
        <w:tc>
          <w:tcPr>
            <w:tcW w:w="1087" w:type="dxa"/>
            <w:shd w:val="clear" w:color="auto" w:fill="D9E2F3" w:themeFill="accent1" w:themeFillTint="33"/>
            <w:noWrap/>
            <w:vAlign w:val="center"/>
            <w:hideMark/>
          </w:tcPr>
          <w:p w14:paraId="4CBDEFE6"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22.7%</w:t>
            </w:r>
          </w:p>
        </w:tc>
        <w:tc>
          <w:tcPr>
            <w:tcW w:w="1087" w:type="dxa"/>
            <w:shd w:val="clear" w:color="auto" w:fill="D9E2F3" w:themeFill="accent1" w:themeFillTint="33"/>
            <w:noWrap/>
            <w:vAlign w:val="center"/>
            <w:hideMark/>
          </w:tcPr>
          <w:p w14:paraId="2DA92FEF"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2.7%</w:t>
            </w:r>
          </w:p>
        </w:tc>
      </w:tr>
      <w:tr w:rsidR="00332C18" w:rsidRPr="00807E36" w14:paraId="51F95AD9" w14:textId="77777777" w:rsidTr="00B53529">
        <w:trPr>
          <w:trHeight w:val="330"/>
        </w:trPr>
        <w:tc>
          <w:tcPr>
            <w:tcW w:w="1559" w:type="dxa"/>
            <w:vMerge/>
            <w:shd w:val="clear" w:color="auto" w:fill="D9E2F3" w:themeFill="accent1" w:themeFillTint="33"/>
            <w:vAlign w:val="center"/>
            <w:hideMark/>
          </w:tcPr>
          <w:p w14:paraId="06376457"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p>
        </w:tc>
        <w:tc>
          <w:tcPr>
            <w:tcW w:w="3402" w:type="dxa"/>
            <w:shd w:val="clear" w:color="auto" w:fill="D9E2F3" w:themeFill="accent1" w:themeFillTint="33"/>
            <w:noWrap/>
            <w:vAlign w:val="center"/>
            <w:hideMark/>
          </w:tcPr>
          <w:p w14:paraId="161118CD"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Verify sources of information</w:t>
            </w:r>
            <w:r>
              <w:rPr>
                <w:rFonts w:ascii="Century Gothic" w:eastAsia="Times New Roman" w:hAnsi="Century Gothic" w:cs="Times New Roman"/>
                <w:color w:val="000000"/>
                <w:sz w:val="16"/>
                <w:szCs w:val="16"/>
                <w:lang w:eastAsia="en-GB"/>
              </w:rPr>
              <w:t xml:space="preserve"> you found online</w:t>
            </w:r>
          </w:p>
        </w:tc>
        <w:tc>
          <w:tcPr>
            <w:tcW w:w="1087" w:type="dxa"/>
            <w:shd w:val="clear" w:color="auto" w:fill="D9E2F3" w:themeFill="accent1" w:themeFillTint="33"/>
            <w:noWrap/>
            <w:vAlign w:val="center"/>
            <w:hideMark/>
          </w:tcPr>
          <w:p w14:paraId="28F136FB"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72.7%</w:t>
            </w:r>
          </w:p>
        </w:tc>
        <w:tc>
          <w:tcPr>
            <w:tcW w:w="1087" w:type="dxa"/>
            <w:shd w:val="clear" w:color="auto" w:fill="D9E2F3" w:themeFill="accent1" w:themeFillTint="33"/>
            <w:noWrap/>
            <w:vAlign w:val="center"/>
            <w:hideMark/>
          </w:tcPr>
          <w:p w14:paraId="48D7121A"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23.6%</w:t>
            </w:r>
          </w:p>
        </w:tc>
        <w:tc>
          <w:tcPr>
            <w:tcW w:w="1087" w:type="dxa"/>
            <w:shd w:val="clear" w:color="auto" w:fill="D9E2F3" w:themeFill="accent1" w:themeFillTint="33"/>
            <w:noWrap/>
            <w:vAlign w:val="center"/>
            <w:hideMark/>
          </w:tcPr>
          <w:p w14:paraId="7DDE3DE4"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3.6%</w:t>
            </w:r>
          </w:p>
        </w:tc>
      </w:tr>
      <w:tr w:rsidR="00332C18" w:rsidRPr="00807E36" w14:paraId="1AC790E6" w14:textId="77777777" w:rsidTr="00B53529">
        <w:trPr>
          <w:trHeight w:val="330"/>
        </w:trPr>
        <w:tc>
          <w:tcPr>
            <w:tcW w:w="1559" w:type="dxa"/>
            <w:vMerge w:val="restart"/>
            <w:shd w:val="clear" w:color="auto" w:fill="auto"/>
            <w:noWrap/>
            <w:vAlign w:val="center"/>
            <w:hideMark/>
          </w:tcPr>
          <w:p w14:paraId="661F1CF5"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Creating</w:t>
            </w:r>
          </w:p>
        </w:tc>
        <w:tc>
          <w:tcPr>
            <w:tcW w:w="3402" w:type="dxa"/>
            <w:shd w:val="clear" w:color="auto" w:fill="auto"/>
            <w:noWrap/>
            <w:vAlign w:val="center"/>
            <w:hideMark/>
          </w:tcPr>
          <w:p w14:paraId="52A6D2F2"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Pr>
                <w:rFonts w:ascii="Century Gothic" w:eastAsia="Times New Roman" w:hAnsi="Century Gothic" w:cs="Times New Roman"/>
                <w:color w:val="000000"/>
                <w:sz w:val="16"/>
                <w:szCs w:val="16"/>
                <w:lang w:eastAsia="en-GB"/>
              </w:rPr>
              <w:t>Complete online application forms which include personal details</w:t>
            </w:r>
          </w:p>
        </w:tc>
        <w:tc>
          <w:tcPr>
            <w:tcW w:w="1087" w:type="dxa"/>
            <w:shd w:val="clear" w:color="auto" w:fill="auto"/>
            <w:noWrap/>
            <w:vAlign w:val="center"/>
            <w:hideMark/>
          </w:tcPr>
          <w:p w14:paraId="64F775FD"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86.6%</w:t>
            </w:r>
          </w:p>
        </w:tc>
        <w:tc>
          <w:tcPr>
            <w:tcW w:w="1087" w:type="dxa"/>
            <w:shd w:val="clear" w:color="auto" w:fill="auto"/>
            <w:noWrap/>
            <w:vAlign w:val="center"/>
            <w:hideMark/>
          </w:tcPr>
          <w:p w14:paraId="04765038"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11.4%</w:t>
            </w:r>
          </w:p>
        </w:tc>
        <w:tc>
          <w:tcPr>
            <w:tcW w:w="1087" w:type="dxa"/>
            <w:shd w:val="clear" w:color="auto" w:fill="auto"/>
            <w:noWrap/>
            <w:vAlign w:val="center"/>
            <w:hideMark/>
          </w:tcPr>
          <w:p w14:paraId="49F017A2"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2.0%</w:t>
            </w:r>
          </w:p>
        </w:tc>
      </w:tr>
      <w:tr w:rsidR="00332C18" w:rsidRPr="00807E36" w14:paraId="3CB35851" w14:textId="77777777" w:rsidTr="00B53529">
        <w:trPr>
          <w:trHeight w:val="330"/>
        </w:trPr>
        <w:tc>
          <w:tcPr>
            <w:tcW w:w="1559" w:type="dxa"/>
            <w:vMerge/>
            <w:vAlign w:val="center"/>
            <w:hideMark/>
          </w:tcPr>
          <w:p w14:paraId="750E825F"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p>
        </w:tc>
        <w:tc>
          <w:tcPr>
            <w:tcW w:w="3402" w:type="dxa"/>
            <w:shd w:val="clear" w:color="auto" w:fill="auto"/>
            <w:noWrap/>
            <w:vAlign w:val="center"/>
            <w:hideMark/>
          </w:tcPr>
          <w:p w14:paraId="48AC66E7"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Create something new</w:t>
            </w:r>
            <w:r>
              <w:rPr>
                <w:rFonts w:ascii="Century Gothic" w:eastAsia="Times New Roman" w:hAnsi="Century Gothic" w:cs="Times New Roman"/>
                <w:color w:val="000000"/>
                <w:sz w:val="16"/>
                <w:szCs w:val="16"/>
                <w:lang w:eastAsia="en-GB"/>
              </w:rPr>
              <w:t xml:space="preserve"> from existing online images, music or video</w:t>
            </w:r>
          </w:p>
        </w:tc>
        <w:tc>
          <w:tcPr>
            <w:tcW w:w="1087" w:type="dxa"/>
            <w:shd w:val="clear" w:color="auto" w:fill="auto"/>
            <w:noWrap/>
            <w:vAlign w:val="center"/>
            <w:hideMark/>
          </w:tcPr>
          <w:p w14:paraId="18F49771"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51.9%</w:t>
            </w:r>
          </w:p>
        </w:tc>
        <w:tc>
          <w:tcPr>
            <w:tcW w:w="1087" w:type="dxa"/>
            <w:shd w:val="clear" w:color="auto" w:fill="auto"/>
            <w:noWrap/>
            <w:vAlign w:val="center"/>
            <w:hideMark/>
          </w:tcPr>
          <w:p w14:paraId="7A6296A0"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44.1%</w:t>
            </w:r>
          </w:p>
        </w:tc>
        <w:tc>
          <w:tcPr>
            <w:tcW w:w="1087" w:type="dxa"/>
            <w:shd w:val="clear" w:color="auto" w:fill="auto"/>
            <w:noWrap/>
            <w:vAlign w:val="center"/>
            <w:hideMark/>
          </w:tcPr>
          <w:p w14:paraId="33396A64"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4.0%</w:t>
            </w:r>
          </w:p>
        </w:tc>
      </w:tr>
      <w:tr w:rsidR="00332C18" w:rsidRPr="00807E36" w14:paraId="597A14C1" w14:textId="77777777" w:rsidTr="00B53529">
        <w:trPr>
          <w:trHeight w:val="330"/>
        </w:trPr>
        <w:tc>
          <w:tcPr>
            <w:tcW w:w="1559" w:type="dxa"/>
            <w:vMerge w:val="restart"/>
            <w:shd w:val="clear" w:color="auto" w:fill="D9E2F3" w:themeFill="accent1" w:themeFillTint="33"/>
            <w:noWrap/>
            <w:vAlign w:val="center"/>
            <w:hideMark/>
          </w:tcPr>
          <w:p w14:paraId="474FFB09"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Security</w:t>
            </w:r>
          </w:p>
        </w:tc>
        <w:tc>
          <w:tcPr>
            <w:tcW w:w="3402" w:type="dxa"/>
            <w:shd w:val="clear" w:color="auto" w:fill="D9E2F3" w:themeFill="accent1" w:themeFillTint="33"/>
            <w:noWrap/>
            <w:vAlign w:val="center"/>
            <w:hideMark/>
          </w:tcPr>
          <w:p w14:paraId="625E596A"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 xml:space="preserve">Protect </w:t>
            </w:r>
            <w:r>
              <w:rPr>
                <w:rFonts w:ascii="Century Gothic" w:eastAsia="Times New Roman" w:hAnsi="Century Gothic" w:cs="Times New Roman"/>
                <w:color w:val="000000"/>
                <w:sz w:val="16"/>
                <w:szCs w:val="16"/>
                <w:lang w:eastAsia="en-GB"/>
              </w:rPr>
              <w:t xml:space="preserve">yourself </w:t>
            </w:r>
            <w:r w:rsidRPr="00807E36">
              <w:rPr>
                <w:rFonts w:ascii="Century Gothic" w:eastAsia="Times New Roman" w:hAnsi="Century Gothic" w:cs="Times New Roman"/>
                <w:color w:val="000000"/>
                <w:sz w:val="16"/>
                <w:szCs w:val="16"/>
                <w:lang w:eastAsia="en-GB"/>
              </w:rPr>
              <w:t>from fraud</w:t>
            </w:r>
            <w:r>
              <w:rPr>
                <w:rFonts w:ascii="Century Gothic" w:eastAsia="Times New Roman" w:hAnsi="Century Gothic" w:cs="Times New Roman"/>
                <w:color w:val="000000"/>
                <w:sz w:val="16"/>
                <w:szCs w:val="16"/>
                <w:lang w:eastAsia="en-GB"/>
              </w:rPr>
              <w:t xml:space="preserve"> by recognising a secure website</w:t>
            </w:r>
          </w:p>
        </w:tc>
        <w:tc>
          <w:tcPr>
            <w:tcW w:w="1087" w:type="dxa"/>
            <w:shd w:val="clear" w:color="auto" w:fill="D9E2F3" w:themeFill="accent1" w:themeFillTint="33"/>
            <w:noWrap/>
            <w:vAlign w:val="center"/>
            <w:hideMark/>
          </w:tcPr>
          <w:p w14:paraId="58992CD8"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81.4%</w:t>
            </w:r>
          </w:p>
        </w:tc>
        <w:tc>
          <w:tcPr>
            <w:tcW w:w="1087" w:type="dxa"/>
            <w:shd w:val="clear" w:color="auto" w:fill="D9E2F3" w:themeFill="accent1" w:themeFillTint="33"/>
            <w:noWrap/>
            <w:vAlign w:val="center"/>
            <w:hideMark/>
          </w:tcPr>
          <w:p w14:paraId="075A458C"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15.4%</w:t>
            </w:r>
          </w:p>
        </w:tc>
        <w:tc>
          <w:tcPr>
            <w:tcW w:w="1087" w:type="dxa"/>
            <w:shd w:val="clear" w:color="auto" w:fill="D9E2F3" w:themeFill="accent1" w:themeFillTint="33"/>
            <w:noWrap/>
            <w:vAlign w:val="center"/>
            <w:hideMark/>
          </w:tcPr>
          <w:p w14:paraId="2D2AAEA1"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3.2%</w:t>
            </w:r>
          </w:p>
        </w:tc>
      </w:tr>
      <w:tr w:rsidR="00332C18" w:rsidRPr="00807E36" w14:paraId="4DD5C79C" w14:textId="77777777" w:rsidTr="00B53529">
        <w:trPr>
          <w:trHeight w:val="330"/>
        </w:trPr>
        <w:tc>
          <w:tcPr>
            <w:tcW w:w="1559" w:type="dxa"/>
            <w:vMerge/>
            <w:shd w:val="clear" w:color="auto" w:fill="D9E2F3" w:themeFill="accent1" w:themeFillTint="33"/>
            <w:vAlign w:val="center"/>
            <w:hideMark/>
          </w:tcPr>
          <w:p w14:paraId="3B7B07C8"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p>
        </w:tc>
        <w:tc>
          <w:tcPr>
            <w:tcW w:w="3402" w:type="dxa"/>
            <w:shd w:val="clear" w:color="auto" w:fill="D9E2F3" w:themeFill="accent1" w:themeFillTint="33"/>
            <w:noWrap/>
            <w:vAlign w:val="center"/>
            <w:hideMark/>
          </w:tcPr>
          <w:p w14:paraId="79E64B0F"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Pr>
                <w:rFonts w:ascii="Century Gothic" w:eastAsia="Times New Roman" w:hAnsi="Century Gothic" w:cs="Times New Roman"/>
                <w:color w:val="000000"/>
                <w:sz w:val="16"/>
                <w:szCs w:val="16"/>
                <w:lang w:eastAsia="en-GB"/>
              </w:rPr>
              <w:t>Recognise a suspect email so not open to online fraud or viruses</w:t>
            </w:r>
          </w:p>
        </w:tc>
        <w:tc>
          <w:tcPr>
            <w:tcW w:w="1087" w:type="dxa"/>
            <w:shd w:val="clear" w:color="auto" w:fill="D9E2F3" w:themeFill="accent1" w:themeFillTint="33"/>
            <w:noWrap/>
            <w:vAlign w:val="center"/>
            <w:hideMark/>
          </w:tcPr>
          <w:p w14:paraId="12DA82A0"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83.2%</w:t>
            </w:r>
          </w:p>
        </w:tc>
        <w:tc>
          <w:tcPr>
            <w:tcW w:w="1087" w:type="dxa"/>
            <w:shd w:val="clear" w:color="auto" w:fill="D9E2F3" w:themeFill="accent1" w:themeFillTint="33"/>
            <w:noWrap/>
            <w:vAlign w:val="center"/>
            <w:hideMark/>
          </w:tcPr>
          <w:p w14:paraId="63D1F77C"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14.0%</w:t>
            </w:r>
          </w:p>
        </w:tc>
        <w:tc>
          <w:tcPr>
            <w:tcW w:w="1087" w:type="dxa"/>
            <w:shd w:val="clear" w:color="auto" w:fill="D9E2F3" w:themeFill="accent1" w:themeFillTint="33"/>
            <w:noWrap/>
            <w:vAlign w:val="center"/>
            <w:hideMark/>
          </w:tcPr>
          <w:p w14:paraId="09103534"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2.7%</w:t>
            </w:r>
          </w:p>
        </w:tc>
      </w:tr>
      <w:tr w:rsidR="00332C18" w:rsidRPr="00807E36" w14:paraId="27EFA96B" w14:textId="77777777" w:rsidTr="00B53529">
        <w:trPr>
          <w:trHeight w:val="600"/>
        </w:trPr>
        <w:tc>
          <w:tcPr>
            <w:tcW w:w="1559" w:type="dxa"/>
            <w:shd w:val="clear" w:color="auto" w:fill="auto"/>
            <w:noWrap/>
            <w:vAlign w:val="center"/>
            <w:hideMark/>
          </w:tcPr>
          <w:p w14:paraId="1D577C99"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Advanced</w:t>
            </w:r>
          </w:p>
        </w:tc>
        <w:tc>
          <w:tcPr>
            <w:tcW w:w="3402" w:type="dxa"/>
            <w:shd w:val="clear" w:color="auto" w:fill="auto"/>
            <w:noWrap/>
            <w:vAlign w:val="center"/>
            <w:hideMark/>
          </w:tcPr>
          <w:p w14:paraId="4053B3A7" w14:textId="77777777" w:rsidR="00332C18" w:rsidRPr="00807E36" w:rsidRDefault="00332C18" w:rsidP="00B53529">
            <w:pPr>
              <w:spacing w:line="240" w:lineRule="auto"/>
              <w:ind w:left="0"/>
              <w:rPr>
                <w:rFonts w:ascii="Century Gothic" w:eastAsia="Times New Roman" w:hAnsi="Century Gothic" w:cs="Times New Roman"/>
                <w:color w:val="000000"/>
                <w:sz w:val="16"/>
                <w:szCs w:val="16"/>
                <w:lang w:eastAsia="en-GB"/>
              </w:rPr>
            </w:pPr>
            <w:r>
              <w:rPr>
                <w:rFonts w:ascii="Century Gothic" w:eastAsia="Times New Roman" w:hAnsi="Century Gothic" w:cs="Times New Roman"/>
                <w:color w:val="000000"/>
                <w:sz w:val="16"/>
                <w:szCs w:val="16"/>
                <w:lang w:eastAsia="en-GB"/>
              </w:rPr>
              <w:t>Use any advance digital function (e.g. programming)</w:t>
            </w:r>
          </w:p>
        </w:tc>
        <w:tc>
          <w:tcPr>
            <w:tcW w:w="1087" w:type="dxa"/>
            <w:shd w:val="clear" w:color="auto" w:fill="auto"/>
            <w:noWrap/>
            <w:vAlign w:val="center"/>
            <w:hideMark/>
          </w:tcPr>
          <w:p w14:paraId="661FDEBD"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24.5%</w:t>
            </w:r>
          </w:p>
        </w:tc>
        <w:tc>
          <w:tcPr>
            <w:tcW w:w="1087" w:type="dxa"/>
            <w:shd w:val="clear" w:color="auto" w:fill="auto"/>
            <w:noWrap/>
            <w:vAlign w:val="center"/>
            <w:hideMark/>
          </w:tcPr>
          <w:p w14:paraId="6FB0E707"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70.8%</w:t>
            </w:r>
          </w:p>
        </w:tc>
        <w:tc>
          <w:tcPr>
            <w:tcW w:w="1087" w:type="dxa"/>
            <w:shd w:val="clear" w:color="auto" w:fill="auto"/>
            <w:noWrap/>
            <w:vAlign w:val="center"/>
            <w:hideMark/>
          </w:tcPr>
          <w:p w14:paraId="709BE6BC" w14:textId="77777777" w:rsidR="00332C18" w:rsidRPr="00807E36" w:rsidRDefault="00332C18" w:rsidP="00B53529">
            <w:pPr>
              <w:spacing w:line="240" w:lineRule="auto"/>
              <w:ind w:left="0"/>
              <w:jc w:val="center"/>
              <w:rPr>
                <w:rFonts w:ascii="Century Gothic" w:eastAsia="Times New Roman" w:hAnsi="Century Gothic" w:cs="Times New Roman"/>
                <w:color w:val="000000"/>
                <w:sz w:val="16"/>
                <w:szCs w:val="16"/>
                <w:lang w:eastAsia="en-GB"/>
              </w:rPr>
            </w:pPr>
            <w:r w:rsidRPr="00807E36">
              <w:rPr>
                <w:rFonts w:ascii="Century Gothic" w:eastAsia="Times New Roman" w:hAnsi="Century Gothic" w:cs="Times New Roman"/>
                <w:color w:val="000000"/>
                <w:sz w:val="16"/>
                <w:szCs w:val="16"/>
                <w:lang w:eastAsia="en-GB"/>
              </w:rPr>
              <w:t>4.8%</w:t>
            </w:r>
          </w:p>
        </w:tc>
      </w:tr>
    </w:tbl>
    <w:p w14:paraId="30432FBC" w14:textId="77777777" w:rsidR="00332C18" w:rsidRPr="00332C18" w:rsidRDefault="00332C18" w:rsidP="00332C18">
      <w:pPr>
        <w:pStyle w:val="ListParagraph"/>
        <w:rPr>
          <w:i/>
          <w:sz w:val="18"/>
        </w:rPr>
      </w:pPr>
      <w:r w:rsidRPr="00332C18">
        <w:rPr>
          <w:i/>
          <w:sz w:val="18"/>
        </w:rPr>
        <w:t>Source: 42 Aberdeen City Voice (Base = multiple)</w:t>
      </w:r>
    </w:p>
    <w:p w14:paraId="1C8B0C2D" w14:textId="77777777" w:rsidR="00332C18" w:rsidRDefault="00332C18" w:rsidP="00332C18">
      <w:pPr>
        <w:pStyle w:val="ListParagraph"/>
      </w:pPr>
    </w:p>
    <w:p w14:paraId="1D5EDBC3" w14:textId="77777777" w:rsidR="00332C18" w:rsidRPr="00C401AB" w:rsidRDefault="00332C18" w:rsidP="00332C18">
      <w:pPr>
        <w:pStyle w:val="ListParagraph"/>
      </w:pPr>
      <w:r w:rsidRPr="00332C18">
        <w:rPr>
          <w:b/>
        </w:rPr>
        <w:t>Basic Digital Skills</w:t>
      </w:r>
      <w:r w:rsidRPr="00C401AB">
        <w:t xml:space="preserve">: The tasks specified in the first five categories (managing information, communicating, transacting, problem solving and creating) are taken from the </w:t>
      </w:r>
      <w:hyperlink r:id="rId248" w:history="1">
        <w:r w:rsidRPr="00C401AB">
          <w:rPr>
            <w:rStyle w:val="Hyperlink"/>
          </w:rPr>
          <w:t>Basic Digital Skills</w:t>
        </w:r>
      </w:hyperlink>
      <w:r w:rsidRPr="00C401AB">
        <w:t xml:space="preserve"> measure.  This is a tool developed specifically to measure the level of digital skills of adults across the UK.  Based on this tool, those who could do one task in each of the five skills categories are classified as having “Basic Digital Skills”.  On this basis, 70.6% of respondents were identified as having Basic Digital Skills.  </w:t>
      </w:r>
    </w:p>
    <w:p w14:paraId="5B219145" w14:textId="77777777" w:rsidR="00332C18" w:rsidRPr="00332C18" w:rsidRDefault="00332C18" w:rsidP="00332C18">
      <w:pPr>
        <w:pStyle w:val="ListParagraph"/>
        <w:rPr>
          <w:b/>
        </w:rPr>
      </w:pPr>
    </w:p>
    <w:p w14:paraId="31CEDE35" w14:textId="77777777" w:rsidR="00332C18" w:rsidRPr="00C401AB" w:rsidRDefault="00332C18" w:rsidP="00332C18">
      <w:pPr>
        <w:pStyle w:val="ListParagraph"/>
      </w:pPr>
      <w:r w:rsidRPr="00332C18">
        <w:rPr>
          <w:b/>
        </w:rPr>
        <w:t>Age group</w:t>
      </w:r>
      <w:r w:rsidRPr="00C401AB">
        <w:t xml:space="preserve">:  While no significant difference in the proportion of those with Basic Digital Skills was found between males and females, there was a significant difference by age group.  The proportion of those with Basic Digital Skills was highest in those aged 35-54 years (85.8%) and lowest in those aged 65+ years (57.9%).  Figure 4.3 shows the proportion of those with and without Basic Digital Skills by age group. </w:t>
      </w:r>
    </w:p>
    <w:p w14:paraId="682F5E6F" w14:textId="77777777" w:rsidR="00332C18" w:rsidRPr="00C401AB" w:rsidRDefault="00332C18" w:rsidP="00332C18">
      <w:pPr>
        <w:pStyle w:val="ListParagraph"/>
      </w:pPr>
    </w:p>
    <w:p w14:paraId="7C46B797" w14:textId="77777777" w:rsidR="00332C18" w:rsidRPr="00332C18" w:rsidRDefault="00332C18" w:rsidP="00332C18">
      <w:pPr>
        <w:pStyle w:val="ListParagraph"/>
        <w:rPr>
          <w:b/>
        </w:rPr>
      </w:pPr>
      <w:r w:rsidRPr="00332C18">
        <w:rPr>
          <w:b/>
        </w:rPr>
        <w:lastRenderedPageBreak/>
        <w:tab/>
      </w:r>
    </w:p>
    <w:p w14:paraId="3FFE11F1" w14:textId="77777777" w:rsidR="00332C18" w:rsidRPr="00332C18" w:rsidRDefault="00332C18" w:rsidP="00332C18">
      <w:pPr>
        <w:pStyle w:val="ListParagraph"/>
        <w:rPr>
          <w:b/>
        </w:rPr>
      </w:pPr>
      <w:r w:rsidRPr="00C401AB">
        <w:rPr>
          <w:noProof/>
        </w:rPr>
        <w:drawing>
          <wp:inline distT="0" distB="0" distL="0" distR="0" wp14:anchorId="0EA1AD22" wp14:editId="42F23F52">
            <wp:extent cx="5067300" cy="2552368"/>
            <wp:effectExtent l="0" t="0" r="0" b="635"/>
            <wp:docPr id="199" name="Chart 199">
              <a:extLst xmlns:a="http://schemas.openxmlformats.org/drawingml/2006/main">
                <a:ext uri="{FF2B5EF4-FFF2-40B4-BE49-F238E27FC236}">
                  <a16:creationId xmlns:a16="http://schemas.microsoft.com/office/drawing/2014/main" id="{8C903927-635D-4968-88F4-93C0F9C997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inline>
        </w:drawing>
      </w:r>
    </w:p>
    <w:p w14:paraId="11032E95" w14:textId="77777777" w:rsidR="00332C18" w:rsidRDefault="00332C18" w:rsidP="00332C18">
      <w:pPr>
        <w:pStyle w:val="ListParagraph"/>
      </w:pPr>
      <w:r>
        <w:t>Source: City Voice 42</w:t>
      </w:r>
    </w:p>
    <w:p w14:paraId="421ED069" w14:textId="77777777" w:rsidR="00332C18" w:rsidRPr="00C401AB" w:rsidRDefault="00332C18" w:rsidP="00332C18">
      <w:pPr>
        <w:pStyle w:val="ListParagraph"/>
      </w:pPr>
      <w:r w:rsidRPr="00C401AB">
        <w:t>Base = 731</w:t>
      </w:r>
    </w:p>
    <w:p w14:paraId="332E3485" w14:textId="77777777" w:rsidR="00332C18" w:rsidRPr="00C401AB" w:rsidRDefault="00332C18" w:rsidP="00332C18">
      <w:pPr>
        <w:pStyle w:val="ListParagraph"/>
      </w:pPr>
    </w:p>
    <w:p w14:paraId="6A39EFFD" w14:textId="4BB89F24" w:rsidR="00E622BD" w:rsidRDefault="00E622BD" w:rsidP="00E622BD"/>
    <w:p w14:paraId="57910548" w14:textId="77777777" w:rsidR="004C324A" w:rsidRPr="004C324A" w:rsidRDefault="004C324A" w:rsidP="004C324A"/>
    <w:p w14:paraId="42E0F459" w14:textId="1E49DF14" w:rsidR="007369E0" w:rsidRDefault="007369E0" w:rsidP="007369E0">
      <w:pPr>
        <w:ind w:left="0"/>
      </w:pPr>
    </w:p>
    <w:p w14:paraId="09F84564" w14:textId="4C475428" w:rsidR="00022138" w:rsidRPr="00176291" w:rsidRDefault="007369E0" w:rsidP="00176291">
      <w:pPr>
        <w:pStyle w:val="ListParagraph"/>
        <w:numPr>
          <w:ilvl w:val="0"/>
          <w:numId w:val="4"/>
        </w:numPr>
        <w:rPr>
          <w:b/>
        </w:rPr>
      </w:pPr>
      <w:r w:rsidRPr="007369E0">
        <w:rPr>
          <w:b/>
        </w:rPr>
        <w:br w:type="page"/>
      </w:r>
    </w:p>
    <w:bookmarkStart w:id="144" w:name="_Toc519088676" w:displacedByCustomXml="next"/>
    <w:sdt>
      <w:sdtPr>
        <w:rPr>
          <w:rFonts w:asciiTheme="minorHAnsi" w:eastAsiaTheme="minorHAnsi" w:hAnsiTheme="minorHAnsi" w:cstheme="minorBidi"/>
          <w:color w:val="auto"/>
          <w:sz w:val="22"/>
          <w:szCs w:val="22"/>
        </w:rPr>
        <w:id w:val="-906144531"/>
        <w:docPartObj>
          <w:docPartGallery w:val="Bibliographies"/>
          <w:docPartUnique/>
        </w:docPartObj>
      </w:sdtPr>
      <w:sdtContent>
        <w:p w14:paraId="710025C4" w14:textId="2EB4B136" w:rsidR="008977EB" w:rsidRDefault="008977EB">
          <w:pPr>
            <w:pStyle w:val="Heading1"/>
          </w:pPr>
          <w:r>
            <w:t>References</w:t>
          </w:r>
          <w:bookmarkEnd w:id="144"/>
        </w:p>
        <w:sdt>
          <w:sdtPr>
            <w:id w:val="377827783"/>
            <w:bibliography/>
          </w:sdtPr>
          <w:sdtContent>
            <w:p w14:paraId="0DE713F0" w14:textId="77777777" w:rsidR="00D22E3D" w:rsidRDefault="008977EB" w:rsidP="00D22E3D">
              <w:pPr>
                <w:pStyle w:val="Bibliography"/>
                <w:rPr>
                  <w:noProof/>
                  <w:sz w:val="24"/>
                  <w:szCs w:val="24"/>
                </w:rPr>
              </w:pPr>
              <w:r>
                <w:fldChar w:fldCharType="begin"/>
              </w:r>
              <w:r>
                <w:instrText xml:space="preserve"> BIBLIOGRAPHY </w:instrText>
              </w:r>
              <w:r>
                <w:fldChar w:fldCharType="separate"/>
              </w:r>
              <w:r w:rsidR="00D22E3D">
                <w:rPr>
                  <w:noProof/>
                </w:rPr>
                <w:t xml:space="preserve">1. </w:t>
              </w:r>
              <w:r w:rsidR="00D22E3D">
                <w:rPr>
                  <w:b/>
                  <w:bCs/>
                  <w:noProof/>
                </w:rPr>
                <w:t>Scotland, National Records of.</w:t>
              </w:r>
              <w:r w:rsidR="00D22E3D">
                <w:rPr>
                  <w:noProof/>
                </w:rPr>
                <w:t xml:space="preserve"> Probable Suicides: Deaths which are the Result of Intentional Self-harm or Events of Undetermined Intent. </w:t>
              </w:r>
              <w:r w:rsidR="00D22E3D">
                <w:rPr>
                  <w:i/>
                  <w:iCs/>
                  <w:noProof/>
                </w:rPr>
                <w:t xml:space="preserve">National Records of Scotland. </w:t>
              </w:r>
              <w:r w:rsidR="00D22E3D">
                <w:rPr>
                  <w:noProof/>
                </w:rPr>
                <w:t>[Online] 5 June 2018. https://www.nrscotland.gov.uk/statistics-and-data/statistics/statistics-by-theme/vital-events/deaths/suicides/list-of-tables-and-chart.</w:t>
              </w:r>
            </w:p>
            <w:p w14:paraId="74F49302" w14:textId="77777777" w:rsidR="00D22E3D" w:rsidRDefault="00D22E3D" w:rsidP="00D22E3D">
              <w:pPr>
                <w:pStyle w:val="Bibliography"/>
                <w:rPr>
                  <w:noProof/>
                </w:rPr>
              </w:pPr>
              <w:r>
                <w:rPr>
                  <w:noProof/>
                </w:rPr>
                <w:t xml:space="preserve">2. </w:t>
              </w:r>
              <w:r>
                <w:rPr>
                  <w:b/>
                  <w:bCs/>
                  <w:noProof/>
                </w:rPr>
                <w:t>Government, Scottish.</w:t>
              </w:r>
              <w:r>
                <w:rPr>
                  <w:noProof/>
                </w:rPr>
                <w:t xml:space="preserve"> School Education. </w:t>
              </w:r>
              <w:r>
                <w:rPr>
                  <w:i/>
                  <w:iCs/>
                  <w:noProof/>
                </w:rPr>
                <w:t xml:space="preserve">Scottish Government. </w:t>
              </w:r>
              <w:r>
                <w:rPr>
                  <w:noProof/>
                </w:rPr>
                <w:t>[Online] 5 June 2018. [Cited: 5 June 2018.] http://www.gov.scot/Topics/Statistics/Browse/School-Education.</w:t>
              </w:r>
            </w:p>
            <w:p w14:paraId="2DB5B702" w14:textId="73BCD7EE" w:rsidR="008977EB" w:rsidRDefault="008977EB" w:rsidP="00D22E3D">
              <w:r>
                <w:rPr>
                  <w:b/>
                  <w:bCs/>
                  <w:noProof/>
                </w:rPr>
                <w:fldChar w:fldCharType="end"/>
              </w:r>
            </w:p>
          </w:sdtContent>
        </w:sdt>
      </w:sdtContent>
    </w:sdt>
    <w:p w14:paraId="52D4EDD5" w14:textId="77777777" w:rsidR="004A6195" w:rsidRDefault="004A6195" w:rsidP="004A6195"/>
    <w:sectPr w:rsidR="004A6195" w:rsidSect="00F35C0D">
      <w:footerReference w:type="default" r:id="rId250"/>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FDA0EE" w14:textId="77777777" w:rsidR="00175103" w:rsidRDefault="00175103" w:rsidP="00E61012">
      <w:pPr>
        <w:spacing w:line="240" w:lineRule="auto"/>
      </w:pPr>
      <w:r>
        <w:separator/>
      </w:r>
    </w:p>
  </w:endnote>
  <w:endnote w:type="continuationSeparator" w:id="0">
    <w:p w14:paraId="1E3A1A1F" w14:textId="77777777" w:rsidR="00175103" w:rsidRDefault="00175103" w:rsidP="00E61012">
      <w:pPr>
        <w:spacing w:line="240" w:lineRule="auto"/>
      </w:pPr>
      <w:r>
        <w:continuationSeparator/>
      </w:r>
    </w:p>
  </w:endnote>
  <w:endnote w:id="1">
    <w:p w14:paraId="4600A543" w14:textId="51BAAE30" w:rsidR="00175103" w:rsidRPr="00872523" w:rsidRDefault="00175103" w:rsidP="00872523">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Bembo">
    <w:charset w:val="00"/>
    <w:family w:val="roman"/>
    <w:pitch w:val="variable"/>
    <w:sig w:usb0="80000003" w:usb1="00000000" w:usb2="00000000" w:usb3="00000000" w:csb0="00000001" w:csb1="00000000"/>
  </w:font>
  <w:font w:name="OpenSans-Light">
    <w:altName w:val="Calibri"/>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50945905"/>
      <w:docPartObj>
        <w:docPartGallery w:val="Page Numbers (Bottom of Page)"/>
        <w:docPartUnique/>
      </w:docPartObj>
    </w:sdtPr>
    <w:sdtEndPr>
      <w:rPr>
        <w:noProof/>
      </w:rPr>
    </w:sdtEndPr>
    <w:sdtContent>
      <w:p w14:paraId="4DDD4533" w14:textId="1A07171B" w:rsidR="00175103" w:rsidRDefault="00175103">
        <w:pPr>
          <w:pStyle w:val="Footer"/>
          <w:jc w:val="center"/>
        </w:pPr>
        <w:r>
          <w:fldChar w:fldCharType="begin"/>
        </w:r>
        <w:r>
          <w:instrText xml:space="preserve"> PAGE   \* MERGEFORMAT </w:instrText>
        </w:r>
        <w:r>
          <w:fldChar w:fldCharType="separate"/>
        </w:r>
        <w:r w:rsidR="00244CEA">
          <w:rPr>
            <w:noProof/>
          </w:rPr>
          <w:t>1</w:t>
        </w:r>
        <w:r>
          <w:rPr>
            <w:noProof/>
          </w:rPr>
          <w:fldChar w:fldCharType="end"/>
        </w:r>
      </w:p>
    </w:sdtContent>
  </w:sdt>
  <w:p w14:paraId="25665560" w14:textId="77777777" w:rsidR="00175103" w:rsidRDefault="00175103">
    <w:pPr>
      <w:pStyle w:val="Footer"/>
    </w:pPr>
  </w:p>
  <w:p w14:paraId="7ADF17E7" w14:textId="77777777" w:rsidR="00175103" w:rsidRDefault="0017510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C96068" w14:textId="619F1C81" w:rsidR="00175103" w:rsidRDefault="00175103">
    <w:pPr>
      <w:pStyle w:val="Footer"/>
    </w:pPr>
  </w:p>
  <w:p w14:paraId="1822AE10" w14:textId="1B476A9F" w:rsidR="00175103" w:rsidRDefault="00175103" w:rsidP="00E035F5">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80DD5C" w14:textId="1F61B3F5" w:rsidR="00175103" w:rsidRDefault="00175103" w:rsidP="00AB4BDE">
    <w:pPr>
      <w:pStyle w:val="Footer"/>
      <w:ind w:hanging="720"/>
    </w:pPr>
    <w:r>
      <w:t xml:space="preserve"> Executive Summary page </w:t>
    </w:r>
    <w:sdt>
      <w:sdtPr>
        <w:id w:val="-190112413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244CEA">
          <w:rPr>
            <w:noProof/>
          </w:rPr>
          <w:t>11</w:t>
        </w:r>
        <w:r>
          <w:rPr>
            <w:noProof/>
          </w:rPr>
          <w:fldChar w:fldCharType="end"/>
        </w:r>
      </w:sdtContent>
    </w:sdt>
  </w:p>
  <w:p w14:paraId="60B8F6D3" w14:textId="77777777" w:rsidR="00175103" w:rsidRDefault="00175103" w:rsidP="00E035F5">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71706863"/>
      <w:docPartObj>
        <w:docPartGallery w:val="Page Numbers (Bottom of Page)"/>
        <w:docPartUnique/>
      </w:docPartObj>
    </w:sdtPr>
    <w:sdtEndPr>
      <w:rPr>
        <w:noProof/>
      </w:rPr>
    </w:sdtEndPr>
    <w:sdtContent>
      <w:p w14:paraId="3FF0E212" w14:textId="6FC46952" w:rsidR="00175103" w:rsidRDefault="00175103">
        <w:pPr>
          <w:pStyle w:val="Footer"/>
          <w:jc w:val="center"/>
        </w:pPr>
        <w:r>
          <w:fldChar w:fldCharType="begin"/>
        </w:r>
        <w:r>
          <w:instrText xml:space="preserve"> PAGE   \* MERGEFORMAT </w:instrText>
        </w:r>
        <w:r>
          <w:fldChar w:fldCharType="separate"/>
        </w:r>
        <w:r w:rsidR="00244CEA">
          <w:rPr>
            <w:noProof/>
          </w:rPr>
          <w:t>8</w:t>
        </w:r>
        <w:r>
          <w:rPr>
            <w:noProof/>
          </w:rPr>
          <w:fldChar w:fldCharType="end"/>
        </w:r>
      </w:p>
    </w:sdtContent>
  </w:sdt>
  <w:p w14:paraId="171D9539" w14:textId="77777777" w:rsidR="00175103" w:rsidRDefault="001751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E83AB6" w14:textId="77777777" w:rsidR="00175103" w:rsidRDefault="00175103" w:rsidP="00E61012">
      <w:pPr>
        <w:spacing w:line="240" w:lineRule="auto"/>
      </w:pPr>
      <w:r>
        <w:separator/>
      </w:r>
    </w:p>
  </w:footnote>
  <w:footnote w:type="continuationSeparator" w:id="0">
    <w:p w14:paraId="6BCC39E9" w14:textId="77777777" w:rsidR="00175103" w:rsidRDefault="00175103" w:rsidP="00E61012">
      <w:pPr>
        <w:spacing w:line="240" w:lineRule="auto"/>
      </w:pPr>
      <w:r>
        <w:continuationSeparator/>
      </w:r>
    </w:p>
  </w:footnote>
  <w:footnote w:id="1">
    <w:p w14:paraId="1CDE2002" w14:textId="77777777" w:rsidR="00175103" w:rsidRPr="00605EBC" w:rsidRDefault="00175103" w:rsidP="00605EBC">
      <w:pPr>
        <w:rPr>
          <w:sz w:val="16"/>
          <w:szCs w:val="16"/>
        </w:rPr>
      </w:pPr>
      <w:r>
        <w:rPr>
          <w:rStyle w:val="FootnoteReference"/>
        </w:rPr>
        <w:footnoteRef/>
      </w:r>
      <w:r>
        <w:t xml:space="preserve"> </w:t>
      </w:r>
      <w:r w:rsidRPr="00605EBC">
        <w:rPr>
          <w:sz w:val="16"/>
          <w:szCs w:val="16"/>
        </w:rPr>
        <w:t xml:space="preserve">While ‘household’ refers to people living together in a dwelling, ‘dwelling’ refers to the accommodation itself, e.g. a house or a flat. The number of dwellings will not necessarily match the number of households as, for example, some dwellings may be vacant or more than one household may live in a single dwelling.  </w:t>
      </w:r>
    </w:p>
    <w:p w14:paraId="1C3F9FE7" w14:textId="48FC949D" w:rsidR="00175103" w:rsidRPr="00605EBC" w:rsidRDefault="00175103">
      <w:pPr>
        <w:pStyle w:val="FootnoteText"/>
        <w:rPr>
          <w:lang w:val="en-GB"/>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B697B3" w14:textId="40AE7540" w:rsidR="00175103" w:rsidRDefault="00175103">
    <w:pPr>
      <w:pStyle w:val="Header"/>
      <w:jc w:val="center"/>
    </w:pPr>
  </w:p>
  <w:p w14:paraId="3D7212D7" w14:textId="77777777" w:rsidR="00175103" w:rsidRDefault="00175103">
    <w:pPr>
      <w:pStyle w:val="Header"/>
    </w:pPr>
  </w:p>
  <w:p w14:paraId="619D9DEB" w14:textId="77777777" w:rsidR="00175103" w:rsidRDefault="0017510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7150B3" w14:textId="77777777" w:rsidR="00175103" w:rsidRPr="00E035F5" w:rsidRDefault="00175103" w:rsidP="00E035F5">
    <w:pPr>
      <w:pStyle w:val="Heade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808F8"/>
    <w:multiLevelType w:val="hybridMultilevel"/>
    <w:tmpl w:val="95C08D2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AC3F93"/>
    <w:multiLevelType w:val="hybridMultilevel"/>
    <w:tmpl w:val="65D2A7E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111179BF"/>
    <w:multiLevelType w:val="hybridMultilevel"/>
    <w:tmpl w:val="D47A019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12074669"/>
    <w:multiLevelType w:val="hybridMultilevel"/>
    <w:tmpl w:val="FC4220DC"/>
    <w:lvl w:ilvl="0" w:tplc="6EC4EEFC">
      <w:start w:val="1"/>
      <w:numFmt w:val="decimal"/>
      <w:lvlText w:val="%1"/>
      <w:lvlJc w:val="left"/>
      <w:pPr>
        <w:ind w:left="2564" w:hanging="720"/>
      </w:pPr>
      <w:rPr>
        <w:rFonts w:hint="default"/>
      </w:rPr>
    </w:lvl>
    <w:lvl w:ilvl="1" w:tplc="08090019" w:tentative="1">
      <w:start w:val="1"/>
      <w:numFmt w:val="lowerLetter"/>
      <w:lvlText w:val="%2."/>
      <w:lvlJc w:val="left"/>
      <w:pPr>
        <w:ind w:left="2924" w:hanging="360"/>
      </w:pPr>
    </w:lvl>
    <w:lvl w:ilvl="2" w:tplc="0809001B" w:tentative="1">
      <w:start w:val="1"/>
      <w:numFmt w:val="lowerRoman"/>
      <w:lvlText w:val="%3."/>
      <w:lvlJc w:val="right"/>
      <w:pPr>
        <w:ind w:left="3644" w:hanging="180"/>
      </w:pPr>
    </w:lvl>
    <w:lvl w:ilvl="3" w:tplc="0809000F" w:tentative="1">
      <w:start w:val="1"/>
      <w:numFmt w:val="decimal"/>
      <w:lvlText w:val="%4."/>
      <w:lvlJc w:val="left"/>
      <w:pPr>
        <w:ind w:left="4364" w:hanging="360"/>
      </w:pPr>
    </w:lvl>
    <w:lvl w:ilvl="4" w:tplc="08090019" w:tentative="1">
      <w:start w:val="1"/>
      <w:numFmt w:val="lowerLetter"/>
      <w:lvlText w:val="%5."/>
      <w:lvlJc w:val="left"/>
      <w:pPr>
        <w:ind w:left="5084" w:hanging="360"/>
      </w:pPr>
    </w:lvl>
    <w:lvl w:ilvl="5" w:tplc="0809001B" w:tentative="1">
      <w:start w:val="1"/>
      <w:numFmt w:val="lowerRoman"/>
      <w:lvlText w:val="%6."/>
      <w:lvlJc w:val="right"/>
      <w:pPr>
        <w:ind w:left="5804" w:hanging="180"/>
      </w:pPr>
    </w:lvl>
    <w:lvl w:ilvl="6" w:tplc="0809000F" w:tentative="1">
      <w:start w:val="1"/>
      <w:numFmt w:val="decimal"/>
      <w:lvlText w:val="%7."/>
      <w:lvlJc w:val="left"/>
      <w:pPr>
        <w:ind w:left="6524" w:hanging="360"/>
      </w:pPr>
    </w:lvl>
    <w:lvl w:ilvl="7" w:tplc="08090019" w:tentative="1">
      <w:start w:val="1"/>
      <w:numFmt w:val="lowerLetter"/>
      <w:lvlText w:val="%8."/>
      <w:lvlJc w:val="left"/>
      <w:pPr>
        <w:ind w:left="7244" w:hanging="360"/>
      </w:pPr>
    </w:lvl>
    <w:lvl w:ilvl="8" w:tplc="0809001B" w:tentative="1">
      <w:start w:val="1"/>
      <w:numFmt w:val="lowerRoman"/>
      <w:lvlText w:val="%9."/>
      <w:lvlJc w:val="right"/>
      <w:pPr>
        <w:ind w:left="7964" w:hanging="180"/>
      </w:pPr>
    </w:lvl>
  </w:abstractNum>
  <w:abstractNum w:abstractNumId="4" w15:restartNumberingAfterBreak="0">
    <w:nsid w:val="158C5608"/>
    <w:multiLevelType w:val="hybridMultilevel"/>
    <w:tmpl w:val="48821390"/>
    <w:lvl w:ilvl="0" w:tplc="E8B60B2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6A31A94"/>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96E3C30"/>
    <w:multiLevelType w:val="hybridMultilevel"/>
    <w:tmpl w:val="87487A7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1CE402B9"/>
    <w:multiLevelType w:val="hybridMultilevel"/>
    <w:tmpl w:val="580C40BC"/>
    <w:lvl w:ilvl="0" w:tplc="F6B4FB72">
      <w:start w:val="1"/>
      <w:numFmt w:val="decimal"/>
      <w:lvlText w:val="%1)"/>
      <w:lvlJc w:val="left"/>
      <w:pPr>
        <w:ind w:left="360" w:hanging="360"/>
      </w:pPr>
      <w:rPr>
        <w:rFonts w:hint="default"/>
        <w:b w:val="0"/>
        <w:sz w:val="16"/>
        <w:szCs w:val="16"/>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21544A6A"/>
    <w:multiLevelType w:val="hybridMultilevel"/>
    <w:tmpl w:val="2C8A1C20"/>
    <w:lvl w:ilvl="0" w:tplc="08090001">
      <w:start w:val="1"/>
      <w:numFmt w:val="bullet"/>
      <w:lvlText w:val=""/>
      <w:lvlJc w:val="left"/>
      <w:pPr>
        <w:tabs>
          <w:tab w:val="num" w:pos="1080"/>
        </w:tabs>
        <w:ind w:left="1080" w:hanging="360"/>
      </w:pPr>
      <w:rPr>
        <w:rFonts w:ascii="Symbol" w:hAnsi="Symbol" w:hint="default"/>
        <w:b/>
        <w:i w:val="0"/>
        <w:sz w:val="20"/>
      </w:rPr>
    </w:lvl>
    <w:lvl w:ilvl="1" w:tplc="08090003" w:tentative="1">
      <w:start w:val="1"/>
      <w:numFmt w:val="bullet"/>
      <w:lvlText w:val="o"/>
      <w:lvlJc w:val="left"/>
      <w:pPr>
        <w:tabs>
          <w:tab w:val="num" w:pos="2073"/>
        </w:tabs>
        <w:ind w:left="2073" w:hanging="360"/>
      </w:pPr>
      <w:rPr>
        <w:rFonts w:ascii="Courier New" w:hAnsi="Courier New" w:cs="Courier New" w:hint="default"/>
      </w:rPr>
    </w:lvl>
    <w:lvl w:ilvl="2" w:tplc="08090005" w:tentative="1">
      <w:start w:val="1"/>
      <w:numFmt w:val="bullet"/>
      <w:lvlText w:val=""/>
      <w:lvlJc w:val="left"/>
      <w:pPr>
        <w:tabs>
          <w:tab w:val="num" w:pos="2793"/>
        </w:tabs>
        <w:ind w:left="2793" w:hanging="360"/>
      </w:pPr>
      <w:rPr>
        <w:rFonts w:ascii="Wingdings" w:hAnsi="Wingdings" w:hint="default"/>
      </w:rPr>
    </w:lvl>
    <w:lvl w:ilvl="3" w:tplc="08090001" w:tentative="1">
      <w:start w:val="1"/>
      <w:numFmt w:val="bullet"/>
      <w:lvlText w:val=""/>
      <w:lvlJc w:val="left"/>
      <w:pPr>
        <w:tabs>
          <w:tab w:val="num" w:pos="3513"/>
        </w:tabs>
        <w:ind w:left="3513" w:hanging="360"/>
      </w:pPr>
      <w:rPr>
        <w:rFonts w:ascii="Symbol" w:hAnsi="Symbol" w:hint="default"/>
      </w:rPr>
    </w:lvl>
    <w:lvl w:ilvl="4" w:tplc="08090003" w:tentative="1">
      <w:start w:val="1"/>
      <w:numFmt w:val="bullet"/>
      <w:lvlText w:val="o"/>
      <w:lvlJc w:val="left"/>
      <w:pPr>
        <w:tabs>
          <w:tab w:val="num" w:pos="4233"/>
        </w:tabs>
        <w:ind w:left="4233" w:hanging="360"/>
      </w:pPr>
      <w:rPr>
        <w:rFonts w:ascii="Courier New" w:hAnsi="Courier New" w:cs="Courier New" w:hint="default"/>
      </w:rPr>
    </w:lvl>
    <w:lvl w:ilvl="5" w:tplc="08090005" w:tentative="1">
      <w:start w:val="1"/>
      <w:numFmt w:val="bullet"/>
      <w:lvlText w:val=""/>
      <w:lvlJc w:val="left"/>
      <w:pPr>
        <w:tabs>
          <w:tab w:val="num" w:pos="4953"/>
        </w:tabs>
        <w:ind w:left="4953" w:hanging="360"/>
      </w:pPr>
      <w:rPr>
        <w:rFonts w:ascii="Wingdings" w:hAnsi="Wingdings" w:hint="default"/>
      </w:rPr>
    </w:lvl>
    <w:lvl w:ilvl="6" w:tplc="08090001" w:tentative="1">
      <w:start w:val="1"/>
      <w:numFmt w:val="bullet"/>
      <w:lvlText w:val=""/>
      <w:lvlJc w:val="left"/>
      <w:pPr>
        <w:tabs>
          <w:tab w:val="num" w:pos="5673"/>
        </w:tabs>
        <w:ind w:left="5673" w:hanging="360"/>
      </w:pPr>
      <w:rPr>
        <w:rFonts w:ascii="Symbol" w:hAnsi="Symbol" w:hint="default"/>
      </w:rPr>
    </w:lvl>
    <w:lvl w:ilvl="7" w:tplc="08090003" w:tentative="1">
      <w:start w:val="1"/>
      <w:numFmt w:val="bullet"/>
      <w:lvlText w:val="o"/>
      <w:lvlJc w:val="left"/>
      <w:pPr>
        <w:tabs>
          <w:tab w:val="num" w:pos="6393"/>
        </w:tabs>
        <w:ind w:left="6393" w:hanging="360"/>
      </w:pPr>
      <w:rPr>
        <w:rFonts w:ascii="Courier New" w:hAnsi="Courier New" w:cs="Courier New" w:hint="default"/>
      </w:rPr>
    </w:lvl>
    <w:lvl w:ilvl="8" w:tplc="08090005" w:tentative="1">
      <w:start w:val="1"/>
      <w:numFmt w:val="bullet"/>
      <w:lvlText w:val=""/>
      <w:lvlJc w:val="left"/>
      <w:pPr>
        <w:tabs>
          <w:tab w:val="num" w:pos="7113"/>
        </w:tabs>
        <w:ind w:left="7113" w:hanging="360"/>
      </w:pPr>
      <w:rPr>
        <w:rFonts w:ascii="Wingdings" w:hAnsi="Wingdings" w:hint="default"/>
      </w:rPr>
    </w:lvl>
  </w:abstractNum>
  <w:abstractNum w:abstractNumId="9" w15:restartNumberingAfterBreak="0">
    <w:nsid w:val="22C40219"/>
    <w:multiLevelType w:val="hybridMultilevel"/>
    <w:tmpl w:val="2C42456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26636C10"/>
    <w:multiLevelType w:val="multilevel"/>
    <w:tmpl w:val="F04C47B8"/>
    <w:lvl w:ilvl="0">
      <w:start w:val="1"/>
      <w:numFmt w:val="bullet"/>
      <w:lvlText w:val=""/>
      <w:lvlJc w:val="left"/>
      <w:pPr>
        <w:tabs>
          <w:tab w:val="num" w:pos="1069"/>
        </w:tabs>
        <w:ind w:left="1069" w:hanging="360"/>
      </w:pPr>
      <w:rPr>
        <w:rFonts w:ascii="Symbol" w:hAnsi="Symbol" w:hint="default"/>
      </w:rPr>
    </w:lvl>
    <w:lvl w:ilvl="1">
      <w:start w:val="4"/>
      <w:numFmt w:val="decimal"/>
      <w:isLgl/>
      <w:lvlText w:val="%1.%2"/>
      <w:lvlJc w:val="left"/>
      <w:pPr>
        <w:tabs>
          <w:tab w:val="num" w:pos="1429"/>
        </w:tabs>
        <w:ind w:left="1429" w:hanging="720"/>
      </w:pPr>
      <w:rPr>
        <w:rFonts w:hint="default"/>
      </w:rPr>
    </w:lvl>
    <w:lvl w:ilvl="2">
      <w:start w:val="1"/>
      <w:numFmt w:val="decimal"/>
      <w:isLgl/>
      <w:lvlText w:val="%1.%2.%3"/>
      <w:lvlJc w:val="left"/>
      <w:pPr>
        <w:tabs>
          <w:tab w:val="num" w:pos="1069"/>
        </w:tabs>
        <w:ind w:left="1069" w:hanging="720"/>
      </w:pPr>
      <w:rPr>
        <w:rFonts w:hint="default"/>
      </w:rPr>
    </w:lvl>
    <w:lvl w:ilvl="3">
      <w:start w:val="1"/>
      <w:numFmt w:val="decimal"/>
      <w:isLgl/>
      <w:lvlText w:val="%1.%2.%3.%4"/>
      <w:lvlJc w:val="left"/>
      <w:pPr>
        <w:tabs>
          <w:tab w:val="num" w:pos="1789"/>
        </w:tabs>
        <w:ind w:left="1789" w:hanging="1080"/>
      </w:pPr>
      <w:rPr>
        <w:rFonts w:hint="default"/>
      </w:rPr>
    </w:lvl>
    <w:lvl w:ilvl="4">
      <w:start w:val="1"/>
      <w:numFmt w:val="decimal"/>
      <w:isLgl/>
      <w:lvlText w:val="%1.%2.%3.%4.%5"/>
      <w:lvlJc w:val="left"/>
      <w:pPr>
        <w:tabs>
          <w:tab w:val="num" w:pos="1789"/>
        </w:tabs>
        <w:ind w:left="1789" w:hanging="1080"/>
      </w:pPr>
      <w:rPr>
        <w:rFonts w:hint="default"/>
      </w:rPr>
    </w:lvl>
    <w:lvl w:ilvl="5">
      <w:start w:val="1"/>
      <w:numFmt w:val="decimal"/>
      <w:isLgl/>
      <w:lvlText w:val="%1.%2.%3.%4.%5.%6"/>
      <w:lvlJc w:val="left"/>
      <w:pPr>
        <w:tabs>
          <w:tab w:val="num" w:pos="2149"/>
        </w:tabs>
        <w:ind w:left="2149" w:hanging="1440"/>
      </w:pPr>
      <w:rPr>
        <w:rFonts w:hint="default"/>
      </w:rPr>
    </w:lvl>
    <w:lvl w:ilvl="6">
      <w:start w:val="1"/>
      <w:numFmt w:val="decimal"/>
      <w:isLgl/>
      <w:lvlText w:val="%1.%2.%3.%4.%5.%6.%7"/>
      <w:lvlJc w:val="left"/>
      <w:pPr>
        <w:tabs>
          <w:tab w:val="num" w:pos="2149"/>
        </w:tabs>
        <w:ind w:left="2149" w:hanging="1440"/>
      </w:pPr>
      <w:rPr>
        <w:rFonts w:hint="default"/>
      </w:rPr>
    </w:lvl>
    <w:lvl w:ilvl="7">
      <w:start w:val="1"/>
      <w:numFmt w:val="decimal"/>
      <w:isLgl/>
      <w:lvlText w:val="%1.%2.%3.%4.%5.%6.%7.%8"/>
      <w:lvlJc w:val="left"/>
      <w:pPr>
        <w:tabs>
          <w:tab w:val="num" w:pos="2509"/>
        </w:tabs>
        <w:ind w:left="2509" w:hanging="1800"/>
      </w:pPr>
      <w:rPr>
        <w:rFonts w:hint="default"/>
      </w:rPr>
    </w:lvl>
    <w:lvl w:ilvl="8">
      <w:start w:val="1"/>
      <w:numFmt w:val="decimal"/>
      <w:isLgl/>
      <w:lvlText w:val="%1.%2.%3.%4.%5.%6.%7.%8.%9"/>
      <w:lvlJc w:val="left"/>
      <w:pPr>
        <w:tabs>
          <w:tab w:val="num" w:pos="2509"/>
        </w:tabs>
        <w:ind w:left="2509" w:hanging="1800"/>
      </w:pPr>
      <w:rPr>
        <w:rFonts w:hint="default"/>
      </w:rPr>
    </w:lvl>
  </w:abstractNum>
  <w:abstractNum w:abstractNumId="11" w15:restartNumberingAfterBreak="0">
    <w:nsid w:val="279947EA"/>
    <w:multiLevelType w:val="hybridMultilevel"/>
    <w:tmpl w:val="36C6C2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7B32740"/>
    <w:multiLevelType w:val="hybridMultilevel"/>
    <w:tmpl w:val="00FE62A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2B162FE9"/>
    <w:multiLevelType w:val="multilevel"/>
    <w:tmpl w:val="EABCDF2E"/>
    <w:lvl w:ilvl="0">
      <w:start w:val="1"/>
      <w:numFmt w:val="decimal"/>
      <w:lvlText w:val="%1."/>
      <w:lvlJc w:val="left"/>
      <w:pPr>
        <w:ind w:left="360" w:hanging="360"/>
      </w:pPr>
      <w:rPr>
        <w:rFonts w:hint="default"/>
      </w:rPr>
    </w:lvl>
    <w:lvl w:ilvl="1">
      <w:start w:val="1"/>
      <w:numFmt w:val="decimal"/>
      <w:lvlText w:val="%1.%2."/>
      <w:lvlJc w:val="left"/>
      <w:pPr>
        <w:ind w:left="737" w:hanging="737"/>
      </w:pPr>
      <w:rPr>
        <w:rFonts w:hint="default"/>
        <w:b w:val="0"/>
      </w:rPr>
    </w:lvl>
    <w:lvl w:ilvl="2">
      <w:start w:val="1"/>
      <w:numFmt w:val="decimal"/>
      <w:lvlText w:val="%1.%2.%3."/>
      <w:lvlJc w:val="left"/>
      <w:pPr>
        <w:ind w:left="1224" w:hanging="504"/>
      </w:pPr>
      <w:rPr>
        <w:rFonts w:ascii="Calibri" w:hAnsi="Calibri" w:hint="default"/>
        <w:b/>
        <w:color w:val="auto"/>
        <w:sz w:val="22"/>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2C777A1C"/>
    <w:multiLevelType w:val="hybridMultilevel"/>
    <w:tmpl w:val="116A7FC2"/>
    <w:lvl w:ilvl="0" w:tplc="32F41B20">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02D5C3A"/>
    <w:multiLevelType w:val="hybridMultilevel"/>
    <w:tmpl w:val="D88CF34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3A825C92"/>
    <w:multiLevelType w:val="hybridMultilevel"/>
    <w:tmpl w:val="40E27EA4"/>
    <w:lvl w:ilvl="0" w:tplc="D3FCFC12">
      <w:start w:val="1"/>
      <w:numFmt w:val="decimal"/>
      <w:lvlText w:val="%1."/>
      <w:lvlJc w:val="left"/>
      <w:pPr>
        <w:ind w:left="72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D523C4D"/>
    <w:multiLevelType w:val="hybridMultilevel"/>
    <w:tmpl w:val="1D4AEC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48D2B1F"/>
    <w:multiLevelType w:val="hybridMultilevel"/>
    <w:tmpl w:val="1736D26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474F5350"/>
    <w:multiLevelType w:val="hybridMultilevel"/>
    <w:tmpl w:val="B770E17E"/>
    <w:lvl w:ilvl="0" w:tplc="31ECBA56">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7D8796A"/>
    <w:multiLevelType w:val="hybridMultilevel"/>
    <w:tmpl w:val="60E011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A7E0E8A"/>
    <w:multiLevelType w:val="hybridMultilevel"/>
    <w:tmpl w:val="EBD844A8"/>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2" w15:restartNumberingAfterBreak="0">
    <w:nsid w:val="4EE440DE"/>
    <w:multiLevelType w:val="hybridMultilevel"/>
    <w:tmpl w:val="4954B1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527476F3"/>
    <w:multiLevelType w:val="hybridMultilevel"/>
    <w:tmpl w:val="56429A5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4" w15:restartNumberingAfterBreak="0">
    <w:nsid w:val="59A84BA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D041A7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FF20899"/>
    <w:multiLevelType w:val="hybridMultilevel"/>
    <w:tmpl w:val="FFB68F2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6C4440FF"/>
    <w:multiLevelType w:val="multilevel"/>
    <w:tmpl w:val="54A47C38"/>
    <w:lvl w:ilvl="0">
      <w:start w:val="1"/>
      <w:numFmt w:val="decimal"/>
      <w:lvlText w:val="%1."/>
      <w:lvlJc w:val="left"/>
      <w:pPr>
        <w:ind w:left="720" w:hanging="720"/>
      </w:pPr>
      <w:rPr>
        <w:rFonts w:hint="default"/>
      </w:rPr>
    </w:lvl>
    <w:lvl w:ilvl="1">
      <w:start w:val="1"/>
      <w:numFmt w:val="decimal"/>
      <w:isLgl/>
      <w:lvlText w:val="%1.%2"/>
      <w:lvlJc w:val="left"/>
      <w:pPr>
        <w:ind w:left="720" w:hanging="720"/>
      </w:pPr>
      <w:rPr>
        <w:rFonts w:asciiTheme="majorHAnsi" w:hAnsiTheme="majorHAnsi" w:hint="default"/>
      </w:rPr>
    </w:lvl>
    <w:lvl w:ilvl="2">
      <w:start w:val="1"/>
      <w:numFmt w:val="decimal"/>
      <w:isLgl/>
      <w:lvlText w:val="%1.%2.%3"/>
      <w:lvlJc w:val="left"/>
      <w:pPr>
        <w:ind w:left="720" w:hanging="720"/>
      </w:pPr>
      <w:rPr>
        <w:rFonts w:asciiTheme="majorHAnsi" w:hAnsiTheme="majorHAnsi" w:hint="default"/>
        <w:b w:val="0"/>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8" w15:restartNumberingAfterBreak="0">
    <w:nsid w:val="6F7E0DB5"/>
    <w:multiLevelType w:val="hybridMultilevel"/>
    <w:tmpl w:val="1AEC0EB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9" w15:restartNumberingAfterBreak="0">
    <w:nsid w:val="73667370"/>
    <w:multiLevelType w:val="hybridMultilevel"/>
    <w:tmpl w:val="E0409F5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 w15:restartNumberingAfterBreak="0">
    <w:nsid w:val="75C97309"/>
    <w:multiLevelType w:val="hybridMultilevel"/>
    <w:tmpl w:val="1B3E849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1" w15:restartNumberingAfterBreak="0">
    <w:nsid w:val="782D349E"/>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B594D1A"/>
    <w:multiLevelType w:val="hybridMultilevel"/>
    <w:tmpl w:val="52BEA09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7C6D292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1"/>
  </w:num>
  <w:num w:numId="2">
    <w:abstractNumId w:val="31"/>
  </w:num>
  <w:num w:numId="3">
    <w:abstractNumId w:val="16"/>
  </w:num>
  <w:num w:numId="4">
    <w:abstractNumId w:val="27"/>
  </w:num>
  <w:num w:numId="5">
    <w:abstractNumId w:val="25"/>
  </w:num>
  <w:num w:numId="6">
    <w:abstractNumId w:val="5"/>
  </w:num>
  <w:num w:numId="7">
    <w:abstractNumId w:val="24"/>
  </w:num>
  <w:num w:numId="8">
    <w:abstractNumId w:val="33"/>
  </w:num>
  <w:num w:numId="9">
    <w:abstractNumId w:val="0"/>
  </w:num>
  <w:num w:numId="10">
    <w:abstractNumId w:val="7"/>
  </w:num>
  <w:num w:numId="11">
    <w:abstractNumId w:val="17"/>
  </w:num>
  <w:num w:numId="12">
    <w:abstractNumId w:val="6"/>
  </w:num>
  <w:num w:numId="13">
    <w:abstractNumId w:val="23"/>
  </w:num>
  <w:num w:numId="14">
    <w:abstractNumId w:val="28"/>
  </w:num>
  <w:num w:numId="15">
    <w:abstractNumId w:val="19"/>
  </w:num>
  <w:num w:numId="16">
    <w:abstractNumId w:val="8"/>
  </w:num>
  <w:num w:numId="17">
    <w:abstractNumId w:val="10"/>
  </w:num>
  <w:num w:numId="18">
    <w:abstractNumId w:val="15"/>
  </w:num>
  <w:num w:numId="19">
    <w:abstractNumId w:val="9"/>
  </w:num>
  <w:num w:numId="20">
    <w:abstractNumId w:val="32"/>
  </w:num>
  <w:num w:numId="21">
    <w:abstractNumId w:val="20"/>
  </w:num>
  <w:num w:numId="22">
    <w:abstractNumId w:val="21"/>
  </w:num>
  <w:num w:numId="23">
    <w:abstractNumId w:val="30"/>
  </w:num>
  <w:num w:numId="24">
    <w:abstractNumId w:val="12"/>
  </w:num>
  <w:num w:numId="25">
    <w:abstractNumId w:val="14"/>
  </w:num>
  <w:num w:numId="26">
    <w:abstractNumId w:val="22"/>
  </w:num>
  <w:num w:numId="27">
    <w:abstractNumId w:val="2"/>
  </w:num>
  <w:num w:numId="28">
    <w:abstractNumId w:val="1"/>
  </w:num>
  <w:num w:numId="29">
    <w:abstractNumId w:val="29"/>
  </w:num>
  <w:num w:numId="30">
    <w:abstractNumId w:val="26"/>
  </w:num>
  <w:num w:numId="31">
    <w:abstractNumId w:val="18"/>
  </w:num>
  <w:num w:numId="32">
    <w:abstractNumId w:val="13"/>
  </w:num>
  <w:num w:numId="33">
    <w:abstractNumId w:val="4"/>
  </w:num>
  <w:num w:numId="3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defaultTabStop w:val="720"/>
  <w:characterSpacingControl w:val="doNotCompress"/>
  <w:hdrShapeDefaults>
    <o:shapedefaults v:ext="edit" spidmax="737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0024"/>
    <w:rsid w:val="00006FFA"/>
    <w:rsid w:val="00007CCF"/>
    <w:rsid w:val="000125DC"/>
    <w:rsid w:val="00012C29"/>
    <w:rsid w:val="0001345B"/>
    <w:rsid w:val="00013888"/>
    <w:rsid w:val="000172EC"/>
    <w:rsid w:val="00022138"/>
    <w:rsid w:val="0002526E"/>
    <w:rsid w:val="00026A32"/>
    <w:rsid w:val="000330ED"/>
    <w:rsid w:val="00044BEF"/>
    <w:rsid w:val="00044F77"/>
    <w:rsid w:val="00046117"/>
    <w:rsid w:val="00056145"/>
    <w:rsid w:val="00060EAC"/>
    <w:rsid w:val="00062477"/>
    <w:rsid w:val="00067951"/>
    <w:rsid w:val="00072678"/>
    <w:rsid w:val="00081D78"/>
    <w:rsid w:val="00087C41"/>
    <w:rsid w:val="00092C99"/>
    <w:rsid w:val="000B024C"/>
    <w:rsid w:val="000B1DFC"/>
    <w:rsid w:val="000B289A"/>
    <w:rsid w:val="000B3D35"/>
    <w:rsid w:val="000B4A62"/>
    <w:rsid w:val="000B4C13"/>
    <w:rsid w:val="000B7A51"/>
    <w:rsid w:val="000C0C48"/>
    <w:rsid w:val="000C3B1F"/>
    <w:rsid w:val="000C625A"/>
    <w:rsid w:val="000C63B0"/>
    <w:rsid w:val="000D47EF"/>
    <w:rsid w:val="000D5335"/>
    <w:rsid w:val="000D662C"/>
    <w:rsid w:val="000D6A10"/>
    <w:rsid w:val="000D7770"/>
    <w:rsid w:val="000E445B"/>
    <w:rsid w:val="000E4F12"/>
    <w:rsid w:val="000E5961"/>
    <w:rsid w:val="000E67D9"/>
    <w:rsid w:val="000F1600"/>
    <w:rsid w:val="000F17A2"/>
    <w:rsid w:val="000F1EC9"/>
    <w:rsid w:val="000F5F18"/>
    <w:rsid w:val="000F7A7A"/>
    <w:rsid w:val="00107A3F"/>
    <w:rsid w:val="00110693"/>
    <w:rsid w:val="001156DF"/>
    <w:rsid w:val="00116AA9"/>
    <w:rsid w:val="00117712"/>
    <w:rsid w:val="0012552F"/>
    <w:rsid w:val="0012744B"/>
    <w:rsid w:val="001343EF"/>
    <w:rsid w:val="00134C19"/>
    <w:rsid w:val="001428CF"/>
    <w:rsid w:val="001434B1"/>
    <w:rsid w:val="00146101"/>
    <w:rsid w:val="00151605"/>
    <w:rsid w:val="001532C4"/>
    <w:rsid w:val="00153781"/>
    <w:rsid w:val="001539CD"/>
    <w:rsid w:val="00154056"/>
    <w:rsid w:val="00156DBB"/>
    <w:rsid w:val="0016273F"/>
    <w:rsid w:val="00162E36"/>
    <w:rsid w:val="00164A01"/>
    <w:rsid w:val="00165378"/>
    <w:rsid w:val="00166EF2"/>
    <w:rsid w:val="00171D40"/>
    <w:rsid w:val="00171F8E"/>
    <w:rsid w:val="00175103"/>
    <w:rsid w:val="00176291"/>
    <w:rsid w:val="00183C18"/>
    <w:rsid w:val="00184A14"/>
    <w:rsid w:val="00186331"/>
    <w:rsid w:val="00186A71"/>
    <w:rsid w:val="0019539C"/>
    <w:rsid w:val="00195821"/>
    <w:rsid w:val="001A0888"/>
    <w:rsid w:val="001A0C13"/>
    <w:rsid w:val="001A5748"/>
    <w:rsid w:val="001A6241"/>
    <w:rsid w:val="001A7FD2"/>
    <w:rsid w:val="001B3C55"/>
    <w:rsid w:val="001C6CA0"/>
    <w:rsid w:val="001C7EF7"/>
    <w:rsid w:val="001D23BB"/>
    <w:rsid w:val="001D3540"/>
    <w:rsid w:val="001D520D"/>
    <w:rsid w:val="001D5713"/>
    <w:rsid w:val="001E4927"/>
    <w:rsid w:val="001E5337"/>
    <w:rsid w:val="001E7866"/>
    <w:rsid w:val="001F6547"/>
    <w:rsid w:val="00202EDD"/>
    <w:rsid w:val="00203A56"/>
    <w:rsid w:val="00210103"/>
    <w:rsid w:val="00214C4F"/>
    <w:rsid w:val="00220053"/>
    <w:rsid w:val="0023091C"/>
    <w:rsid w:val="00231A7D"/>
    <w:rsid w:val="00232E95"/>
    <w:rsid w:val="00236514"/>
    <w:rsid w:val="00244CEA"/>
    <w:rsid w:val="00244F1E"/>
    <w:rsid w:val="002539A8"/>
    <w:rsid w:val="0025478D"/>
    <w:rsid w:val="00260186"/>
    <w:rsid w:val="00260830"/>
    <w:rsid w:val="00265E79"/>
    <w:rsid w:val="0026724C"/>
    <w:rsid w:val="00273EEC"/>
    <w:rsid w:val="00274177"/>
    <w:rsid w:val="0027461C"/>
    <w:rsid w:val="00274A82"/>
    <w:rsid w:val="002750A1"/>
    <w:rsid w:val="00283266"/>
    <w:rsid w:val="002839D4"/>
    <w:rsid w:val="002859BC"/>
    <w:rsid w:val="002863AA"/>
    <w:rsid w:val="00286AB2"/>
    <w:rsid w:val="00286C18"/>
    <w:rsid w:val="00287243"/>
    <w:rsid w:val="002874E7"/>
    <w:rsid w:val="002905FA"/>
    <w:rsid w:val="002A56B7"/>
    <w:rsid w:val="002A717E"/>
    <w:rsid w:val="002B031A"/>
    <w:rsid w:val="002B5CA8"/>
    <w:rsid w:val="002C3028"/>
    <w:rsid w:val="002C3F4D"/>
    <w:rsid w:val="002C6E18"/>
    <w:rsid w:val="002C7C3B"/>
    <w:rsid w:val="002C7FC9"/>
    <w:rsid w:val="002D1088"/>
    <w:rsid w:val="002D19F9"/>
    <w:rsid w:val="002D7A58"/>
    <w:rsid w:val="002E1B1B"/>
    <w:rsid w:val="002F08E5"/>
    <w:rsid w:val="002F2FEE"/>
    <w:rsid w:val="002F3352"/>
    <w:rsid w:val="002F5D75"/>
    <w:rsid w:val="0030235E"/>
    <w:rsid w:val="003024CB"/>
    <w:rsid w:val="00302996"/>
    <w:rsid w:val="00302AFD"/>
    <w:rsid w:val="00305D66"/>
    <w:rsid w:val="00314D87"/>
    <w:rsid w:val="00315341"/>
    <w:rsid w:val="00317A19"/>
    <w:rsid w:val="00317DE6"/>
    <w:rsid w:val="00321AEA"/>
    <w:rsid w:val="00322182"/>
    <w:rsid w:val="003230E7"/>
    <w:rsid w:val="003245FE"/>
    <w:rsid w:val="00327DE8"/>
    <w:rsid w:val="003301EB"/>
    <w:rsid w:val="00330EB8"/>
    <w:rsid w:val="00332762"/>
    <w:rsid w:val="00332940"/>
    <w:rsid w:val="00332C18"/>
    <w:rsid w:val="003370E9"/>
    <w:rsid w:val="00341495"/>
    <w:rsid w:val="00344B8A"/>
    <w:rsid w:val="003471B4"/>
    <w:rsid w:val="00354E54"/>
    <w:rsid w:val="00356D21"/>
    <w:rsid w:val="0035765B"/>
    <w:rsid w:val="00357FAB"/>
    <w:rsid w:val="00360B9B"/>
    <w:rsid w:val="0036133B"/>
    <w:rsid w:val="00383C84"/>
    <w:rsid w:val="00392E32"/>
    <w:rsid w:val="00394DA2"/>
    <w:rsid w:val="003A72C3"/>
    <w:rsid w:val="003B0BF0"/>
    <w:rsid w:val="003B22CD"/>
    <w:rsid w:val="003B2C0B"/>
    <w:rsid w:val="003B5CFF"/>
    <w:rsid w:val="003D2882"/>
    <w:rsid w:val="003D35AA"/>
    <w:rsid w:val="003D3E44"/>
    <w:rsid w:val="003D4451"/>
    <w:rsid w:val="003D4CC8"/>
    <w:rsid w:val="003D5BFB"/>
    <w:rsid w:val="003E2DE0"/>
    <w:rsid w:val="003E2F0F"/>
    <w:rsid w:val="003E7189"/>
    <w:rsid w:val="003F292C"/>
    <w:rsid w:val="003F2DE0"/>
    <w:rsid w:val="003F4930"/>
    <w:rsid w:val="003F6081"/>
    <w:rsid w:val="00400C8B"/>
    <w:rsid w:val="0040222E"/>
    <w:rsid w:val="0041217A"/>
    <w:rsid w:val="00413324"/>
    <w:rsid w:val="00413CE7"/>
    <w:rsid w:val="004155A1"/>
    <w:rsid w:val="00420EF2"/>
    <w:rsid w:val="004429FC"/>
    <w:rsid w:val="004445D6"/>
    <w:rsid w:val="0044559A"/>
    <w:rsid w:val="00451CAA"/>
    <w:rsid w:val="0045629F"/>
    <w:rsid w:val="00457BEE"/>
    <w:rsid w:val="0046532D"/>
    <w:rsid w:val="004704AF"/>
    <w:rsid w:val="00472BE1"/>
    <w:rsid w:val="004741F4"/>
    <w:rsid w:val="00482236"/>
    <w:rsid w:val="00491661"/>
    <w:rsid w:val="004942AF"/>
    <w:rsid w:val="004A1162"/>
    <w:rsid w:val="004A2A69"/>
    <w:rsid w:val="004A5747"/>
    <w:rsid w:val="004A6195"/>
    <w:rsid w:val="004A713A"/>
    <w:rsid w:val="004A76B1"/>
    <w:rsid w:val="004A7EA0"/>
    <w:rsid w:val="004B2437"/>
    <w:rsid w:val="004C324A"/>
    <w:rsid w:val="004C75F1"/>
    <w:rsid w:val="004D55CB"/>
    <w:rsid w:val="004E0295"/>
    <w:rsid w:val="004E0D6B"/>
    <w:rsid w:val="004E4A78"/>
    <w:rsid w:val="004E5970"/>
    <w:rsid w:val="004E6637"/>
    <w:rsid w:val="004E691D"/>
    <w:rsid w:val="004E76D2"/>
    <w:rsid w:val="004F08CA"/>
    <w:rsid w:val="004F303C"/>
    <w:rsid w:val="004F463A"/>
    <w:rsid w:val="004F4B84"/>
    <w:rsid w:val="004F636E"/>
    <w:rsid w:val="004F67AE"/>
    <w:rsid w:val="004F7A21"/>
    <w:rsid w:val="0050488A"/>
    <w:rsid w:val="00513CEA"/>
    <w:rsid w:val="00514976"/>
    <w:rsid w:val="00517D1D"/>
    <w:rsid w:val="00532E95"/>
    <w:rsid w:val="00540926"/>
    <w:rsid w:val="00542000"/>
    <w:rsid w:val="00552E55"/>
    <w:rsid w:val="005577D3"/>
    <w:rsid w:val="0055784D"/>
    <w:rsid w:val="00557A6C"/>
    <w:rsid w:val="0056559D"/>
    <w:rsid w:val="0056601B"/>
    <w:rsid w:val="005672C9"/>
    <w:rsid w:val="005722CA"/>
    <w:rsid w:val="005751D9"/>
    <w:rsid w:val="005808CB"/>
    <w:rsid w:val="005877A4"/>
    <w:rsid w:val="00591F62"/>
    <w:rsid w:val="00592551"/>
    <w:rsid w:val="0059288F"/>
    <w:rsid w:val="005947AF"/>
    <w:rsid w:val="00596AAC"/>
    <w:rsid w:val="00597CC9"/>
    <w:rsid w:val="005A19F0"/>
    <w:rsid w:val="005A27F1"/>
    <w:rsid w:val="005A5A01"/>
    <w:rsid w:val="005A6414"/>
    <w:rsid w:val="005A6511"/>
    <w:rsid w:val="005A67DA"/>
    <w:rsid w:val="005B4A0D"/>
    <w:rsid w:val="005B55E8"/>
    <w:rsid w:val="005B6B74"/>
    <w:rsid w:val="005B7974"/>
    <w:rsid w:val="005C6319"/>
    <w:rsid w:val="005C6742"/>
    <w:rsid w:val="005D23F4"/>
    <w:rsid w:val="005D25BE"/>
    <w:rsid w:val="005D67A5"/>
    <w:rsid w:val="005E744F"/>
    <w:rsid w:val="00603BB1"/>
    <w:rsid w:val="00605EBC"/>
    <w:rsid w:val="00605FCB"/>
    <w:rsid w:val="006125AC"/>
    <w:rsid w:val="006147E8"/>
    <w:rsid w:val="00615002"/>
    <w:rsid w:val="00617A7E"/>
    <w:rsid w:val="006217BE"/>
    <w:rsid w:val="00623F5B"/>
    <w:rsid w:val="00626339"/>
    <w:rsid w:val="00631573"/>
    <w:rsid w:val="006335CC"/>
    <w:rsid w:val="006337CC"/>
    <w:rsid w:val="00636E59"/>
    <w:rsid w:val="0064032A"/>
    <w:rsid w:val="00640808"/>
    <w:rsid w:val="00640A51"/>
    <w:rsid w:val="00640DBF"/>
    <w:rsid w:val="006417F1"/>
    <w:rsid w:val="00644E28"/>
    <w:rsid w:val="00653B21"/>
    <w:rsid w:val="00657393"/>
    <w:rsid w:val="00657424"/>
    <w:rsid w:val="00657844"/>
    <w:rsid w:val="00661CB0"/>
    <w:rsid w:val="00662E5C"/>
    <w:rsid w:val="00673458"/>
    <w:rsid w:val="006737CA"/>
    <w:rsid w:val="00677EDD"/>
    <w:rsid w:val="00680896"/>
    <w:rsid w:val="006812AB"/>
    <w:rsid w:val="006816F3"/>
    <w:rsid w:val="00682BBD"/>
    <w:rsid w:val="006838B4"/>
    <w:rsid w:val="0069089B"/>
    <w:rsid w:val="00696284"/>
    <w:rsid w:val="00696C57"/>
    <w:rsid w:val="006A25E3"/>
    <w:rsid w:val="006A3697"/>
    <w:rsid w:val="006A68B4"/>
    <w:rsid w:val="006B29D3"/>
    <w:rsid w:val="006B54AD"/>
    <w:rsid w:val="006C198A"/>
    <w:rsid w:val="006C67F3"/>
    <w:rsid w:val="006C6C9A"/>
    <w:rsid w:val="006D1AB0"/>
    <w:rsid w:val="006D6F46"/>
    <w:rsid w:val="006E0301"/>
    <w:rsid w:val="006E03D6"/>
    <w:rsid w:val="006F461C"/>
    <w:rsid w:val="00700024"/>
    <w:rsid w:val="007004ED"/>
    <w:rsid w:val="00702417"/>
    <w:rsid w:val="00703314"/>
    <w:rsid w:val="00711A64"/>
    <w:rsid w:val="00711E3C"/>
    <w:rsid w:val="007138D4"/>
    <w:rsid w:val="00716B0A"/>
    <w:rsid w:val="0072050A"/>
    <w:rsid w:val="00723CC6"/>
    <w:rsid w:val="00725ACE"/>
    <w:rsid w:val="007308D0"/>
    <w:rsid w:val="0073150D"/>
    <w:rsid w:val="007369E0"/>
    <w:rsid w:val="00740836"/>
    <w:rsid w:val="00742B86"/>
    <w:rsid w:val="00757208"/>
    <w:rsid w:val="00760D54"/>
    <w:rsid w:val="00761A72"/>
    <w:rsid w:val="007655C2"/>
    <w:rsid w:val="00765E99"/>
    <w:rsid w:val="00765FEA"/>
    <w:rsid w:val="00767767"/>
    <w:rsid w:val="00772123"/>
    <w:rsid w:val="0077227E"/>
    <w:rsid w:val="0077757D"/>
    <w:rsid w:val="00780E33"/>
    <w:rsid w:val="007A2141"/>
    <w:rsid w:val="007A5BCD"/>
    <w:rsid w:val="007A6668"/>
    <w:rsid w:val="007B1F2D"/>
    <w:rsid w:val="007B3DE7"/>
    <w:rsid w:val="007B5950"/>
    <w:rsid w:val="007B5BFF"/>
    <w:rsid w:val="007C3AB0"/>
    <w:rsid w:val="007C66C7"/>
    <w:rsid w:val="007C7877"/>
    <w:rsid w:val="007D09EA"/>
    <w:rsid w:val="007D2025"/>
    <w:rsid w:val="007E4863"/>
    <w:rsid w:val="007E4D9F"/>
    <w:rsid w:val="007E5CA6"/>
    <w:rsid w:val="007E6378"/>
    <w:rsid w:val="007F5617"/>
    <w:rsid w:val="00802BEB"/>
    <w:rsid w:val="00805026"/>
    <w:rsid w:val="00813483"/>
    <w:rsid w:val="00815770"/>
    <w:rsid w:val="00821618"/>
    <w:rsid w:val="00830841"/>
    <w:rsid w:val="00833E46"/>
    <w:rsid w:val="00833F54"/>
    <w:rsid w:val="00843CA2"/>
    <w:rsid w:val="00845A47"/>
    <w:rsid w:val="00847AD4"/>
    <w:rsid w:val="00847B48"/>
    <w:rsid w:val="00867472"/>
    <w:rsid w:val="00867BB4"/>
    <w:rsid w:val="00872523"/>
    <w:rsid w:val="00873A7C"/>
    <w:rsid w:val="00873B32"/>
    <w:rsid w:val="00875DD2"/>
    <w:rsid w:val="00877C86"/>
    <w:rsid w:val="008808A3"/>
    <w:rsid w:val="008813E5"/>
    <w:rsid w:val="00883A8A"/>
    <w:rsid w:val="0089036C"/>
    <w:rsid w:val="0089131F"/>
    <w:rsid w:val="0089189C"/>
    <w:rsid w:val="008977EB"/>
    <w:rsid w:val="00897898"/>
    <w:rsid w:val="008A1B97"/>
    <w:rsid w:val="008A207C"/>
    <w:rsid w:val="008A5CCD"/>
    <w:rsid w:val="008B0061"/>
    <w:rsid w:val="008B0376"/>
    <w:rsid w:val="008B1005"/>
    <w:rsid w:val="008B6FFD"/>
    <w:rsid w:val="008B78F6"/>
    <w:rsid w:val="008C0FAC"/>
    <w:rsid w:val="008C36A7"/>
    <w:rsid w:val="008D0EB4"/>
    <w:rsid w:val="008F6F36"/>
    <w:rsid w:val="008F723A"/>
    <w:rsid w:val="00900F59"/>
    <w:rsid w:val="00905E80"/>
    <w:rsid w:val="009100E4"/>
    <w:rsid w:val="009102DD"/>
    <w:rsid w:val="00911DEE"/>
    <w:rsid w:val="00912F2F"/>
    <w:rsid w:val="009163B1"/>
    <w:rsid w:val="00917839"/>
    <w:rsid w:val="0092044E"/>
    <w:rsid w:val="00926859"/>
    <w:rsid w:val="00927E7A"/>
    <w:rsid w:val="00935D2E"/>
    <w:rsid w:val="00937AF2"/>
    <w:rsid w:val="009413D6"/>
    <w:rsid w:val="00941ECF"/>
    <w:rsid w:val="00944119"/>
    <w:rsid w:val="00945B86"/>
    <w:rsid w:val="00950AA0"/>
    <w:rsid w:val="00953077"/>
    <w:rsid w:val="009564CF"/>
    <w:rsid w:val="00961423"/>
    <w:rsid w:val="009644AE"/>
    <w:rsid w:val="00965355"/>
    <w:rsid w:val="009657B3"/>
    <w:rsid w:val="00967227"/>
    <w:rsid w:val="009710C0"/>
    <w:rsid w:val="00983485"/>
    <w:rsid w:val="0098666F"/>
    <w:rsid w:val="00986BA0"/>
    <w:rsid w:val="0098768E"/>
    <w:rsid w:val="00990E44"/>
    <w:rsid w:val="00997466"/>
    <w:rsid w:val="009A2A07"/>
    <w:rsid w:val="009A42F9"/>
    <w:rsid w:val="009B07EF"/>
    <w:rsid w:val="009B662A"/>
    <w:rsid w:val="009B6E5C"/>
    <w:rsid w:val="009C25E0"/>
    <w:rsid w:val="009C3607"/>
    <w:rsid w:val="009C76CA"/>
    <w:rsid w:val="009D3E22"/>
    <w:rsid w:val="009D7711"/>
    <w:rsid w:val="009D7E23"/>
    <w:rsid w:val="009E2A26"/>
    <w:rsid w:val="009E2C3B"/>
    <w:rsid w:val="009E50EA"/>
    <w:rsid w:val="009F2745"/>
    <w:rsid w:val="009F6AE7"/>
    <w:rsid w:val="00A00BEA"/>
    <w:rsid w:val="00A01FCC"/>
    <w:rsid w:val="00A04661"/>
    <w:rsid w:val="00A05C13"/>
    <w:rsid w:val="00A073AC"/>
    <w:rsid w:val="00A12C56"/>
    <w:rsid w:val="00A14BEF"/>
    <w:rsid w:val="00A17F66"/>
    <w:rsid w:val="00A2576F"/>
    <w:rsid w:val="00A33A32"/>
    <w:rsid w:val="00A400B5"/>
    <w:rsid w:val="00A447D7"/>
    <w:rsid w:val="00A45C89"/>
    <w:rsid w:val="00A5175B"/>
    <w:rsid w:val="00A556F6"/>
    <w:rsid w:val="00A63BA4"/>
    <w:rsid w:val="00A644FD"/>
    <w:rsid w:val="00A700D7"/>
    <w:rsid w:val="00A72F57"/>
    <w:rsid w:val="00A82EFA"/>
    <w:rsid w:val="00A859EB"/>
    <w:rsid w:val="00A91B10"/>
    <w:rsid w:val="00A92738"/>
    <w:rsid w:val="00AA0943"/>
    <w:rsid w:val="00AA1E92"/>
    <w:rsid w:val="00AA2ED0"/>
    <w:rsid w:val="00AA4F43"/>
    <w:rsid w:val="00AB4BDE"/>
    <w:rsid w:val="00AC7C0E"/>
    <w:rsid w:val="00AD03AF"/>
    <w:rsid w:val="00AD0D8A"/>
    <w:rsid w:val="00AD2EC9"/>
    <w:rsid w:val="00AE1254"/>
    <w:rsid w:val="00AE2E79"/>
    <w:rsid w:val="00AE47E3"/>
    <w:rsid w:val="00AF062D"/>
    <w:rsid w:val="00AF3375"/>
    <w:rsid w:val="00AF49BF"/>
    <w:rsid w:val="00AF4BA8"/>
    <w:rsid w:val="00AF5702"/>
    <w:rsid w:val="00AF77BB"/>
    <w:rsid w:val="00B02BFD"/>
    <w:rsid w:val="00B038AA"/>
    <w:rsid w:val="00B04977"/>
    <w:rsid w:val="00B04D7C"/>
    <w:rsid w:val="00B10920"/>
    <w:rsid w:val="00B11225"/>
    <w:rsid w:val="00B11867"/>
    <w:rsid w:val="00B14742"/>
    <w:rsid w:val="00B16B82"/>
    <w:rsid w:val="00B23B62"/>
    <w:rsid w:val="00B30B88"/>
    <w:rsid w:val="00B3211B"/>
    <w:rsid w:val="00B36153"/>
    <w:rsid w:val="00B36569"/>
    <w:rsid w:val="00B41325"/>
    <w:rsid w:val="00B44957"/>
    <w:rsid w:val="00B457AA"/>
    <w:rsid w:val="00B47E80"/>
    <w:rsid w:val="00B53529"/>
    <w:rsid w:val="00B53AFF"/>
    <w:rsid w:val="00B55359"/>
    <w:rsid w:val="00B66A91"/>
    <w:rsid w:val="00B74DBB"/>
    <w:rsid w:val="00B80A4B"/>
    <w:rsid w:val="00B82F6F"/>
    <w:rsid w:val="00B85E06"/>
    <w:rsid w:val="00B907F5"/>
    <w:rsid w:val="00B90BD3"/>
    <w:rsid w:val="00B919E2"/>
    <w:rsid w:val="00B945D7"/>
    <w:rsid w:val="00B9679D"/>
    <w:rsid w:val="00B96C7B"/>
    <w:rsid w:val="00B975FC"/>
    <w:rsid w:val="00BA0769"/>
    <w:rsid w:val="00BA56DD"/>
    <w:rsid w:val="00BA5DA4"/>
    <w:rsid w:val="00BB0278"/>
    <w:rsid w:val="00BB1443"/>
    <w:rsid w:val="00BB2EAF"/>
    <w:rsid w:val="00BB567A"/>
    <w:rsid w:val="00BB6B60"/>
    <w:rsid w:val="00BC3178"/>
    <w:rsid w:val="00BC783B"/>
    <w:rsid w:val="00BD0A11"/>
    <w:rsid w:val="00BD736D"/>
    <w:rsid w:val="00BE1DF9"/>
    <w:rsid w:val="00BE5B44"/>
    <w:rsid w:val="00BE6F36"/>
    <w:rsid w:val="00BE7B57"/>
    <w:rsid w:val="00BF0946"/>
    <w:rsid w:val="00BF0A34"/>
    <w:rsid w:val="00BF3C8F"/>
    <w:rsid w:val="00BF6384"/>
    <w:rsid w:val="00C01CBC"/>
    <w:rsid w:val="00C05151"/>
    <w:rsid w:val="00C06D58"/>
    <w:rsid w:val="00C0705E"/>
    <w:rsid w:val="00C11AA9"/>
    <w:rsid w:val="00C17EE3"/>
    <w:rsid w:val="00C209DA"/>
    <w:rsid w:val="00C21083"/>
    <w:rsid w:val="00C22F2A"/>
    <w:rsid w:val="00C246FC"/>
    <w:rsid w:val="00C2653A"/>
    <w:rsid w:val="00C30134"/>
    <w:rsid w:val="00C30C6F"/>
    <w:rsid w:val="00C343DC"/>
    <w:rsid w:val="00C401AB"/>
    <w:rsid w:val="00C452D4"/>
    <w:rsid w:val="00C46447"/>
    <w:rsid w:val="00C5119B"/>
    <w:rsid w:val="00C53781"/>
    <w:rsid w:val="00C57F9A"/>
    <w:rsid w:val="00C608EB"/>
    <w:rsid w:val="00C60C34"/>
    <w:rsid w:val="00C64F4D"/>
    <w:rsid w:val="00C65F9E"/>
    <w:rsid w:val="00C6614C"/>
    <w:rsid w:val="00C86747"/>
    <w:rsid w:val="00C868EF"/>
    <w:rsid w:val="00C90C4C"/>
    <w:rsid w:val="00C91D5B"/>
    <w:rsid w:val="00C93D75"/>
    <w:rsid w:val="00C96C04"/>
    <w:rsid w:val="00CA43BB"/>
    <w:rsid w:val="00CA5389"/>
    <w:rsid w:val="00CA5F64"/>
    <w:rsid w:val="00CA7AAE"/>
    <w:rsid w:val="00CC0D8B"/>
    <w:rsid w:val="00CC3EED"/>
    <w:rsid w:val="00CC42DC"/>
    <w:rsid w:val="00CC5E5B"/>
    <w:rsid w:val="00CD0982"/>
    <w:rsid w:val="00CD1DC1"/>
    <w:rsid w:val="00CE443C"/>
    <w:rsid w:val="00CE497D"/>
    <w:rsid w:val="00CF1337"/>
    <w:rsid w:val="00CF2013"/>
    <w:rsid w:val="00CF5190"/>
    <w:rsid w:val="00D04C87"/>
    <w:rsid w:val="00D07B66"/>
    <w:rsid w:val="00D177E9"/>
    <w:rsid w:val="00D21933"/>
    <w:rsid w:val="00D22E3D"/>
    <w:rsid w:val="00D268ED"/>
    <w:rsid w:val="00D27BEC"/>
    <w:rsid w:val="00D33F4D"/>
    <w:rsid w:val="00D41F39"/>
    <w:rsid w:val="00D437C4"/>
    <w:rsid w:val="00D464D5"/>
    <w:rsid w:val="00D46785"/>
    <w:rsid w:val="00D53D66"/>
    <w:rsid w:val="00D617E1"/>
    <w:rsid w:val="00D627FE"/>
    <w:rsid w:val="00D64DA8"/>
    <w:rsid w:val="00D66612"/>
    <w:rsid w:val="00D710ED"/>
    <w:rsid w:val="00D80807"/>
    <w:rsid w:val="00D80F88"/>
    <w:rsid w:val="00D868EA"/>
    <w:rsid w:val="00D86EDC"/>
    <w:rsid w:val="00D905F4"/>
    <w:rsid w:val="00D91FE5"/>
    <w:rsid w:val="00D94299"/>
    <w:rsid w:val="00D96B5F"/>
    <w:rsid w:val="00D96DEF"/>
    <w:rsid w:val="00DA266E"/>
    <w:rsid w:val="00DA3F6B"/>
    <w:rsid w:val="00DB529C"/>
    <w:rsid w:val="00DC2C57"/>
    <w:rsid w:val="00DD1A17"/>
    <w:rsid w:val="00DD2FB6"/>
    <w:rsid w:val="00DD72E7"/>
    <w:rsid w:val="00DE1BF6"/>
    <w:rsid w:val="00DE35AA"/>
    <w:rsid w:val="00DE3A2C"/>
    <w:rsid w:val="00DE4EBF"/>
    <w:rsid w:val="00DE5426"/>
    <w:rsid w:val="00DE67CD"/>
    <w:rsid w:val="00DE682E"/>
    <w:rsid w:val="00DE7AC3"/>
    <w:rsid w:val="00DF6A21"/>
    <w:rsid w:val="00E035F5"/>
    <w:rsid w:val="00E0467A"/>
    <w:rsid w:val="00E104F9"/>
    <w:rsid w:val="00E110BF"/>
    <w:rsid w:val="00E249C3"/>
    <w:rsid w:val="00E25678"/>
    <w:rsid w:val="00E34C32"/>
    <w:rsid w:val="00E42A8A"/>
    <w:rsid w:val="00E42FFF"/>
    <w:rsid w:val="00E434FA"/>
    <w:rsid w:val="00E52D7C"/>
    <w:rsid w:val="00E54606"/>
    <w:rsid w:val="00E5641C"/>
    <w:rsid w:val="00E60AF5"/>
    <w:rsid w:val="00E61012"/>
    <w:rsid w:val="00E61B13"/>
    <w:rsid w:val="00E622BD"/>
    <w:rsid w:val="00E66DDC"/>
    <w:rsid w:val="00E714D1"/>
    <w:rsid w:val="00E7226D"/>
    <w:rsid w:val="00E74A79"/>
    <w:rsid w:val="00E75FAE"/>
    <w:rsid w:val="00E76D40"/>
    <w:rsid w:val="00E811ED"/>
    <w:rsid w:val="00E86321"/>
    <w:rsid w:val="00E87CC7"/>
    <w:rsid w:val="00E9286A"/>
    <w:rsid w:val="00E95AF0"/>
    <w:rsid w:val="00E97DC9"/>
    <w:rsid w:val="00EA1A02"/>
    <w:rsid w:val="00EA1BC3"/>
    <w:rsid w:val="00EA2EA2"/>
    <w:rsid w:val="00EA4975"/>
    <w:rsid w:val="00EB18A1"/>
    <w:rsid w:val="00EB2641"/>
    <w:rsid w:val="00EB5D3C"/>
    <w:rsid w:val="00EB6729"/>
    <w:rsid w:val="00EC398F"/>
    <w:rsid w:val="00ED0D42"/>
    <w:rsid w:val="00ED5453"/>
    <w:rsid w:val="00ED79C3"/>
    <w:rsid w:val="00EE21B5"/>
    <w:rsid w:val="00EE2921"/>
    <w:rsid w:val="00EF0CE9"/>
    <w:rsid w:val="00EF33A5"/>
    <w:rsid w:val="00EF68E6"/>
    <w:rsid w:val="00EF7933"/>
    <w:rsid w:val="00EF7E0F"/>
    <w:rsid w:val="00F133D5"/>
    <w:rsid w:val="00F15820"/>
    <w:rsid w:val="00F17623"/>
    <w:rsid w:val="00F2043B"/>
    <w:rsid w:val="00F22425"/>
    <w:rsid w:val="00F22EB7"/>
    <w:rsid w:val="00F24151"/>
    <w:rsid w:val="00F27A3C"/>
    <w:rsid w:val="00F337D2"/>
    <w:rsid w:val="00F341C9"/>
    <w:rsid w:val="00F346FA"/>
    <w:rsid w:val="00F35880"/>
    <w:rsid w:val="00F35C0D"/>
    <w:rsid w:val="00F40A23"/>
    <w:rsid w:val="00F42B74"/>
    <w:rsid w:val="00F4549A"/>
    <w:rsid w:val="00F479D6"/>
    <w:rsid w:val="00F5023A"/>
    <w:rsid w:val="00F53A8A"/>
    <w:rsid w:val="00F66280"/>
    <w:rsid w:val="00F7668B"/>
    <w:rsid w:val="00F80F03"/>
    <w:rsid w:val="00FA1DD5"/>
    <w:rsid w:val="00FA5975"/>
    <w:rsid w:val="00FA6107"/>
    <w:rsid w:val="00FA6278"/>
    <w:rsid w:val="00FC0001"/>
    <w:rsid w:val="00FC02EE"/>
    <w:rsid w:val="00FC1CA5"/>
    <w:rsid w:val="00FC6409"/>
    <w:rsid w:val="00FD31AF"/>
    <w:rsid w:val="00FD3AA8"/>
    <w:rsid w:val="00FE0188"/>
    <w:rsid w:val="00FE0B36"/>
    <w:rsid w:val="00FE1C04"/>
    <w:rsid w:val="00FE66CA"/>
    <w:rsid w:val="00FF10D5"/>
    <w:rsid w:val="00FF23A9"/>
    <w:rsid w:val="00FF3101"/>
    <w:rsid w:val="00FF4A8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73729"/>
    <o:shapelayout v:ext="edit">
      <o:idmap v:ext="edit" data="1"/>
    </o:shapelayout>
  </w:shapeDefaults>
  <w:decimalSymbol w:val="."/>
  <w:listSeparator w:val=","/>
  <w14:docId w14:val="783266E3"/>
  <w15:chartTrackingRefBased/>
  <w15:docId w15:val="{00F5A493-27ED-4911-96AC-1C0014781B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line="259" w:lineRule="auto"/>
        <w:ind w:left="72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0002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00024"/>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00024"/>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0002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700024"/>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700024"/>
    <w:rPr>
      <w:rFonts w:asciiTheme="majorHAnsi" w:eastAsiaTheme="majorEastAsia" w:hAnsiTheme="majorHAnsi" w:cstheme="majorBidi"/>
      <w:color w:val="1F3763" w:themeColor="accent1" w:themeShade="7F"/>
      <w:sz w:val="24"/>
      <w:szCs w:val="24"/>
    </w:rPr>
  </w:style>
  <w:style w:type="paragraph" w:styleId="Title">
    <w:name w:val="Title"/>
    <w:basedOn w:val="Normal"/>
    <w:next w:val="Normal"/>
    <w:link w:val="TitleChar"/>
    <w:uiPriority w:val="10"/>
    <w:qFormat/>
    <w:rsid w:val="00700024"/>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00024"/>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700024"/>
    <w:pPr>
      <w:contextualSpacing/>
    </w:pPr>
  </w:style>
  <w:style w:type="character" w:styleId="Hyperlink">
    <w:name w:val="Hyperlink"/>
    <w:basedOn w:val="DefaultParagraphFont"/>
    <w:uiPriority w:val="99"/>
    <w:unhideWhenUsed/>
    <w:rsid w:val="00843CA2"/>
    <w:rPr>
      <w:color w:val="0563C1" w:themeColor="hyperlink"/>
      <w:u w:val="single"/>
    </w:rPr>
  </w:style>
  <w:style w:type="character" w:styleId="UnresolvedMention">
    <w:name w:val="Unresolved Mention"/>
    <w:basedOn w:val="DefaultParagraphFont"/>
    <w:uiPriority w:val="99"/>
    <w:semiHidden/>
    <w:unhideWhenUsed/>
    <w:rsid w:val="00843CA2"/>
    <w:rPr>
      <w:color w:val="808080"/>
      <w:shd w:val="clear" w:color="auto" w:fill="E6E6E6"/>
    </w:rPr>
  </w:style>
  <w:style w:type="paragraph" w:styleId="Footer">
    <w:name w:val="footer"/>
    <w:basedOn w:val="Normal"/>
    <w:link w:val="FooterChar"/>
    <w:uiPriority w:val="99"/>
    <w:unhideWhenUsed/>
    <w:rsid w:val="00F24151"/>
    <w:pPr>
      <w:tabs>
        <w:tab w:val="center" w:pos="4513"/>
        <w:tab w:val="right" w:pos="9026"/>
      </w:tabs>
      <w:spacing w:line="240" w:lineRule="auto"/>
    </w:pPr>
  </w:style>
  <w:style w:type="character" w:customStyle="1" w:styleId="FooterChar">
    <w:name w:val="Footer Char"/>
    <w:basedOn w:val="DefaultParagraphFont"/>
    <w:link w:val="Footer"/>
    <w:uiPriority w:val="99"/>
    <w:rsid w:val="00F24151"/>
  </w:style>
  <w:style w:type="table" w:styleId="TableGrid">
    <w:name w:val="Table Grid"/>
    <w:basedOn w:val="TableNormal"/>
    <w:uiPriority w:val="39"/>
    <w:rsid w:val="00317DE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unhideWhenUsed/>
    <w:rsid w:val="00E61012"/>
    <w:pPr>
      <w:spacing w:line="240" w:lineRule="auto"/>
    </w:pPr>
    <w:rPr>
      <w:sz w:val="20"/>
      <w:szCs w:val="20"/>
    </w:rPr>
  </w:style>
  <w:style w:type="character" w:customStyle="1" w:styleId="EndnoteTextChar">
    <w:name w:val="Endnote Text Char"/>
    <w:basedOn w:val="DefaultParagraphFont"/>
    <w:link w:val="EndnoteText"/>
    <w:uiPriority w:val="99"/>
    <w:rsid w:val="00E61012"/>
    <w:rPr>
      <w:sz w:val="20"/>
      <w:szCs w:val="20"/>
    </w:rPr>
  </w:style>
  <w:style w:type="character" w:styleId="EndnoteReference">
    <w:name w:val="endnote reference"/>
    <w:basedOn w:val="DefaultParagraphFont"/>
    <w:uiPriority w:val="99"/>
    <w:semiHidden/>
    <w:unhideWhenUsed/>
    <w:rsid w:val="00E61012"/>
    <w:rPr>
      <w:vertAlign w:val="superscript"/>
    </w:rPr>
  </w:style>
  <w:style w:type="paragraph" w:styleId="FootnoteText">
    <w:name w:val="footnote text"/>
    <w:basedOn w:val="Normal"/>
    <w:link w:val="FootnoteTextChar"/>
    <w:rsid w:val="00162E36"/>
    <w:pPr>
      <w:spacing w:line="240" w:lineRule="auto"/>
    </w:pPr>
    <w:rPr>
      <w:rFonts w:ascii="Times New Roman" w:eastAsia="Times New Roman" w:hAnsi="Times New Roman" w:cs="Times New Roman"/>
      <w:sz w:val="20"/>
      <w:szCs w:val="20"/>
      <w:lang w:val="en-US"/>
    </w:rPr>
  </w:style>
  <w:style w:type="character" w:customStyle="1" w:styleId="FootnoteTextChar">
    <w:name w:val="Footnote Text Char"/>
    <w:basedOn w:val="DefaultParagraphFont"/>
    <w:link w:val="FootnoteText"/>
    <w:rsid w:val="00162E36"/>
    <w:rPr>
      <w:rFonts w:ascii="Times New Roman" w:eastAsia="Times New Roman" w:hAnsi="Times New Roman" w:cs="Times New Roman"/>
      <w:sz w:val="20"/>
      <w:szCs w:val="20"/>
      <w:lang w:val="en-US"/>
    </w:rPr>
  </w:style>
  <w:style w:type="character" w:styleId="FootnoteReference">
    <w:name w:val="footnote reference"/>
    <w:rsid w:val="00162E36"/>
    <w:rPr>
      <w:vertAlign w:val="superscript"/>
    </w:rPr>
  </w:style>
  <w:style w:type="character" w:styleId="FollowedHyperlink">
    <w:name w:val="FollowedHyperlink"/>
    <w:basedOn w:val="DefaultParagraphFont"/>
    <w:uiPriority w:val="99"/>
    <w:semiHidden/>
    <w:unhideWhenUsed/>
    <w:rsid w:val="0041217A"/>
    <w:rPr>
      <w:color w:val="954F72" w:themeColor="followedHyperlink"/>
      <w:u w:val="single"/>
    </w:rPr>
  </w:style>
  <w:style w:type="character" w:styleId="CommentReference">
    <w:name w:val="annotation reference"/>
    <w:basedOn w:val="DefaultParagraphFont"/>
    <w:uiPriority w:val="99"/>
    <w:semiHidden/>
    <w:unhideWhenUsed/>
    <w:rsid w:val="00605EBC"/>
    <w:rPr>
      <w:sz w:val="16"/>
      <w:szCs w:val="16"/>
    </w:rPr>
  </w:style>
  <w:style w:type="paragraph" w:styleId="CommentText">
    <w:name w:val="annotation text"/>
    <w:basedOn w:val="Normal"/>
    <w:link w:val="CommentTextChar"/>
    <w:uiPriority w:val="99"/>
    <w:semiHidden/>
    <w:unhideWhenUsed/>
    <w:rsid w:val="00605EBC"/>
    <w:pPr>
      <w:spacing w:line="240" w:lineRule="auto"/>
    </w:pPr>
    <w:rPr>
      <w:sz w:val="20"/>
      <w:szCs w:val="20"/>
    </w:rPr>
  </w:style>
  <w:style w:type="character" w:customStyle="1" w:styleId="CommentTextChar">
    <w:name w:val="Comment Text Char"/>
    <w:basedOn w:val="DefaultParagraphFont"/>
    <w:link w:val="CommentText"/>
    <w:uiPriority w:val="99"/>
    <w:semiHidden/>
    <w:rsid w:val="00605EBC"/>
    <w:rPr>
      <w:sz w:val="20"/>
      <w:szCs w:val="20"/>
    </w:rPr>
  </w:style>
  <w:style w:type="paragraph" w:styleId="CommentSubject">
    <w:name w:val="annotation subject"/>
    <w:basedOn w:val="CommentText"/>
    <w:next w:val="CommentText"/>
    <w:link w:val="CommentSubjectChar"/>
    <w:uiPriority w:val="99"/>
    <w:semiHidden/>
    <w:unhideWhenUsed/>
    <w:rsid w:val="00605EBC"/>
    <w:rPr>
      <w:b/>
      <w:bCs/>
    </w:rPr>
  </w:style>
  <w:style w:type="character" w:customStyle="1" w:styleId="CommentSubjectChar">
    <w:name w:val="Comment Subject Char"/>
    <w:basedOn w:val="CommentTextChar"/>
    <w:link w:val="CommentSubject"/>
    <w:uiPriority w:val="99"/>
    <w:semiHidden/>
    <w:rsid w:val="00605EBC"/>
    <w:rPr>
      <w:b/>
      <w:bCs/>
      <w:sz w:val="20"/>
      <w:szCs w:val="20"/>
    </w:rPr>
  </w:style>
  <w:style w:type="paragraph" w:styleId="BalloonText">
    <w:name w:val="Balloon Text"/>
    <w:basedOn w:val="Normal"/>
    <w:link w:val="BalloonTextChar"/>
    <w:uiPriority w:val="99"/>
    <w:semiHidden/>
    <w:unhideWhenUsed/>
    <w:rsid w:val="00605EBC"/>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05EBC"/>
    <w:rPr>
      <w:rFonts w:ascii="Segoe UI" w:hAnsi="Segoe UI" w:cs="Segoe UI"/>
      <w:sz w:val="18"/>
      <w:szCs w:val="18"/>
    </w:rPr>
  </w:style>
  <w:style w:type="paragraph" w:styleId="NoSpacing">
    <w:name w:val="No Spacing"/>
    <w:uiPriority w:val="1"/>
    <w:qFormat/>
    <w:rsid w:val="00EA1A02"/>
    <w:pPr>
      <w:spacing w:line="240" w:lineRule="auto"/>
    </w:pPr>
  </w:style>
  <w:style w:type="paragraph" w:styleId="Header">
    <w:name w:val="header"/>
    <w:basedOn w:val="Normal"/>
    <w:link w:val="HeaderChar"/>
    <w:uiPriority w:val="99"/>
    <w:unhideWhenUsed/>
    <w:rsid w:val="00740836"/>
    <w:pPr>
      <w:tabs>
        <w:tab w:val="center" w:pos="4513"/>
        <w:tab w:val="right" w:pos="9026"/>
      </w:tabs>
      <w:spacing w:line="240" w:lineRule="auto"/>
    </w:pPr>
  </w:style>
  <w:style w:type="character" w:customStyle="1" w:styleId="HeaderChar">
    <w:name w:val="Header Char"/>
    <w:basedOn w:val="DefaultParagraphFont"/>
    <w:link w:val="Header"/>
    <w:uiPriority w:val="99"/>
    <w:rsid w:val="00740836"/>
  </w:style>
  <w:style w:type="paragraph" w:styleId="Bibliography">
    <w:name w:val="Bibliography"/>
    <w:basedOn w:val="Normal"/>
    <w:next w:val="Normal"/>
    <w:uiPriority w:val="37"/>
    <w:unhideWhenUsed/>
    <w:rsid w:val="00022138"/>
  </w:style>
  <w:style w:type="paragraph" w:styleId="TOCHeading">
    <w:name w:val="TOC Heading"/>
    <w:basedOn w:val="Heading1"/>
    <w:next w:val="Normal"/>
    <w:uiPriority w:val="39"/>
    <w:unhideWhenUsed/>
    <w:qFormat/>
    <w:rsid w:val="00677EDD"/>
    <w:pPr>
      <w:ind w:left="0"/>
      <w:outlineLvl w:val="9"/>
    </w:pPr>
    <w:rPr>
      <w:lang w:val="en-US"/>
    </w:rPr>
  </w:style>
  <w:style w:type="paragraph" w:styleId="TOC1">
    <w:name w:val="toc 1"/>
    <w:basedOn w:val="Normal"/>
    <w:next w:val="Normal"/>
    <w:autoRedefine/>
    <w:uiPriority w:val="39"/>
    <w:unhideWhenUsed/>
    <w:rsid w:val="00677EDD"/>
    <w:pPr>
      <w:spacing w:after="100"/>
      <w:ind w:left="0"/>
    </w:pPr>
  </w:style>
  <w:style w:type="paragraph" w:styleId="TOC2">
    <w:name w:val="toc 2"/>
    <w:basedOn w:val="Normal"/>
    <w:next w:val="Normal"/>
    <w:autoRedefine/>
    <w:uiPriority w:val="39"/>
    <w:unhideWhenUsed/>
    <w:rsid w:val="00677EDD"/>
    <w:pPr>
      <w:spacing w:after="100"/>
      <w:ind w:left="220"/>
    </w:pPr>
  </w:style>
  <w:style w:type="paragraph" w:styleId="TOC3">
    <w:name w:val="toc 3"/>
    <w:basedOn w:val="Normal"/>
    <w:next w:val="Normal"/>
    <w:autoRedefine/>
    <w:uiPriority w:val="39"/>
    <w:unhideWhenUsed/>
    <w:rsid w:val="00EF7933"/>
    <w:pPr>
      <w:spacing w:after="100"/>
      <w:ind w:left="440"/>
    </w:pPr>
    <w:rPr>
      <w:rFonts w:eastAsiaTheme="minorEastAsia"/>
      <w:lang w:eastAsia="en-GB"/>
    </w:rPr>
  </w:style>
  <w:style w:type="paragraph" w:styleId="TOC4">
    <w:name w:val="toc 4"/>
    <w:basedOn w:val="Normal"/>
    <w:next w:val="Normal"/>
    <w:autoRedefine/>
    <w:uiPriority w:val="39"/>
    <w:unhideWhenUsed/>
    <w:rsid w:val="00EF7933"/>
    <w:pPr>
      <w:spacing w:after="100"/>
      <w:ind w:left="660"/>
    </w:pPr>
    <w:rPr>
      <w:rFonts w:eastAsiaTheme="minorEastAsia"/>
      <w:lang w:eastAsia="en-GB"/>
    </w:rPr>
  </w:style>
  <w:style w:type="paragraph" w:styleId="TOC5">
    <w:name w:val="toc 5"/>
    <w:basedOn w:val="Normal"/>
    <w:next w:val="Normal"/>
    <w:autoRedefine/>
    <w:uiPriority w:val="39"/>
    <w:unhideWhenUsed/>
    <w:rsid w:val="00EF7933"/>
    <w:pPr>
      <w:spacing w:after="100"/>
      <w:ind w:left="880"/>
    </w:pPr>
    <w:rPr>
      <w:rFonts w:eastAsiaTheme="minorEastAsia"/>
      <w:lang w:eastAsia="en-GB"/>
    </w:rPr>
  </w:style>
  <w:style w:type="paragraph" w:styleId="TOC6">
    <w:name w:val="toc 6"/>
    <w:basedOn w:val="Normal"/>
    <w:next w:val="Normal"/>
    <w:autoRedefine/>
    <w:uiPriority w:val="39"/>
    <w:unhideWhenUsed/>
    <w:rsid w:val="00EF7933"/>
    <w:pPr>
      <w:spacing w:after="100"/>
      <w:ind w:left="1100"/>
    </w:pPr>
    <w:rPr>
      <w:rFonts w:eastAsiaTheme="minorEastAsia"/>
      <w:lang w:eastAsia="en-GB"/>
    </w:rPr>
  </w:style>
  <w:style w:type="paragraph" w:styleId="TOC7">
    <w:name w:val="toc 7"/>
    <w:basedOn w:val="Normal"/>
    <w:next w:val="Normal"/>
    <w:autoRedefine/>
    <w:uiPriority w:val="39"/>
    <w:unhideWhenUsed/>
    <w:rsid w:val="00EF7933"/>
    <w:pPr>
      <w:spacing w:after="100"/>
      <w:ind w:left="1320"/>
    </w:pPr>
    <w:rPr>
      <w:rFonts w:eastAsiaTheme="minorEastAsia"/>
      <w:lang w:eastAsia="en-GB"/>
    </w:rPr>
  </w:style>
  <w:style w:type="paragraph" w:styleId="TOC8">
    <w:name w:val="toc 8"/>
    <w:basedOn w:val="Normal"/>
    <w:next w:val="Normal"/>
    <w:autoRedefine/>
    <w:uiPriority w:val="39"/>
    <w:unhideWhenUsed/>
    <w:rsid w:val="00EF7933"/>
    <w:pPr>
      <w:spacing w:after="100"/>
      <w:ind w:left="1540"/>
    </w:pPr>
    <w:rPr>
      <w:rFonts w:eastAsiaTheme="minorEastAsia"/>
      <w:lang w:eastAsia="en-GB"/>
    </w:rPr>
  </w:style>
  <w:style w:type="paragraph" w:styleId="TOC9">
    <w:name w:val="toc 9"/>
    <w:basedOn w:val="Normal"/>
    <w:next w:val="Normal"/>
    <w:autoRedefine/>
    <w:uiPriority w:val="39"/>
    <w:unhideWhenUsed/>
    <w:rsid w:val="00EF7933"/>
    <w:pPr>
      <w:spacing w:after="100"/>
      <w:ind w:left="1760"/>
    </w:pPr>
    <w:rPr>
      <w:rFonts w:eastAsiaTheme="minorEastAsia"/>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467039">
      <w:bodyDiv w:val="1"/>
      <w:marLeft w:val="0"/>
      <w:marRight w:val="0"/>
      <w:marTop w:val="0"/>
      <w:marBottom w:val="0"/>
      <w:divBdr>
        <w:top w:val="none" w:sz="0" w:space="0" w:color="auto"/>
        <w:left w:val="none" w:sz="0" w:space="0" w:color="auto"/>
        <w:bottom w:val="none" w:sz="0" w:space="0" w:color="auto"/>
        <w:right w:val="none" w:sz="0" w:space="0" w:color="auto"/>
      </w:divBdr>
    </w:div>
    <w:div w:id="49230367">
      <w:bodyDiv w:val="1"/>
      <w:marLeft w:val="0"/>
      <w:marRight w:val="0"/>
      <w:marTop w:val="0"/>
      <w:marBottom w:val="0"/>
      <w:divBdr>
        <w:top w:val="none" w:sz="0" w:space="0" w:color="auto"/>
        <w:left w:val="none" w:sz="0" w:space="0" w:color="auto"/>
        <w:bottom w:val="none" w:sz="0" w:space="0" w:color="auto"/>
        <w:right w:val="none" w:sz="0" w:space="0" w:color="auto"/>
      </w:divBdr>
    </w:div>
    <w:div w:id="52778934">
      <w:bodyDiv w:val="1"/>
      <w:marLeft w:val="0"/>
      <w:marRight w:val="0"/>
      <w:marTop w:val="0"/>
      <w:marBottom w:val="0"/>
      <w:divBdr>
        <w:top w:val="none" w:sz="0" w:space="0" w:color="auto"/>
        <w:left w:val="none" w:sz="0" w:space="0" w:color="auto"/>
        <w:bottom w:val="none" w:sz="0" w:space="0" w:color="auto"/>
        <w:right w:val="none" w:sz="0" w:space="0" w:color="auto"/>
      </w:divBdr>
    </w:div>
    <w:div w:id="62677725">
      <w:bodyDiv w:val="1"/>
      <w:marLeft w:val="0"/>
      <w:marRight w:val="0"/>
      <w:marTop w:val="0"/>
      <w:marBottom w:val="0"/>
      <w:divBdr>
        <w:top w:val="none" w:sz="0" w:space="0" w:color="auto"/>
        <w:left w:val="none" w:sz="0" w:space="0" w:color="auto"/>
        <w:bottom w:val="none" w:sz="0" w:space="0" w:color="auto"/>
        <w:right w:val="none" w:sz="0" w:space="0" w:color="auto"/>
      </w:divBdr>
    </w:div>
    <w:div w:id="133063955">
      <w:bodyDiv w:val="1"/>
      <w:marLeft w:val="0"/>
      <w:marRight w:val="0"/>
      <w:marTop w:val="0"/>
      <w:marBottom w:val="0"/>
      <w:divBdr>
        <w:top w:val="none" w:sz="0" w:space="0" w:color="auto"/>
        <w:left w:val="none" w:sz="0" w:space="0" w:color="auto"/>
        <w:bottom w:val="none" w:sz="0" w:space="0" w:color="auto"/>
        <w:right w:val="none" w:sz="0" w:space="0" w:color="auto"/>
      </w:divBdr>
    </w:div>
    <w:div w:id="151870368">
      <w:bodyDiv w:val="1"/>
      <w:marLeft w:val="0"/>
      <w:marRight w:val="0"/>
      <w:marTop w:val="0"/>
      <w:marBottom w:val="0"/>
      <w:divBdr>
        <w:top w:val="none" w:sz="0" w:space="0" w:color="auto"/>
        <w:left w:val="none" w:sz="0" w:space="0" w:color="auto"/>
        <w:bottom w:val="none" w:sz="0" w:space="0" w:color="auto"/>
        <w:right w:val="none" w:sz="0" w:space="0" w:color="auto"/>
      </w:divBdr>
    </w:div>
    <w:div w:id="168300522">
      <w:bodyDiv w:val="1"/>
      <w:marLeft w:val="0"/>
      <w:marRight w:val="0"/>
      <w:marTop w:val="0"/>
      <w:marBottom w:val="0"/>
      <w:divBdr>
        <w:top w:val="none" w:sz="0" w:space="0" w:color="auto"/>
        <w:left w:val="none" w:sz="0" w:space="0" w:color="auto"/>
        <w:bottom w:val="none" w:sz="0" w:space="0" w:color="auto"/>
        <w:right w:val="none" w:sz="0" w:space="0" w:color="auto"/>
      </w:divBdr>
    </w:div>
    <w:div w:id="185683077">
      <w:bodyDiv w:val="1"/>
      <w:marLeft w:val="0"/>
      <w:marRight w:val="0"/>
      <w:marTop w:val="0"/>
      <w:marBottom w:val="0"/>
      <w:divBdr>
        <w:top w:val="none" w:sz="0" w:space="0" w:color="auto"/>
        <w:left w:val="none" w:sz="0" w:space="0" w:color="auto"/>
        <w:bottom w:val="none" w:sz="0" w:space="0" w:color="auto"/>
        <w:right w:val="none" w:sz="0" w:space="0" w:color="auto"/>
      </w:divBdr>
    </w:div>
    <w:div w:id="232009831">
      <w:bodyDiv w:val="1"/>
      <w:marLeft w:val="0"/>
      <w:marRight w:val="0"/>
      <w:marTop w:val="0"/>
      <w:marBottom w:val="0"/>
      <w:divBdr>
        <w:top w:val="none" w:sz="0" w:space="0" w:color="auto"/>
        <w:left w:val="none" w:sz="0" w:space="0" w:color="auto"/>
        <w:bottom w:val="none" w:sz="0" w:space="0" w:color="auto"/>
        <w:right w:val="none" w:sz="0" w:space="0" w:color="auto"/>
      </w:divBdr>
    </w:div>
    <w:div w:id="239297492">
      <w:bodyDiv w:val="1"/>
      <w:marLeft w:val="0"/>
      <w:marRight w:val="0"/>
      <w:marTop w:val="0"/>
      <w:marBottom w:val="0"/>
      <w:divBdr>
        <w:top w:val="none" w:sz="0" w:space="0" w:color="auto"/>
        <w:left w:val="none" w:sz="0" w:space="0" w:color="auto"/>
        <w:bottom w:val="none" w:sz="0" w:space="0" w:color="auto"/>
        <w:right w:val="none" w:sz="0" w:space="0" w:color="auto"/>
      </w:divBdr>
    </w:div>
    <w:div w:id="279188396">
      <w:bodyDiv w:val="1"/>
      <w:marLeft w:val="0"/>
      <w:marRight w:val="0"/>
      <w:marTop w:val="0"/>
      <w:marBottom w:val="0"/>
      <w:divBdr>
        <w:top w:val="none" w:sz="0" w:space="0" w:color="auto"/>
        <w:left w:val="none" w:sz="0" w:space="0" w:color="auto"/>
        <w:bottom w:val="none" w:sz="0" w:space="0" w:color="auto"/>
        <w:right w:val="none" w:sz="0" w:space="0" w:color="auto"/>
      </w:divBdr>
    </w:div>
    <w:div w:id="291521617">
      <w:bodyDiv w:val="1"/>
      <w:marLeft w:val="0"/>
      <w:marRight w:val="0"/>
      <w:marTop w:val="0"/>
      <w:marBottom w:val="0"/>
      <w:divBdr>
        <w:top w:val="none" w:sz="0" w:space="0" w:color="auto"/>
        <w:left w:val="none" w:sz="0" w:space="0" w:color="auto"/>
        <w:bottom w:val="none" w:sz="0" w:space="0" w:color="auto"/>
        <w:right w:val="none" w:sz="0" w:space="0" w:color="auto"/>
      </w:divBdr>
    </w:div>
    <w:div w:id="356859129">
      <w:bodyDiv w:val="1"/>
      <w:marLeft w:val="0"/>
      <w:marRight w:val="0"/>
      <w:marTop w:val="0"/>
      <w:marBottom w:val="0"/>
      <w:divBdr>
        <w:top w:val="none" w:sz="0" w:space="0" w:color="auto"/>
        <w:left w:val="none" w:sz="0" w:space="0" w:color="auto"/>
        <w:bottom w:val="none" w:sz="0" w:space="0" w:color="auto"/>
        <w:right w:val="none" w:sz="0" w:space="0" w:color="auto"/>
      </w:divBdr>
    </w:div>
    <w:div w:id="370304069">
      <w:bodyDiv w:val="1"/>
      <w:marLeft w:val="0"/>
      <w:marRight w:val="0"/>
      <w:marTop w:val="0"/>
      <w:marBottom w:val="0"/>
      <w:divBdr>
        <w:top w:val="none" w:sz="0" w:space="0" w:color="auto"/>
        <w:left w:val="none" w:sz="0" w:space="0" w:color="auto"/>
        <w:bottom w:val="none" w:sz="0" w:space="0" w:color="auto"/>
        <w:right w:val="none" w:sz="0" w:space="0" w:color="auto"/>
      </w:divBdr>
    </w:div>
    <w:div w:id="383649285">
      <w:bodyDiv w:val="1"/>
      <w:marLeft w:val="0"/>
      <w:marRight w:val="0"/>
      <w:marTop w:val="0"/>
      <w:marBottom w:val="0"/>
      <w:divBdr>
        <w:top w:val="none" w:sz="0" w:space="0" w:color="auto"/>
        <w:left w:val="none" w:sz="0" w:space="0" w:color="auto"/>
        <w:bottom w:val="none" w:sz="0" w:space="0" w:color="auto"/>
        <w:right w:val="none" w:sz="0" w:space="0" w:color="auto"/>
      </w:divBdr>
    </w:div>
    <w:div w:id="401028317">
      <w:bodyDiv w:val="1"/>
      <w:marLeft w:val="0"/>
      <w:marRight w:val="0"/>
      <w:marTop w:val="0"/>
      <w:marBottom w:val="0"/>
      <w:divBdr>
        <w:top w:val="none" w:sz="0" w:space="0" w:color="auto"/>
        <w:left w:val="none" w:sz="0" w:space="0" w:color="auto"/>
        <w:bottom w:val="none" w:sz="0" w:space="0" w:color="auto"/>
        <w:right w:val="none" w:sz="0" w:space="0" w:color="auto"/>
      </w:divBdr>
    </w:div>
    <w:div w:id="451049033">
      <w:bodyDiv w:val="1"/>
      <w:marLeft w:val="0"/>
      <w:marRight w:val="0"/>
      <w:marTop w:val="0"/>
      <w:marBottom w:val="0"/>
      <w:divBdr>
        <w:top w:val="none" w:sz="0" w:space="0" w:color="auto"/>
        <w:left w:val="none" w:sz="0" w:space="0" w:color="auto"/>
        <w:bottom w:val="none" w:sz="0" w:space="0" w:color="auto"/>
        <w:right w:val="none" w:sz="0" w:space="0" w:color="auto"/>
      </w:divBdr>
    </w:div>
    <w:div w:id="469520321">
      <w:bodyDiv w:val="1"/>
      <w:marLeft w:val="0"/>
      <w:marRight w:val="0"/>
      <w:marTop w:val="0"/>
      <w:marBottom w:val="0"/>
      <w:divBdr>
        <w:top w:val="none" w:sz="0" w:space="0" w:color="auto"/>
        <w:left w:val="none" w:sz="0" w:space="0" w:color="auto"/>
        <w:bottom w:val="none" w:sz="0" w:space="0" w:color="auto"/>
        <w:right w:val="none" w:sz="0" w:space="0" w:color="auto"/>
      </w:divBdr>
    </w:div>
    <w:div w:id="479153806">
      <w:bodyDiv w:val="1"/>
      <w:marLeft w:val="0"/>
      <w:marRight w:val="0"/>
      <w:marTop w:val="0"/>
      <w:marBottom w:val="0"/>
      <w:divBdr>
        <w:top w:val="none" w:sz="0" w:space="0" w:color="auto"/>
        <w:left w:val="none" w:sz="0" w:space="0" w:color="auto"/>
        <w:bottom w:val="none" w:sz="0" w:space="0" w:color="auto"/>
        <w:right w:val="none" w:sz="0" w:space="0" w:color="auto"/>
      </w:divBdr>
    </w:div>
    <w:div w:id="509222827">
      <w:bodyDiv w:val="1"/>
      <w:marLeft w:val="0"/>
      <w:marRight w:val="0"/>
      <w:marTop w:val="0"/>
      <w:marBottom w:val="0"/>
      <w:divBdr>
        <w:top w:val="none" w:sz="0" w:space="0" w:color="auto"/>
        <w:left w:val="none" w:sz="0" w:space="0" w:color="auto"/>
        <w:bottom w:val="none" w:sz="0" w:space="0" w:color="auto"/>
        <w:right w:val="none" w:sz="0" w:space="0" w:color="auto"/>
      </w:divBdr>
    </w:div>
    <w:div w:id="628517678">
      <w:bodyDiv w:val="1"/>
      <w:marLeft w:val="0"/>
      <w:marRight w:val="0"/>
      <w:marTop w:val="0"/>
      <w:marBottom w:val="0"/>
      <w:divBdr>
        <w:top w:val="none" w:sz="0" w:space="0" w:color="auto"/>
        <w:left w:val="none" w:sz="0" w:space="0" w:color="auto"/>
        <w:bottom w:val="none" w:sz="0" w:space="0" w:color="auto"/>
        <w:right w:val="none" w:sz="0" w:space="0" w:color="auto"/>
      </w:divBdr>
    </w:div>
    <w:div w:id="644942327">
      <w:bodyDiv w:val="1"/>
      <w:marLeft w:val="0"/>
      <w:marRight w:val="0"/>
      <w:marTop w:val="0"/>
      <w:marBottom w:val="0"/>
      <w:divBdr>
        <w:top w:val="none" w:sz="0" w:space="0" w:color="auto"/>
        <w:left w:val="none" w:sz="0" w:space="0" w:color="auto"/>
        <w:bottom w:val="none" w:sz="0" w:space="0" w:color="auto"/>
        <w:right w:val="none" w:sz="0" w:space="0" w:color="auto"/>
      </w:divBdr>
    </w:div>
    <w:div w:id="663239918">
      <w:bodyDiv w:val="1"/>
      <w:marLeft w:val="0"/>
      <w:marRight w:val="0"/>
      <w:marTop w:val="0"/>
      <w:marBottom w:val="0"/>
      <w:divBdr>
        <w:top w:val="none" w:sz="0" w:space="0" w:color="auto"/>
        <w:left w:val="none" w:sz="0" w:space="0" w:color="auto"/>
        <w:bottom w:val="none" w:sz="0" w:space="0" w:color="auto"/>
        <w:right w:val="none" w:sz="0" w:space="0" w:color="auto"/>
      </w:divBdr>
    </w:div>
    <w:div w:id="692539587">
      <w:bodyDiv w:val="1"/>
      <w:marLeft w:val="0"/>
      <w:marRight w:val="0"/>
      <w:marTop w:val="0"/>
      <w:marBottom w:val="0"/>
      <w:divBdr>
        <w:top w:val="none" w:sz="0" w:space="0" w:color="auto"/>
        <w:left w:val="none" w:sz="0" w:space="0" w:color="auto"/>
        <w:bottom w:val="none" w:sz="0" w:space="0" w:color="auto"/>
        <w:right w:val="none" w:sz="0" w:space="0" w:color="auto"/>
      </w:divBdr>
    </w:div>
    <w:div w:id="710346694">
      <w:bodyDiv w:val="1"/>
      <w:marLeft w:val="0"/>
      <w:marRight w:val="0"/>
      <w:marTop w:val="0"/>
      <w:marBottom w:val="0"/>
      <w:divBdr>
        <w:top w:val="none" w:sz="0" w:space="0" w:color="auto"/>
        <w:left w:val="none" w:sz="0" w:space="0" w:color="auto"/>
        <w:bottom w:val="none" w:sz="0" w:space="0" w:color="auto"/>
        <w:right w:val="none" w:sz="0" w:space="0" w:color="auto"/>
      </w:divBdr>
    </w:div>
    <w:div w:id="792359627">
      <w:bodyDiv w:val="1"/>
      <w:marLeft w:val="0"/>
      <w:marRight w:val="0"/>
      <w:marTop w:val="0"/>
      <w:marBottom w:val="0"/>
      <w:divBdr>
        <w:top w:val="none" w:sz="0" w:space="0" w:color="auto"/>
        <w:left w:val="none" w:sz="0" w:space="0" w:color="auto"/>
        <w:bottom w:val="none" w:sz="0" w:space="0" w:color="auto"/>
        <w:right w:val="none" w:sz="0" w:space="0" w:color="auto"/>
      </w:divBdr>
    </w:div>
    <w:div w:id="831218350">
      <w:bodyDiv w:val="1"/>
      <w:marLeft w:val="0"/>
      <w:marRight w:val="0"/>
      <w:marTop w:val="0"/>
      <w:marBottom w:val="0"/>
      <w:divBdr>
        <w:top w:val="none" w:sz="0" w:space="0" w:color="auto"/>
        <w:left w:val="none" w:sz="0" w:space="0" w:color="auto"/>
        <w:bottom w:val="none" w:sz="0" w:space="0" w:color="auto"/>
        <w:right w:val="none" w:sz="0" w:space="0" w:color="auto"/>
      </w:divBdr>
    </w:div>
    <w:div w:id="972905004">
      <w:bodyDiv w:val="1"/>
      <w:marLeft w:val="0"/>
      <w:marRight w:val="0"/>
      <w:marTop w:val="0"/>
      <w:marBottom w:val="0"/>
      <w:divBdr>
        <w:top w:val="none" w:sz="0" w:space="0" w:color="auto"/>
        <w:left w:val="none" w:sz="0" w:space="0" w:color="auto"/>
        <w:bottom w:val="none" w:sz="0" w:space="0" w:color="auto"/>
        <w:right w:val="none" w:sz="0" w:space="0" w:color="auto"/>
      </w:divBdr>
    </w:div>
    <w:div w:id="1008563453">
      <w:bodyDiv w:val="1"/>
      <w:marLeft w:val="0"/>
      <w:marRight w:val="0"/>
      <w:marTop w:val="0"/>
      <w:marBottom w:val="0"/>
      <w:divBdr>
        <w:top w:val="none" w:sz="0" w:space="0" w:color="auto"/>
        <w:left w:val="none" w:sz="0" w:space="0" w:color="auto"/>
        <w:bottom w:val="none" w:sz="0" w:space="0" w:color="auto"/>
        <w:right w:val="none" w:sz="0" w:space="0" w:color="auto"/>
      </w:divBdr>
      <w:divsChild>
        <w:div w:id="791093358">
          <w:marLeft w:val="0"/>
          <w:marRight w:val="0"/>
          <w:marTop w:val="0"/>
          <w:marBottom w:val="0"/>
          <w:divBdr>
            <w:top w:val="none" w:sz="0" w:space="0" w:color="auto"/>
            <w:left w:val="none" w:sz="0" w:space="0" w:color="auto"/>
            <w:bottom w:val="none" w:sz="0" w:space="0" w:color="auto"/>
            <w:right w:val="none" w:sz="0" w:space="0" w:color="auto"/>
          </w:divBdr>
          <w:divsChild>
            <w:div w:id="398136162">
              <w:marLeft w:val="0"/>
              <w:marRight w:val="0"/>
              <w:marTop w:val="0"/>
              <w:marBottom w:val="0"/>
              <w:divBdr>
                <w:top w:val="none" w:sz="0" w:space="0" w:color="auto"/>
                <w:left w:val="none" w:sz="0" w:space="0" w:color="auto"/>
                <w:bottom w:val="none" w:sz="0" w:space="0" w:color="auto"/>
                <w:right w:val="none" w:sz="0" w:space="0" w:color="auto"/>
              </w:divBdr>
              <w:divsChild>
                <w:div w:id="1952973104">
                  <w:marLeft w:val="0"/>
                  <w:marRight w:val="0"/>
                  <w:marTop w:val="0"/>
                  <w:marBottom w:val="0"/>
                  <w:divBdr>
                    <w:top w:val="none" w:sz="0" w:space="0" w:color="auto"/>
                    <w:left w:val="none" w:sz="0" w:space="0" w:color="auto"/>
                    <w:bottom w:val="none" w:sz="0" w:space="0" w:color="auto"/>
                    <w:right w:val="none" w:sz="0" w:space="0" w:color="auto"/>
                  </w:divBdr>
                  <w:divsChild>
                    <w:div w:id="1309940921">
                      <w:marLeft w:val="0"/>
                      <w:marRight w:val="0"/>
                      <w:marTop w:val="0"/>
                      <w:marBottom w:val="0"/>
                      <w:divBdr>
                        <w:top w:val="none" w:sz="0" w:space="0" w:color="auto"/>
                        <w:left w:val="none" w:sz="0" w:space="0" w:color="auto"/>
                        <w:bottom w:val="none" w:sz="0" w:space="0" w:color="auto"/>
                        <w:right w:val="none" w:sz="0" w:space="0" w:color="auto"/>
                      </w:divBdr>
                      <w:divsChild>
                        <w:div w:id="143105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1493738">
      <w:bodyDiv w:val="1"/>
      <w:marLeft w:val="0"/>
      <w:marRight w:val="0"/>
      <w:marTop w:val="0"/>
      <w:marBottom w:val="0"/>
      <w:divBdr>
        <w:top w:val="none" w:sz="0" w:space="0" w:color="auto"/>
        <w:left w:val="none" w:sz="0" w:space="0" w:color="auto"/>
        <w:bottom w:val="none" w:sz="0" w:space="0" w:color="auto"/>
        <w:right w:val="none" w:sz="0" w:space="0" w:color="auto"/>
      </w:divBdr>
    </w:div>
    <w:div w:id="1030759501">
      <w:bodyDiv w:val="1"/>
      <w:marLeft w:val="0"/>
      <w:marRight w:val="0"/>
      <w:marTop w:val="0"/>
      <w:marBottom w:val="0"/>
      <w:divBdr>
        <w:top w:val="none" w:sz="0" w:space="0" w:color="auto"/>
        <w:left w:val="none" w:sz="0" w:space="0" w:color="auto"/>
        <w:bottom w:val="none" w:sz="0" w:space="0" w:color="auto"/>
        <w:right w:val="none" w:sz="0" w:space="0" w:color="auto"/>
      </w:divBdr>
    </w:div>
    <w:div w:id="1159274468">
      <w:bodyDiv w:val="1"/>
      <w:marLeft w:val="0"/>
      <w:marRight w:val="0"/>
      <w:marTop w:val="0"/>
      <w:marBottom w:val="0"/>
      <w:divBdr>
        <w:top w:val="none" w:sz="0" w:space="0" w:color="auto"/>
        <w:left w:val="none" w:sz="0" w:space="0" w:color="auto"/>
        <w:bottom w:val="none" w:sz="0" w:space="0" w:color="auto"/>
        <w:right w:val="none" w:sz="0" w:space="0" w:color="auto"/>
      </w:divBdr>
    </w:div>
    <w:div w:id="1217594765">
      <w:bodyDiv w:val="1"/>
      <w:marLeft w:val="0"/>
      <w:marRight w:val="0"/>
      <w:marTop w:val="0"/>
      <w:marBottom w:val="0"/>
      <w:divBdr>
        <w:top w:val="none" w:sz="0" w:space="0" w:color="auto"/>
        <w:left w:val="none" w:sz="0" w:space="0" w:color="auto"/>
        <w:bottom w:val="none" w:sz="0" w:space="0" w:color="auto"/>
        <w:right w:val="none" w:sz="0" w:space="0" w:color="auto"/>
      </w:divBdr>
    </w:div>
    <w:div w:id="1248271586">
      <w:bodyDiv w:val="1"/>
      <w:marLeft w:val="0"/>
      <w:marRight w:val="0"/>
      <w:marTop w:val="0"/>
      <w:marBottom w:val="0"/>
      <w:divBdr>
        <w:top w:val="none" w:sz="0" w:space="0" w:color="auto"/>
        <w:left w:val="none" w:sz="0" w:space="0" w:color="auto"/>
        <w:bottom w:val="none" w:sz="0" w:space="0" w:color="auto"/>
        <w:right w:val="none" w:sz="0" w:space="0" w:color="auto"/>
      </w:divBdr>
    </w:div>
    <w:div w:id="1280531110">
      <w:bodyDiv w:val="1"/>
      <w:marLeft w:val="0"/>
      <w:marRight w:val="0"/>
      <w:marTop w:val="0"/>
      <w:marBottom w:val="0"/>
      <w:divBdr>
        <w:top w:val="none" w:sz="0" w:space="0" w:color="auto"/>
        <w:left w:val="none" w:sz="0" w:space="0" w:color="auto"/>
        <w:bottom w:val="none" w:sz="0" w:space="0" w:color="auto"/>
        <w:right w:val="none" w:sz="0" w:space="0" w:color="auto"/>
      </w:divBdr>
    </w:div>
    <w:div w:id="1289093709">
      <w:bodyDiv w:val="1"/>
      <w:marLeft w:val="0"/>
      <w:marRight w:val="0"/>
      <w:marTop w:val="0"/>
      <w:marBottom w:val="0"/>
      <w:divBdr>
        <w:top w:val="none" w:sz="0" w:space="0" w:color="auto"/>
        <w:left w:val="none" w:sz="0" w:space="0" w:color="auto"/>
        <w:bottom w:val="none" w:sz="0" w:space="0" w:color="auto"/>
        <w:right w:val="none" w:sz="0" w:space="0" w:color="auto"/>
      </w:divBdr>
    </w:div>
    <w:div w:id="1382631171">
      <w:bodyDiv w:val="1"/>
      <w:marLeft w:val="0"/>
      <w:marRight w:val="0"/>
      <w:marTop w:val="0"/>
      <w:marBottom w:val="0"/>
      <w:divBdr>
        <w:top w:val="none" w:sz="0" w:space="0" w:color="auto"/>
        <w:left w:val="none" w:sz="0" w:space="0" w:color="auto"/>
        <w:bottom w:val="none" w:sz="0" w:space="0" w:color="auto"/>
        <w:right w:val="none" w:sz="0" w:space="0" w:color="auto"/>
      </w:divBdr>
    </w:div>
    <w:div w:id="1487697084">
      <w:bodyDiv w:val="1"/>
      <w:marLeft w:val="0"/>
      <w:marRight w:val="0"/>
      <w:marTop w:val="0"/>
      <w:marBottom w:val="0"/>
      <w:divBdr>
        <w:top w:val="none" w:sz="0" w:space="0" w:color="auto"/>
        <w:left w:val="none" w:sz="0" w:space="0" w:color="auto"/>
        <w:bottom w:val="none" w:sz="0" w:space="0" w:color="auto"/>
        <w:right w:val="none" w:sz="0" w:space="0" w:color="auto"/>
      </w:divBdr>
    </w:div>
    <w:div w:id="1537504274">
      <w:bodyDiv w:val="1"/>
      <w:marLeft w:val="0"/>
      <w:marRight w:val="0"/>
      <w:marTop w:val="0"/>
      <w:marBottom w:val="0"/>
      <w:divBdr>
        <w:top w:val="none" w:sz="0" w:space="0" w:color="auto"/>
        <w:left w:val="none" w:sz="0" w:space="0" w:color="auto"/>
        <w:bottom w:val="none" w:sz="0" w:space="0" w:color="auto"/>
        <w:right w:val="none" w:sz="0" w:space="0" w:color="auto"/>
      </w:divBdr>
    </w:div>
    <w:div w:id="1546985948">
      <w:bodyDiv w:val="1"/>
      <w:marLeft w:val="0"/>
      <w:marRight w:val="0"/>
      <w:marTop w:val="0"/>
      <w:marBottom w:val="0"/>
      <w:divBdr>
        <w:top w:val="none" w:sz="0" w:space="0" w:color="auto"/>
        <w:left w:val="none" w:sz="0" w:space="0" w:color="auto"/>
        <w:bottom w:val="none" w:sz="0" w:space="0" w:color="auto"/>
        <w:right w:val="none" w:sz="0" w:space="0" w:color="auto"/>
      </w:divBdr>
    </w:div>
    <w:div w:id="1566794375">
      <w:bodyDiv w:val="1"/>
      <w:marLeft w:val="0"/>
      <w:marRight w:val="0"/>
      <w:marTop w:val="0"/>
      <w:marBottom w:val="0"/>
      <w:divBdr>
        <w:top w:val="none" w:sz="0" w:space="0" w:color="auto"/>
        <w:left w:val="none" w:sz="0" w:space="0" w:color="auto"/>
        <w:bottom w:val="none" w:sz="0" w:space="0" w:color="auto"/>
        <w:right w:val="none" w:sz="0" w:space="0" w:color="auto"/>
      </w:divBdr>
    </w:div>
    <w:div w:id="1566909406">
      <w:bodyDiv w:val="1"/>
      <w:marLeft w:val="0"/>
      <w:marRight w:val="0"/>
      <w:marTop w:val="0"/>
      <w:marBottom w:val="0"/>
      <w:divBdr>
        <w:top w:val="none" w:sz="0" w:space="0" w:color="auto"/>
        <w:left w:val="none" w:sz="0" w:space="0" w:color="auto"/>
        <w:bottom w:val="none" w:sz="0" w:space="0" w:color="auto"/>
        <w:right w:val="none" w:sz="0" w:space="0" w:color="auto"/>
      </w:divBdr>
    </w:div>
    <w:div w:id="1590428524">
      <w:bodyDiv w:val="1"/>
      <w:marLeft w:val="0"/>
      <w:marRight w:val="0"/>
      <w:marTop w:val="0"/>
      <w:marBottom w:val="0"/>
      <w:divBdr>
        <w:top w:val="none" w:sz="0" w:space="0" w:color="auto"/>
        <w:left w:val="none" w:sz="0" w:space="0" w:color="auto"/>
        <w:bottom w:val="none" w:sz="0" w:space="0" w:color="auto"/>
        <w:right w:val="none" w:sz="0" w:space="0" w:color="auto"/>
      </w:divBdr>
    </w:div>
    <w:div w:id="1597591835">
      <w:bodyDiv w:val="1"/>
      <w:marLeft w:val="0"/>
      <w:marRight w:val="0"/>
      <w:marTop w:val="0"/>
      <w:marBottom w:val="0"/>
      <w:divBdr>
        <w:top w:val="none" w:sz="0" w:space="0" w:color="auto"/>
        <w:left w:val="none" w:sz="0" w:space="0" w:color="auto"/>
        <w:bottom w:val="none" w:sz="0" w:space="0" w:color="auto"/>
        <w:right w:val="none" w:sz="0" w:space="0" w:color="auto"/>
      </w:divBdr>
    </w:div>
    <w:div w:id="1615674088">
      <w:bodyDiv w:val="1"/>
      <w:marLeft w:val="0"/>
      <w:marRight w:val="0"/>
      <w:marTop w:val="0"/>
      <w:marBottom w:val="0"/>
      <w:divBdr>
        <w:top w:val="none" w:sz="0" w:space="0" w:color="auto"/>
        <w:left w:val="none" w:sz="0" w:space="0" w:color="auto"/>
        <w:bottom w:val="none" w:sz="0" w:space="0" w:color="auto"/>
        <w:right w:val="none" w:sz="0" w:space="0" w:color="auto"/>
      </w:divBdr>
    </w:div>
    <w:div w:id="1644235575">
      <w:bodyDiv w:val="1"/>
      <w:marLeft w:val="0"/>
      <w:marRight w:val="0"/>
      <w:marTop w:val="0"/>
      <w:marBottom w:val="0"/>
      <w:divBdr>
        <w:top w:val="none" w:sz="0" w:space="0" w:color="auto"/>
        <w:left w:val="none" w:sz="0" w:space="0" w:color="auto"/>
        <w:bottom w:val="none" w:sz="0" w:space="0" w:color="auto"/>
        <w:right w:val="none" w:sz="0" w:space="0" w:color="auto"/>
      </w:divBdr>
    </w:div>
    <w:div w:id="1787849188">
      <w:bodyDiv w:val="1"/>
      <w:marLeft w:val="0"/>
      <w:marRight w:val="0"/>
      <w:marTop w:val="0"/>
      <w:marBottom w:val="0"/>
      <w:divBdr>
        <w:top w:val="none" w:sz="0" w:space="0" w:color="auto"/>
        <w:left w:val="none" w:sz="0" w:space="0" w:color="auto"/>
        <w:bottom w:val="none" w:sz="0" w:space="0" w:color="auto"/>
        <w:right w:val="none" w:sz="0" w:space="0" w:color="auto"/>
      </w:divBdr>
      <w:divsChild>
        <w:div w:id="662926387">
          <w:marLeft w:val="0"/>
          <w:marRight w:val="0"/>
          <w:marTop w:val="0"/>
          <w:marBottom w:val="0"/>
          <w:divBdr>
            <w:top w:val="none" w:sz="0" w:space="0" w:color="auto"/>
            <w:left w:val="none" w:sz="0" w:space="0" w:color="auto"/>
            <w:bottom w:val="none" w:sz="0" w:space="0" w:color="auto"/>
            <w:right w:val="none" w:sz="0" w:space="0" w:color="auto"/>
          </w:divBdr>
          <w:divsChild>
            <w:div w:id="525482830">
              <w:marLeft w:val="0"/>
              <w:marRight w:val="0"/>
              <w:marTop w:val="0"/>
              <w:marBottom w:val="0"/>
              <w:divBdr>
                <w:top w:val="none" w:sz="0" w:space="0" w:color="auto"/>
                <w:left w:val="none" w:sz="0" w:space="0" w:color="auto"/>
                <w:bottom w:val="none" w:sz="0" w:space="0" w:color="auto"/>
                <w:right w:val="none" w:sz="0" w:space="0" w:color="auto"/>
              </w:divBdr>
              <w:divsChild>
                <w:div w:id="216094457">
                  <w:marLeft w:val="0"/>
                  <w:marRight w:val="0"/>
                  <w:marTop w:val="0"/>
                  <w:marBottom w:val="0"/>
                  <w:divBdr>
                    <w:top w:val="none" w:sz="0" w:space="0" w:color="auto"/>
                    <w:left w:val="none" w:sz="0" w:space="0" w:color="auto"/>
                    <w:bottom w:val="none" w:sz="0" w:space="0" w:color="auto"/>
                    <w:right w:val="none" w:sz="0" w:space="0" w:color="auto"/>
                  </w:divBdr>
                  <w:divsChild>
                    <w:div w:id="532961640">
                      <w:marLeft w:val="0"/>
                      <w:marRight w:val="0"/>
                      <w:marTop w:val="0"/>
                      <w:marBottom w:val="0"/>
                      <w:divBdr>
                        <w:top w:val="none" w:sz="0" w:space="0" w:color="auto"/>
                        <w:left w:val="none" w:sz="0" w:space="0" w:color="auto"/>
                        <w:bottom w:val="none" w:sz="0" w:space="0" w:color="auto"/>
                        <w:right w:val="none" w:sz="0" w:space="0" w:color="auto"/>
                      </w:divBdr>
                      <w:divsChild>
                        <w:div w:id="136458628">
                          <w:marLeft w:val="0"/>
                          <w:marRight w:val="0"/>
                          <w:marTop w:val="0"/>
                          <w:marBottom w:val="0"/>
                          <w:divBdr>
                            <w:top w:val="none" w:sz="0" w:space="0" w:color="auto"/>
                            <w:left w:val="none" w:sz="0" w:space="0" w:color="auto"/>
                            <w:bottom w:val="none" w:sz="0" w:space="0" w:color="auto"/>
                            <w:right w:val="none" w:sz="0" w:space="0" w:color="auto"/>
                          </w:divBdr>
                          <w:divsChild>
                            <w:div w:id="860899683">
                              <w:marLeft w:val="0"/>
                              <w:marRight w:val="0"/>
                              <w:marTop w:val="0"/>
                              <w:marBottom w:val="0"/>
                              <w:divBdr>
                                <w:top w:val="none" w:sz="0" w:space="0" w:color="auto"/>
                                <w:left w:val="none" w:sz="0" w:space="0" w:color="auto"/>
                                <w:bottom w:val="none" w:sz="0" w:space="0" w:color="auto"/>
                                <w:right w:val="none" w:sz="0" w:space="0" w:color="auto"/>
                              </w:divBdr>
                              <w:divsChild>
                                <w:div w:id="798719743">
                                  <w:marLeft w:val="0"/>
                                  <w:marRight w:val="0"/>
                                  <w:marTop w:val="0"/>
                                  <w:marBottom w:val="0"/>
                                  <w:divBdr>
                                    <w:top w:val="none" w:sz="0" w:space="0" w:color="auto"/>
                                    <w:left w:val="none" w:sz="0" w:space="0" w:color="auto"/>
                                    <w:bottom w:val="none" w:sz="0" w:space="0" w:color="auto"/>
                                    <w:right w:val="none" w:sz="0" w:space="0" w:color="auto"/>
                                  </w:divBdr>
                                  <w:divsChild>
                                    <w:div w:id="338971848">
                                      <w:marLeft w:val="0"/>
                                      <w:marRight w:val="0"/>
                                      <w:marTop w:val="0"/>
                                      <w:marBottom w:val="0"/>
                                      <w:divBdr>
                                        <w:top w:val="none" w:sz="0" w:space="0" w:color="auto"/>
                                        <w:left w:val="none" w:sz="0" w:space="0" w:color="auto"/>
                                        <w:bottom w:val="none" w:sz="0" w:space="0" w:color="auto"/>
                                        <w:right w:val="none" w:sz="0" w:space="0" w:color="auto"/>
                                      </w:divBdr>
                                      <w:divsChild>
                                        <w:div w:id="890772144">
                                          <w:marLeft w:val="0"/>
                                          <w:marRight w:val="0"/>
                                          <w:marTop w:val="0"/>
                                          <w:marBottom w:val="0"/>
                                          <w:divBdr>
                                            <w:top w:val="none" w:sz="0" w:space="0" w:color="auto"/>
                                            <w:left w:val="none" w:sz="0" w:space="0" w:color="auto"/>
                                            <w:bottom w:val="none" w:sz="0" w:space="0" w:color="auto"/>
                                            <w:right w:val="none" w:sz="0" w:space="0" w:color="auto"/>
                                          </w:divBdr>
                                          <w:divsChild>
                                            <w:div w:id="981693970">
                                              <w:marLeft w:val="0"/>
                                              <w:marRight w:val="0"/>
                                              <w:marTop w:val="0"/>
                                              <w:marBottom w:val="0"/>
                                              <w:divBdr>
                                                <w:top w:val="none" w:sz="0" w:space="0" w:color="auto"/>
                                                <w:left w:val="none" w:sz="0" w:space="0" w:color="auto"/>
                                                <w:bottom w:val="none" w:sz="0" w:space="0" w:color="auto"/>
                                                <w:right w:val="none" w:sz="0" w:space="0" w:color="auto"/>
                                              </w:divBdr>
                                              <w:divsChild>
                                                <w:div w:id="36976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039432">
                                          <w:marLeft w:val="0"/>
                                          <w:marRight w:val="0"/>
                                          <w:marTop w:val="0"/>
                                          <w:marBottom w:val="0"/>
                                          <w:divBdr>
                                            <w:top w:val="none" w:sz="0" w:space="0" w:color="auto"/>
                                            <w:left w:val="none" w:sz="0" w:space="0" w:color="auto"/>
                                            <w:bottom w:val="none" w:sz="0" w:space="0" w:color="auto"/>
                                            <w:right w:val="none" w:sz="0" w:space="0" w:color="auto"/>
                                          </w:divBdr>
                                          <w:divsChild>
                                            <w:div w:id="194807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93281977">
      <w:bodyDiv w:val="1"/>
      <w:marLeft w:val="0"/>
      <w:marRight w:val="0"/>
      <w:marTop w:val="0"/>
      <w:marBottom w:val="0"/>
      <w:divBdr>
        <w:top w:val="none" w:sz="0" w:space="0" w:color="auto"/>
        <w:left w:val="none" w:sz="0" w:space="0" w:color="auto"/>
        <w:bottom w:val="none" w:sz="0" w:space="0" w:color="auto"/>
        <w:right w:val="none" w:sz="0" w:space="0" w:color="auto"/>
      </w:divBdr>
      <w:divsChild>
        <w:div w:id="1995640382">
          <w:marLeft w:val="0"/>
          <w:marRight w:val="0"/>
          <w:marTop w:val="0"/>
          <w:marBottom w:val="0"/>
          <w:divBdr>
            <w:top w:val="none" w:sz="0" w:space="0" w:color="auto"/>
            <w:left w:val="none" w:sz="0" w:space="0" w:color="auto"/>
            <w:bottom w:val="none" w:sz="0" w:space="0" w:color="auto"/>
            <w:right w:val="none" w:sz="0" w:space="0" w:color="auto"/>
          </w:divBdr>
          <w:divsChild>
            <w:div w:id="2084373621">
              <w:marLeft w:val="0"/>
              <w:marRight w:val="0"/>
              <w:marTop w:val="450"/>
              <w:marBottom w:val="750"/>
              <w:divBdr>
                <w:top w:val="single" w:sz="6" w:space="23" w:color="017187"/>
                <w:left w:val="single" w:sz="6" w:space="23" w:color="017187"/>
                <w:bottom w:val="single" w:sz="6" w:space="23" w:color="017187"/>
                <w:right w:val="single" w:sz="6" w:space="23" w:color="017187"/>
              </w:divBdr>
              <w:divsChild>
                <w:div w:id="501704117">
                  <w:marLeft w:val="-225"/>
                  <w:marRight w:val="-225"/>
                  <w:marTop w:val="0"/>
                  <w:marBottom w:val="0"/>
                  <w:divBdr>
                    <w:top w:val="none" w:sz="0" w:space="0" w:color="auto"/>
                    <w:left w:val="none" w:sz="0" w:space="0" w:color="auto"/>
                    <w:bottom w:val="none" w:sz="0" w:space="0" w:color="auto"/>
                    <w:right w:val="none" w:sz="0" w:space="0" w:color="auto"/>
                  </w:divBdr>
                  <w:divsChild>
                    <w:div w:id="146546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213474">
      <w:bodyDiv w:val="1"/>
      <w:marLeft w:val="0"/>
      <w:marRight w:val="0"/>
      <w:marTop w:val="0"/>
      <w:marBottom w:val="0"/>
      <w:divBdr>
        <w:top w:val="none" w:sz="0" w:space="0" w:color="auto"/>
        <w:left w:val="none" w:sz="0" w:space="0" w:color="auto"/>
        <w:bottom w:val="none" w:sz="0" w:space="0" w:color="auto"/>
        <w:right w:val="none" w:sz="0" w:space="0" w:color="auto"/>
      </w:divBdr>
    </w:div>
    <w:div w:id="1842890699">
      <w:bodyDiv w:val="1"/>
      <w:marLeft w:val="0"/>
      <w:marRight w:val="0"/>
      <w:marTop w:val="0"/>
      <w:marBottom w:val="0"/>
      <w:divBdr>
        <w:top w:val="none" w:sz="0" w:space="0" w:color="auto"/>
        <w:left w:val="none" w:sz="0" w:space="0" w:color="auto"/>
        <w:bottom w:val="none" w:sz="0" w:space="0" w:color="auto"/>
        <w:right w:val="none" w:sz="0" w:space="0" w:color="auto"/>
      </w:divBdr>
    </w:div>
    <w:div w:id="1867329147">
      <w:bodyDiv w:val="1"/>
      <w:marLeft w:val="0"/>
      <w:marRight w:val="0"/>
      <w:marTop w:val="0"/>
      <w:marBottom w:val="0"/>
      <w:divBdr>
        <w:top w:val="none" w:sz="0" w:space="0" w:color="auto"/>
        <w:left w:val="none" w:sz="0" w:space="0" w:color="auto"/>
        <w:bottom w:val="none" w:sz="0" w:space="0" w:color="auto"/>
        <w:right w:val="none" w:sz="0" w:space="0" w:color="auto"/>
      </w:divBdr>
    </w:div>
    <w:div w:id="1932738960">
      <w:bodyDiv w:val="1"/>
      <w:marLeft w:val="0"/>
      <w:marRight w:val="0"/>
      <w:marTop w:val="0"/>
      <w:marBottom w:val="0"/>
      <w:divBdr>
        <w:top w:val="none" w:sz="0" w:space="0" w:color="auto"/>
        <w:left w:val="none" w:sz="0" w:space="0" w:color="auto"/>
        <w:bottom w:val="none" w:sz="0" w:space="0" w:color="auto"/>
        <w:right w:val="none" w:sz="0" w:space="0" w:color="auto"/>
      </w:divBdr>
    </w:div>
    <w:div w:id="1952280487">
      <w:bodyDiv w:val="1"/>
      <w:marLeft w:val="0"/>
      <w:marRight w:val="0"/>
      <w:marTop w:val="0"/>
      <w:marBottom w:val="0"/>
      <w:divBdr>
        <w:top w:val="none" w:sz="0" w:space="0" w:color="auto"/>
        <w:left w:val="none" w:sz="0" w:space="0" w:color="auto"/>
        <w:bottom w:val="none" w:sz="0" w:space="0" w:color="auto"/>
        <w:right w:val="none" w:sz="0" w:space="0" w:color="auto"/>
      </w:divBdr>
    </w:div>
    <w:div w:id="1979143034">
      <w:bodyDiv w:val="1"/>
      <w:marLeft w:val="0"/>
      <w:marRight w:val="0"/>
      <w:marTop w:val="0"/>
      <w:marBottom w:val="0"/>
      <w:divBdr>
        <w:top w:val="none" w:sz="0" w:space="0" w:color="auto"/>
        <w:left w:val="none" w:sz="0" w:space="0" w:color="auto"/>
        <w:bottom w:val="none" w:sz="0" w:space="0" w:color="auto"/>
        <w:right w:val="none" w:sz="0" w:space="0" w:color="auto"/>
      </w:divBdr>
    </w:div>
    <w:div w:id="1982734561">
      <w:bodyDiv w:val="1"/>
      <w:marLeft w:val="0"/>
      <w:marRight w:val="0"/>
      <w:marTop w:val="0"/>
      <w:marBottom w:val="0"/>
      <w:divBdr>
        <w:top w:val="none" w:sz="0" w:space="0" w:color="auto"/>
        <w:left w:val="none" w:sz="0" w:space="0" w:color="auto"/>
        <w:bottom w:val="none" w:sz="0" w:space="0" w:color="auto"/>
        <w:right w:val="none" w:sz="0" w:space="0" w:color="auto"/>
      </w:divBdr>
    </w:div>
    <w:div w:id="2008094024">
      <w:bodyDiv w:val="1"/>
      <w:marLeft w:val="0"/>
      <w:marRight w:val="0"/>
      <w:marTop w:val="0"/>
      <w:marBottom w:val="0"/>
      <w:divBdr>
        <w:top w:val="none" w:sz="0" w:space="0" w:color="auto"/>
        <w:left w:val="none" w:sz="0" w:space="0" w:color="auto"/>
        <w:bottom w:val="none" w:sz="0" w:space="0" w:color="auto"/>
        <w:right w:val="none" w:sz="0" w:space="0" w:color="auto"/>
      </w:divBdr>
    </w:div>
    <w:div w:id="2062826185">
      <w:bodyDiv w:val="1"/>
      <w:marLeft w:val="0"/>
      <w:marRight w:val="0"/>
      <w:marTop w:val="0"/>
      <w:marBottom w:val="0"/>
      <w:divBdr>
        <w:top w:val="none" w:sz="0" w:space="0" w:color="auto"/>
        <w:left w:val="none" w:sz="0" w:space="0" w:color="auto"/>
        <w:bottom w:val="none" w:sz="0" w:space="0" w:color="auto"/>
        <w:right w:val="none" w:sz="0" w:space="0" w:color="auto"/>
      </w:divBdr>
    </w:div>
    <w:div w:id="2117478092">
      <w:bodyDiv w:val="1"/>
      <w:marLeft w:val="0"/>
      <w:marRight w:val="0"/>
      <w:marTop w:val="0"/>
      <w:marBottom w:val="0"/>
      <w:divBdr>
        <w:top w:val="none" w:sz="0" w:space="0" w:color="auto"/>
        <w:left w:val="none" w:sz="0" w:space="0" w:color="auto"/>
        <w:bottom w:val="none" w:sz="0" w:space="0" w:color="auto"/>
        <w:right w:val="none" w:sz="0" w:space="0" w:color="auto"/>
      </w:divBdr>
    </w:div>
    <w:div w:id="21240318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61.xml"/><Relationship Id="rId21" Type="http://schemas.openxmlformats.org/officeDocument/2006/relationships/image" Target="media/image9.jpeg"/><Relationship Id="rId42" Type="http://schemas.openxmlformats.org/officeDocument/2006/relationships/chart" Target="charts/chart11.xml"/><Relationship Id="rId63" Type="http://schemas.openxmlformats.org/officeDocument/2006/relationships/hyperlink" Target="http://www.gov.scot/Publications/2018/03/6242/downloads" TargetMode="External"/><Relationship Id="rId84" Type="http://schemas.openxmlformats.org/officeDocument/2006/relationships/chart" Target="charts/chart40.xml"/><Relationship Id="rId138" Type="http://schemas.openxmlformats.org/officeDocument/2006/relationships/hyperlink" Target="https://www.nrscotland.gov.uk/statistics-and-data/statistics/statistics-by-theme/housholds/household-estimates" TargetMode="External"/><Relationship Id="rId159" Type="http://schemas.openxmlformats.org/officeDocument/2006/relationships/chart" Target="charts/chart82.xml"/><Relationship Id="rId170" Type="http://schemas.openxmlformats.org/officeDocument/2006/relationships/hyperlink" Target="http://www.gov.scot/Resource/0053/00531141.pdf" TargetMode="External"/><Relationship Id="rId191" Type="http://schemas.openxmlformats.org/officeDocument/2006/relationships/hyperlink" Target="https://www.nomisweb.co.uk/reports/lmp/la/1946157405/report.aspx?" TargetMode="External"/><Relationship Id="rId205" Type="http://schemas.openxmlformats.org/officeDocument/2006/relationships/hyperlink" Target="https://www.nomisweb.co.uk/reports/lmp/la/1946157405/report.aspx?" TargetMode="External"/><Relationship Id="rId226" Type="http://schemas.openxmlformats.org/officeDocument/2006/relationships/chart" Target="charts/chart111.xml"/><Relationship Id="rId247" Type="http://schemas.openxmlformats.org/officeDocument/2006/relationships/chart" Target="charts/chart119.xml"/><Relationship Id="rId107" Type="http://schemas.openxmlformats.org/officeDocument/2006/relationships/hyperlink" Target="http://www.gov.scot/Publications/2017/10/6398/downloads" TargetMode="External"/><Relationship Id="rId11" Type="http://schemas.openxmlformats.org/officeDocument/2006/relationships/image" Target="media/image2.png"/><Relationship Id="rId32" Type="http://schemas.openxmlformats.org/officeDocument/2006/relationships/chart" Target="charts/chart4.xml"/><Relationship Id="rId53" Type="http://schemas.openxmlformats.org/officeDocument/2006/relationships/chart" Target="charts/chart21.xml"/><Relationship Id="rId74" Type="http://schemas.openxmlformats.org/officeDocument/2006/relationships/hyperlink" Target="https://www.skillsdevelopmentscotland.co.uk/media/43537/2017_annual-participation-measure-summary_aberdeencity.pdf" TargetMode="External"/><Relationship Id="rId128" Type="http://schemas.openxmlformats.org/officeDocument/2006/relationships/hyperlink" Target="http://www.gov.scot/Resource/0053/00531141.pdf" TargetMode="External"/><Relationship Id="rId149" Type="http://schemas.openxmlformats.org/officeDocument/2006/relationships/image" Target="media/image15.png"/><Relationship Id="rId5" Type="http://schemas.openxmlformats.org/officeDocument/2006/relationships/webSettings" Target="webSettings.xml"/><Relationship Id="rId95" Type="http://schemas.openxmlformats.org/officeDocument/2006/relationships/hyperlink" Target="https://isdscotland.scot.nhs.uk/Health-Topics/Drugs-and-Alcohol-Misuse/Publications/2014-10-28/2014-10-28-Drug-Prevalence-Report.pdf" TargetMode="External"/><Relationship Id="rId160" Type="http://schemas.openxmlformats.org/officeDocument/2006/relationships/chart" Target="charts/chart83.xml"/><Relationship Id="rId181" Type="http://schemas.openxmlformats.org/officeDocument/2006/relationships/image" Target="media/image18.png"/><Relationship Id="rId216" Type="http://schemas.openxmlformats.org/officeDocument/2006/relationships/hyperlink" Target="https://www.nomisweb.co.uk/reports/lmp/la/1946157405/report.aspx?" TargetMode="External"/><Relationship Id="rId237" Type="http://schemas.openxmlformats.org/officeDocument/2006/relationships/chart" Target="charts/chart115.xml"/><Relationship Id="rId22" Type="http://schemas.openxmlformats.org/officeDocument/2006/relationships/image" Target="media/image10.png"/><Relationship Id="rId43" Type="http://schemas.openxmlformats.org/officeDocument/2006/relationships/chart" Target="charts/chart12.xml"/><Relationship Id="rId64" Type="http://schemas.openxmlformats.org/officeDocument/2006/relationships/hyperlink" Target="http://www.isdscotland.org/Health-Topics/Workforce/CAMHS/index.asp" TargetMode="External"/><Relationship Id="rId118" Type="http://schemas.openxmlformats.org/officeDocument/2006/relationships/hyperlink" Target="https://www.nrscotland.gov.uk/statistics-and-data/statistics/statistics-by-theme/vital-events/general-publications/vital-events-reference-tables/2016/section-6-death-causes" TargetMode="External"/><Relationship Id="rId139" Type="http://schemas.openxmlformats.org/officeDocument/2006/relationships/chart" Target="charts/chart74.xml"/><Relationship Id="rId85" Type="http://schemas.openxmlformats.org/officeDocument/2006/relationships/hyperlink" Target="http://www.gov.scot/Resource/0050/00508257.pdf" TargetMode="External"/><Relationship Id="rId150" Type="http://schemas.openxmlformats.org/officeDocument/2006/relationships/hyperlink" Target="https://www.citylets.co.uk/research/datahub/" TargetMode="External"/><Relationship Id="rId171" Type="http://schemas.openxmlformats.org/officeDocument/2006/relationships/hyperlink" Target="https://www.aberdeencity.gov.uk/services/leisure-culture-and-sport/allotments" TargetMode="External"/><Relationship Id="rId192" Type="http://schemas.openxmlformats.org/officeDocument/2006/relationships/chart" Target="charts/chart95.xml"/><Relationship Id="rId206" Type="http://schemas.openxmlformats.org/officeDocument/2006/relationships/hyperlink" Target="http://www.gov.scot/Topics/Statistics/Browse/Labour-Market/Local-Authority-Tables" TargetMode="External"/><Relationship Id="rId227" Type="http://schemas.openxmlformats.org/officeDocument/2006/relationships/hyperlink" Target="https://www.nomisweb.co.uk/reports/lmp/la/1946157405/report.aspx?" TargetMode="External"/><Relationship Id="rId248" Type="http://schemas.openxmlformats.org/officeDocument/2006/relationships/hyperlink" Target="https://www.thetechpartnership.com/globalassets/pdfs/basic-digital-skills-standards/basic-digital-skills-assessment-questions.pdf" TargetMode="External"/><Relationship Id="rId12" Type="http://schemas.openxmlformats.org/officeDocument/2006/relationships/header" Target="header2.xml"/><Relationship Id="rId17" Type="http://schemas.openxmlformats.org/officeDocument/2006/relationships/image" Target="media/image6.png"/><Relationship Id="rId33" Type="http://schemas.openxmlformats.org/officeDocument/2006/relationships/chart" Target="charts/chart5.xml"/><Relationship Id="rId38" Type="http://schemas.openxmlformats.org/officeDocument/2006/relationships/hyperlink" Target="https://www.nrscotland.gov.uk/statistics-and-data/statistics/statistics-by-theme/population/population-estimates/mid-year-population-estimates/mid-2017/list-of-figures" TargetMode="External"/><Relationship Id="rId59" Type="http://schemas.openxmlformats.org/officeDocument/2006/relationships/chart" Target="charts/chart27.xml"/><Relationship Id="rId103" Type="http://schemas.openxmlformats.org/officeDocument/2006/relationships/chart" Target="charts/chart53.xml"/><Relationship Id="rId108" Type="http://schemas.openxmlformats.org/officeDocument/2006/relationships/hyperlink" Target="http://www.scotlandscensus.gov.uk" TargetMode="External"/><Relationship Id="rId124" Type="http://schemas.openxmlformats.org/officeDocument/2006/relationships/chart" Target="charts/chart66.xml"/><Relationship Id="rId129" Type="http://schemas.openxmlformats.org/officeDocument/2006/relationships/hyperlink" Target="https://www.nomisweb.co.uk/census/2011/QS301UK/view/1946157405?cols=measures" TargetMode="External"/><Relationship Id="rId54" Type="http://schemas.openxmlformats.org/officeDocument/2006/relationships/chart" Target="charts/chart22.xml"/><Relationship Id="rId70" Type="http://schemas.openxmlformats.org/officeDocument/2006/relationships/hyperlink" Target="http://www.gov.scot/Topics/Statistics/Browse/School-Education/exclusiondatasets/exclusionsdataset2017" TargetMode="External"/><Relationship Id="rId75" Type="http://schemas.openxmlformats.org/officeDocument/2006/relationships/chart" Target="charts/chart34.xml"/><Relationship Id="rId91" Type="http://schemas.openxmlformats.org/officeDocument/2006/relationships/chart" Target="charts/chart45.xml"/><Relationship Id="rId96" Type="http://schemas.openxmlformats.org/officeDocument/2006/relationships/chart" Target="charts/chart49.xml"/><Relationship Id="rId140" Type="http://schemas.openxmlformats.org/officeDocument/2006/relationships/chart" Target="charts/chart75.xml"/><Relationship Id="rId145" Type="http://schemas.openxmlformats.org/officeDocument/2006/relationships/hyperlink" Target="http://www.gov.scot/Topics/Statistics/Browse/Housing-Regeneration" TargetMode="External"/><Relationship Id="rId161" Type="http://schemas.openxmlformats.org/officeDocument/2006/relationships/chart" Target="charts/chart84.xml"/><Relationship Id="rId166" Type="http://schemas.openxmlformats.org/officeDocument/2006/relationships/chart" Target="charts/chart87.xml"/><Relationship Id="rId182" Type="http://schemas.openxmlformats.org/officeDocument/2006/relationships/hyperlink" Target="https://www.pwc.co.uk/industries/government-public-sector/good-growth.html" TargetMode="External"/><Relationship Id="rId187" Type="http://schemas.openxmlformats.org/officeDocument/2006/relationships/hyperlink" Target="https://www.transport.gov.scot/publication/scottish-transport-statistics-no-36-datasets/" TargetMode="External"/><Relationship Id="rId217" Type="http://schemas.openxmlformats.org/officeDocument/2006/relationships/chart" Target="charts/chart107.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www.nomisweb.co.uk/reports/lmp/la/1946157405/report.aspx?" TargetMode="External"/><Relationship Id="rId233" Type="http://schemas.openxmlformats.org/officeDocument/2006/relationships/chart" Target="charts/chart114.xml"/><Relationship Id="rId238" Type="http://schemas.openxmlformats.org/officeDocument/2006/relationships/hyperlink" Target="http://www.gov.scot/Topics/Statistics/SHCS/keyanalyses/LAtables1315" TargetMode="External"/><Relationship Id="rId23" Type="http://schemas.openxmlformats.org/officeDocument/2006/relationships/image" Target="media/image11.jpeg"/><Relationship Id="rId28" Type="http://schemas.openxmlformats.org/officeDocument/2006/relationships/hyperlink" Target="http://www.aberdeencityvoice.org.uk" TargetMode="External"/><Relationship Id="rId49" Type="http://schemas.openxmlformats.org/officeDocument/2006/relationships/hyperlink" Target="https://blog.ons.gov.uk/2018/06/18/grinding-to-a-halt-is-life-expectancy-coming-to-an-end/" TargetMode="External"/><Relationship Id="rId114" Type="http://schemas.openxmlformats.org/officeDocument/2006/relationships/chart" Target="charts/chart58.xml"/><Relationship Id="rId119" Type="http://schemas.openxmlformats.org/officeDocument/2006/relationships/chart" Target="charts/chart62.xml"/><Relationship Id="rId44" Type="http://schemas.openxmlformats.org/officeDocument/2006/relationships/chart" Target="charts/chart13.xml"/><Relationship Id="rId60" Type="http://schemas.openxmlformats.org/officeDocument/2006/relationships/hyperlink" Target="http://www.gov.scot/Resource/0052/00521222.pdf" TargetMode="External"/><Relationship Id="rId65" Type="http://schemas.openxmlformats.org/officeDocument/2006/relationships/chart" Target="charts/chart30.xml"/><Relationship Id="rId81" Type="http://schemas.openxmlformats.org/officeDocument/2006/relationships/hyperlink" Target="http://www.isdscotland.org/Health-Topics/Child-Health/publications/data-tables2017.asp?id=2136" TargetMode="External"/><Relationship Id="rId86" Type="http://schemas.openxmlformats.org/officeDocument/2006/relationships/chart" Target="charts/chart41.xml"/><Relationship Id="rId130" Type="http://schemas.openxmlformats.org/officeDocument/2006/relationships/hyperlink" Target="http://www.gov.scot/Publications/2001/07/9471/File-1" TargetMode="External"/><Relationship Id="rId135" Type="http://schemas.openxmlformats.org/officeDocument/2006/relationships/chart" Target="charts/chart72.xml"/><Relationship Id="rId151" Type="http://schemas.openxmlformats.org/officeDocument/2006/relationships/chart" Target="charts/chart79.xml"/><Relationship Id="rId156" Type="http://schemas.openxmlformats.org/officeDocument/2006/relationships/image" Target="media/image16.emf"/><Relationship Id="rId177" Type="http://schemas.openxmlformats.org/officeDocument/2006/relationships/hyperlink" Target="http://www.gov.scot/seso/Datasets.aspx?TID=2" TargetMode="External"/><Relationship Id="rId198" Type="http://schemas.openxmlformats.org/officeDocument/2006/relationships/hyperlink" Target="http://www.centreforcities.org/data-tool/" TargetMode="External"/><Relationship Id="rId172" Type="http://schemas.openxmlformats.org/officeDocument/2006/relationships/image" Target="media/image17.emf"/><Relationship Id="rId193" Type="http://schemas.openxmlformats.org/officeDocument/2006/relationships/hyperlink" Target="https://www.nomisweb.co.uk/reports/lmp/la/1946157405/report.aspx?" TargetMode="External"/><Relationship Id="rId202" Type="http://schemas.openxmlformats.org/officeDocument/2006/relationships/hyperlink" Target="https://www.nomisweb.co.uk/reports/lmp/la/1946157405/report.aspx?" TargetMode="External"/><Relationship Id="rId207" Type="http://schemas.openxmlformats.org/officeDocument/2006/relationships/chart" Target="charts/chart102.xml"/><Relationship Id="rId223" Type="http://schemas.openxmlformats.org/officeDocument/2006/relationships/hyperlink" Target="https://www.nomisweb.co.uk/reports/lmp/la/1946157405/report.aspx?" TargetMode="External"/><Relationship Id="rId228" Type="http://schemas.openxmlformats.org/officeDocument/2006/relationships/hyperlink" Target="http://www.gov.scot/Topics/Statistics/SIMD" TargetMode="External"/><Relationship Id="rId244" Type="http://schemas.openxmlformats.org/officeDocument/2006/relationships/hyperlink" Target="https://www.ofcom.org.uk/research-and-data/multi-sector-research/infrastructure-research/connected-nations-2017" TargetMode="External"/><Relationship Id="rId249" Type="http://schemas.openxmlformats.org/officeDocument/2006/relationships/chart" Target="charts/chart120.xml"/><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chart" Target="charts/chart9.xml"/><Relationship Id="rId109" Type="http://schemas.openxmlformats.org/officeDocument/2006/relationships/hyperlink" Target="http://www.gov.scot/Publications/2017/10/6398/downloads" TargetMode="External"/><Relationship Id="rId34" Type="http://schemas.openxmlformats.org/officeDocument/2006/relationships/chart" Target="charts/chart6.xml"/><Relationship Id="rId50" Type="http://schemas.openxmlformats.org/officeDocument/2006/relationships/chart" Target="charts/chart18.xml"/><Relationship Id="rId55" Type="http://schemas.openxmlformats.org/officeDocument/2006/relationships/chart" Target="charts/chart23.xml"/><Relationship Id="rId76" Type="http://schemas.openxmlformats.org/officeDocument/2006/relationships/chart" Target="charts/chart35.xml"/><Relationship Id="rId97" Type="http://schemas.openxmlformats.org/officeDocument/2006/relationships/chart" Target="charts/chart50.xml"/><Relationship Id="rId104" Type="http://schemas.openxmlformats.org/officeDocument/2006/relationships/hyperlink" Target="http://www.gov.scot/Publications/2017/10/6398/downloads" TargetMode="External"/><Relationship Id="rId120" Type="http://schemas.openxmlformats.org/officeDocument/2006/relationships/hyperlink" Target="https://www.nrscotland.gov.uk/statistics-and-data/statistics/statistics-by-theme/vital-events/general-publications/vital-events-reference-tables/2016/section-6-death-causes" TargetMode="External"/><Relationship Id="rId125" Type="http://schemas.openxmlformats.org/officeDocument/2006/relationships/chart" Target="charts/chart67.xml"/><Relationship Id="rId141" Type="http://schemas.openxmlformats.org/officeDocument/2006/relationships/hyperlink" Target="https://www.nrscotland.gov.uk/statistics-and-data/statistics/statistics-by-theme/housholds/household-estimates" TargetMode="External"/><Relationship Id="rId146" Type="http://schemas.openxmlformats.org/officeDocument/2006/relationships/hyperlink" Target="http://www.gov.scot/Topics/Statistics/Browse/Housing-Regeneration/HSfS/SpecialNeeds" TargetMode="External"/><Relationship Id="rId167" Type="http://schemas.openxmlformats.org/officeDocument/2006/relationships/hyperlink" Target="https://www.transport.gov.scot/publication/reported-road-casualties-scotland-2016/summary/" TargetMode="External"/><Relationship Id="rId188" Type="http://schemas.openxmlformats.org/officeDocument/2006/relationships/image" Target="media/image19.png"/><Relationship Id="rId7" Type="http://schemas.openxmlformats.org/officeDocument/2006/relationships/endnotes" Target="endnotes.xml"/><Relationship Id="rId71" Type="http://schemas.openxmlformats.org/officeDocument/2006/relationships/hyperlink" Target="http://www.gov.scot/Topics/Statistics/Browse/School-Education/Datasets/ACELTrenddatasets" TargetMode="External"/><Relationship Id="rId92" Type="http://schemas.openxmlformats.org/officeDocument/2006/relationships/chart" Target="charts/chart46.xml"/><Relationship Id="rId162" Type="http://schemas.openxmlformats.org/officeDocument/2006/relationships/chart" Target="charts/chart85.xml"/><Relationship Id="rId183" Type="http://schemas.openxmlformats.org/officeDocument/2006/relationships/chart" Target="charts/chart91.xml"/><Relationship Id="rId213" Type="http://schemas.openxmlformats.org/officeDocument/2006/relationships/chart" Target="charts/chart105.xml"/><Relationship Id="rId218" Type="http://schemas.openxmlformats.org/officeDocument/2006/relationships/hyperlink" Target="https://www.nomisweb.co.uk/reports/lmp/la/1946157405/report.aspx?" TargetMode="External"/><Relationship Id="rId234" Type="http://schemas.openxmlformats.org/officeDocument/2006/relationships/hyperlink" Target="http://www.gov.scot/Publications/2016/06/8020" TargetMode="External"/><Relationship Id="rId239" Type="http://schemas.openxmlformats.org/officeDocument/2006/relationships/chart" Target="charts/chart116.xml"/><Relationship Id="rId2" Type="http://schemas.openxmlformats.org/officeDocument/2006/relationships/numbering" Target="numbering.xml"/><Relationship Id="rId29" Type="http://schemas.openxmlformats.org/officeDocument/2006/relationships/chart" Target="charts/chart1.xml"/><Relationship Id="rId250" Type="http://schemas.openxmlformats.org/officeDocument/2006/relationships/footer" Target="footer4.xml"/><Relationship Id="rId24" Type="http://schemas.openxmlformats.org/officeDocument/2006/relationships/image" Target="media/image12.png"/><Relationship Id="rId40" Type="http://schemas.openxmlformats.org/officeDocument/2006/relationships/hyperlink" Target="https://www.nrscotland.gov.uk/statistics-and-data/statistics/statistics-by-theme/population/population-estimates/mid-year-population-estimates" TargetMode="External"/><Relationship Id="rId45" Type="http://schemas.openxmlformats.org/officeDocument/2006/relationships/chart" Target="charts/chart14.xml"/><Relationship Id="rId66" Type="http://schemas.openxmlformats.org/officeDocument/2006/relationships/hyperlink" Target="http://www.gov.scot/Resource/0051/00518032.pdf" TargetMode="External"/><Relationship Id="rId87" Type="http://schemas.openxmlformats.org/officeDocument/2006/relationships/chart" Target="charts/chart42.xml"/><Relationship Id="rId110" Type="http://schemas.openxmlformats.org/officeDocument/2006/relationships/hyperlink" Target="https://www.alzscot.org/campaigning/statistics" TargetMode="External"/><Relationship Id="rId115" Type="http://schemas.openxmlformats.org/officeDocument/2006/relationships/chart" Target="charts/chart59.xml"/><Relationship Id="rId131" Type="http://schemas.openxmlformats.org/officeDocument/2006/relationships/chart" Target="charts/chart70.xml"/><Relationship Id="rId136" Type="http://schemas.openxmlformats.org/officeDocument/2006/relationships/hyperlink" Target="https://www.nrscotland.gov.uk/statistics-and-data/statistics/statistics-by-theme/housholds/household-estimates" TargetMode="External"/><Relationship Id="rId157" Type="http://schemas.openxmlformats.org/officeDocument/2006/relationships/hyperlink" Target="https://beta.gov.scot/publications/recorded-crime-scotland-2016-17/pages/36/" TargetMode="External"/><Relationship Id="rId178" Type="http://schemas.openxmlformats.org/officeDocument/2006/relationships/hyperlink" Target="https://www.keepscotlandbeautiful.org/media/1561095/16_17-leams-benchmarking-report.pdf" TargetMode="External"/><Relationship Id="rId61" Type="http://schemas.openxmlformats.org/officeDocument/2006/relationships/chart" Target="charts/chart28.xml"/><Relationship Id="rId82" Type="http://schemas.openxmlformats.org/officeDocument/2006/relationships/chart" Target="charts/chart39.xml"/><Relationship Id="rId152" Type="http://schemas.openxmlformats.org/officeDocument/2006/relationships/hyperlink" Target="https://www.ros.gov.uk/property-data/property-statistics/calendar-year-reports" TargetMode="External"/><Relationship Id="rId173" Type="http://schemas.openxmlformats.org/officeDocument/2006/relationships/hyperlink" Target="http://apps.sepa.org.uk/FRMStrategies/north-east.html" TargetMode="External"/><Relationship Id="rId194" Type="http://schemas.openxmlformats.org/officeDocument/2006/relationships/chart" Target="charts/chart96.xml"/><Relationship Id="rId199" Type="http://schemas.openxmlformats.org/officeDocument/2006/relationships/chart" Target="charts/chart98.xml"/><Relationship Id="rId203" Type="http://schemas.openxmlformats.org/officeDocument/2006/relationships/chart" Target="charts/chart100.xml"/><Relationship Id="rId208" Type="http://schemas.openxmlformats.org/officeDocument/2006/relationships/hyperlink" Target="https://www.nomisweb.co.uk/reports/lmp/la/1946157405/report.aspx?" TargetMode="External"/><Relationship Id="rId229" Type="http://schemas.openxmlformats.org/officeDocument/2006/relationships/image" Target="media/image21.emf"/><Relationship Id="rId19" Type="http://schemas.openxmlformats.org/officeDocument/2006/relationships/image" Target="media/image8.png"/><Relationship Id="rId224" Type="http://schemas.openxmlformats.org/officeDocument/2006/relationships/chart" Target="charts/chart110.xml"/><Relationship Id="rId240" Type="http://schemas.openxmlformats.org/officeDocument/2006/relationships/hyperlink" Target="http://www.gov.scot/Publications/2018/01/8686/downloads" TargetMode="External"/><Relationship Id="rId245" Type="http://schemas.openxmlformats.org/officeDocument/2006/relationships/hyperlink" Target="https://www.ofcom.org.uk/research-and-data/multi-sector-research/infrastructure-research/connected-nations-2017" TargetMode="External"/><Relationship Id="rId14" Type="http://schemas.openxmlformats.org/officeDocument/2006/relationships/image" Target="media/image3.jpeg"/><Relationship Id="rId30" Type="http://schemas.openxmlformats.org/officeDocument/2006/relationships/chart" Target="charts/chart2.xml"/><Relationship Id="rId35" Type="http://schemas.openxmlformats.org/officeDocument/2006/relationships/chart" Target="charts/chart7.xml"/><Relationship Id="rId56" Type="http://schemas.openxmlformats.org/officeDocument/2006/relationships/chart" Target="charts/chart24.xml"/><Relationship Id="rId77" Type="http://schemas.openxmlformats.org/officeDocument/2006/relationships/chart" Target="charts/chart36.xml"/><Relationship Id="rId100" Type="http://schemas.openxmlformats.org/officeDocument/2006/relationships/chart" Target="charts/chart52.xml"/><Relationship Id="rId105" Type="http://schemas.openxmlformats.org/officeDocument/2006/relationships/chart" Target="charts/chart54.xml"/><Relationship Id="rId126" Type="http://schemas.openxmlformats.org/officeDocument/2006/relationships/chart" Target="charts/chart68.xml"/><Relationship Id="rId147" Type="http://schemas.openxmlformats.org/officeDocument/2006/relationships/chart" Target="charts/chart78.xml"/><Relationship Id="rId168" Type="http://schemas.openxmlformats.org/officeDocument/2006/relationships/hyperlink" Target="https://www.aberdeencity.gov.uk/services/roads-transport-and-parking/berryden-corridor-improvement-scheme" TargetMode="External"/><Relationship Id="rId8" Type="http://schemas.openxmlformats.org/officeDocument/2006/relationships/header" Target="header1.xml"/><Relationship Id="rId51" Type="http://schemas.openxmlformats.org/officeDocument/2006/relationships/chart" Target="charts/chart19.xml"/><Relationship Id="rId72" Type="http://schemas.openxmlformats.org/officeDocument/2006/relationships/chart" Target="charts/chart32.xml"/><Relationship Id="rId93" Type="http://schemas.openxmlformats.org/officeDocument/2006/relationships/chart" Target="charts/chart47.xml"/><Relationship Id="rId98" Type="http://schemas.openxmlformats.org/officeDocument/2006/relationships/chart" Target="charts/chart51.xml"/><Relationship Id="rId121" Type="http://schemas.openxmlformats.org/officeDocument/2006/relationships/chart" Target="charts/chart63.xml"/><Relationship Id="rId142" Type="http://schemas.openxmlformats.org/officeDocument/2006/relationships/chart" Target="charts/chart76.xml"/><Relationship Id="rId163" Type="http://schemas.openxmlformats.org/officeDocument/2006/relationships/hyperlink" Target="http://www.gov.scot/Resource/0053/00531141.pdf" TargetMode="External"/><Relationship Id="rId184" Type="http://schemas.openxmlformats.org/officeDocument/2006/relationships/hyperlink" Target="https://digitalpublications.parliament.scot/ResearchBriefings/Report/2018/2/23/A-Guide-to-Gross-Value-Added--GVA--in-Scotland" TargetMode="External"/><Relationship Id="rId189" Type="http://schemas.openxmlformats.org/officeDocument/2006/relationships/hyperlink" Target="https://www.nasdaq.com/markets/crude-oil-brent.aspx?timeframe=4y" TargetMode="External"/><Relationship Id="rId219" Type="http://schemas.openxmlformats.org/officeDocument/2006/relationships/hyperlink" Target="https://www.nomisweb.co.uk/reports/lmp/la/1946157405/report.aspx?" TargetMode="External"/><Relationship Id="rId3" Type="http://schemas.openxmlformats.org/officeDocument/2006/relationships/styles" Target="styles.xml"/><Relationship Id="rId214" Type="http://schemas.openxmlformats.org/officeDocument/2006/relationships/hyperlink" Target="https://www.nomisweb.co.uk/reports/lmp/la/1946157405/report.aspx?" TargetMode="External"/><Relationship Id="rId230" Type="http://schemas.openxmlformats.org/officeDocument/2006/relationships/chart" Target="charts/chart112.xml"/><Relationship Id="rId235" Type="http://schemas.openxmlformats.org/officeDocument/2006/relationships/hyperlink" Target="https://www.theguardian.com/society/2017/may/29/report-reveals-scale-of-food-bank-use-in-the-uk-ifan" TargetMode="External"/><Relationship Id="rId251" Type="http://schemas.openxmlformats.org/officeDocument/2006/relationships/fontTable" Target="fontTable.xml"/><Relationship Id="rId25" Type="http://schemas.openxmlformats.org/officeDocument/2006/relationships/image" Target="media/image13.jpeg"/><Relationship Id="rId46" Type="http://schemas.openxmlformats.org/officeDocument/2006/relationships/chart" Target="charts/chart15.xml"/><Relationship Id="rId67" Type="http://schemas.openxmlformats.org/officeDocument/2006/relationships/hyperlink" Target="http://www.gov.scot/Topics/Statistics/Browse/School-Education/dspupcensus" TargetMode="External"/><Relationship Id="rId116" Type="http://schemas.openxmlformats.org/officeDocument/2006/relationships/chart" Target="charts/chart60.xml"/><Relationship Id="rId137" Type="http://schemas.openxmlformats.org/officeDocument/2006/relationships/chart" Target="charts/chart73.xml"/><Relationship Id="rId158" Type="http://schemas.openxmlformats.org/officeDocument/2006/relationships/chart" Target="charts/chart81.xml"/><Relationship Id="rId20" Type="http://schemas.openxmlformats.org/officeDocument/2006/relationships/footer" Target="footer3.xml"/><Relationship Id="rId41" Type="http://schemas.openxmlformats.org/officeDocument/2006/relationships/chart" Target="charts/chart10.xml"/><Relationship Id="rId62" Type="http://schemas.openxmlformats.org/officeDocument/2006/relationships/chart" Target="charts/chart29.xml"/><Relationship Id="rId83" Type="http://schemas.openxmlformats.org/officeDocument/2006/relationships/hyperlink" Target="http://www.isdscotland.org/Health-Topics/Child-Health/Child-Weight-and-Growth/" TargetMode="External"/><Relationship Id="rId88" Type="http://schemas.openxmlformats.org/officeDocument/2006/relationships/hyperlink" Target="http://www.endchildpoverty.org.uk" TargetMode="External"/><Relationship Id="rId111" Type="http://schemas.openxmlformats.org/officeDocument/2006/relationships/chart" Target="charts/chart55.xml"/><Relationship Id="rId132" Type="http://schemas.openxmlformats.org/officeDocument/2006/relationships/hyperlink" Target="https://www.nrscotland.gov.uk/statistics-and-data/statistics/statistics-by-theme/housholds/household-estimates" TargetMode="External"/><Relationship Id="rId153" Type="http://schemas.openxmlformats.org/officeDocument/2006/relationships/chart" Target="charts/chart80.xml"/><Relationship Id="rId174" Type="http://schemas.openxmlformats.org/officeDocument/2006/relationships/chart" Target="charts/chart88.xml"/><Relationship Id="rId179" Type="http://schemas.openxmlformats.org/officeDocument/2006/relationships/chart" Target="charts/chart90.xml"/><Relationship Id="rId195" Type="http://schemas.openxmlformats.org/officeDocument/2006/relationships/hyperlink" Target="https://www.ons.gov.uk/businessindustryandtrade/business/activitysizeandlocation/datasets/businessdemographyreferencetable" TargetMode="External"/><Relationship Id="rId209" Type="http://schemas.openxmlformats.org/officeDocument/2006/relationships/chart" Target="charts/chart103.xml"/><Relationship Id="rId190" Type="http://schemas.openxmlformats.org/officeDocument/2006/relationships/chart" Target="charts/chart94.xml"/><Relationship Id="rId204" Type="http://schemas.openxmlformats.org/officeDocument/2006/relationships/chart" Target="charts/chart101.xml"/><Relationship Id="rId220" Type="http://schemas.openxmlformats.org/officeDocument/2006/relationships/chart" Target="charts/chart108.xml"/><Relationship Id="rId225" Type="http://schemas.openxmlformats.org/officeDocument/2006/relationships/hyperlink" Target="https://www.nomisweb.co.uk/reports/lmp/la/1946157405/report.aspx?" TargetMode="External"/><Relationship Id="rId241" Type="http://schemas.openxmlformats.org/officeDocument/2006/relationships/chart" Target="charts/chart117.xml"/><Relationship Id="rId246" Type="http://schemas.openxmlformats.org/officeDocument/2006/relationships/hyperlink" Target="http://www.gov.scot/Resource/0053/00531141.pdf" TargetMode="External"/><Relationship Id="rId15" Type="http://schemas.openxmlformats.org/officeDocument/2006/relationships/image" Target="media/image4.png"/><Relationship Id="rId36" Type="http://schemas.openxmlformats.org/officeDocument/2006/relationships/chart" Target="charts/chart8.xml"/><Relationship Id="rId57" Type="http://schemas.openxmlformats.org/officeDocument/2006/relationships/chart" Target="charts/chart25.xml"/><Relationship Id="rId106" Type="http://schemas.openxmlformats.org/officeDocument/2006/relationships/hyperlink" Target="http://www.gov.scot/Publications/2017/10/6398/downloads" TargetMode="External"/><Relationship Id="rId127" Type="http://schemas.openxmlformats.org/officeDocument/2006/relationships/chart" Target="charts/chart69.xml"/><Relationship Id="rId10" Type="http://schemas.openxmlformats.org/officeDocument/2006/relationships/image" Target="media/image1.jpeg"/><Relationship Id="rId31" Type="http://schemas.openxmlformats.org/officeDocument/2006/relationships/chart" Target="charts/chart3.xml"/><Relationship Id="rId52" Type="http://schemas.openxmlformats.org/officeDocument/2006/relationships/chart" Target="charts/chart20.xml"/><Relationship Id="rId73" Type="http://schemas.openxmlformats.org/officeDocument/2006/relationships/chart" Target="charts/chart33.xml"/><Relationship Id="rId78" Type="http://schemas.openxmlformats.org/officeDocument/2006/relationships/chart" Target="charts/chart37.xml"/><Relationship Id="rId94" Type="http://schemas.openxmlformats.org/officeDocument/2006/relationships/chart" Target="charts/chart48.xml"/><Relationship Id="rId99" Type="http://schemas.openxmlformats.org/officeDocument/2006/relationships/hyperlink" Target="https://www.nrscotland.gov.uk/statistics-and-data/statistics/statistics-by-theme/vital-events/deaths/drug-related-deaths-in-scotland/2017/list-of-tables-and-figures" TargetMode="External"/><Relationship Id="rId101" Type="http://schemas.openxmlformats.org/officeDocument/2006/relationships/hyperlink" Target="https://www.nrscotland.gov.uk/statistics-and-data/statistics/statistics-by-theme/vital-events/deaths/drug-related-deaths-in-scotland/2017/list-of-tables-and-figures" TargetMode="External"/><Relationship Id="rId122" Type="http://schemas.openxmlformats.org/officeDocument/2006/relationships/chart" Target="charts/chart64.xml"/><Relationship Id="rId143" Type="http://schemas.openxmlformats.org/officeDocument/2006/relationships/chart" Target="charts/chart77.xml"/><Relationship Id="rId148" Type="http://schemas.openxmlformats.org/officeDocument/2006/relationships/hyperlink" Target="https://www.isdscotland.org/Health-Topics/Health-and-Social-Community-Care/Publications/2016-10-25/2016-10-25-CHCensus-Report.pdf" TargetMode="External"/><Relationship Id="rId164" Type="http://schemas.openxmlformats.org/officeDocument/2006/relationships/chart" Target="charts/chart86.xml"/><Relationship Id="rId169" Type="http://schemas.openxmlformats.org/officeDocument/2006/relationships/hyperlink" Target="http://www.gov.scot/Resource/0053/00531141.pdf" TargetMode="External"/><Relationship Id="rId185" Type="http://schemas.openxmlformats.org/officeDocument/2006/relationships/chart" Target="charts/chart92.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www.improvementservice.org.uk/benchmarking/explore-the-data.html" TargetMode="External"/><Relationship Id="rId210" Type="http://schemas.openxmlformats.org/officeDocument/2006/relationships/hyperlink" Target="https://www.nomisweb.co.uk/reports/lmp/la/1946157405/report.aspx?" TargetMode="External"/><Relationship Id="rId215" Type="http://schemas.openxmlformats.org/officeDocument/2006/relationships/chart" Target="charts/chart106.xml"/><Relationship Id="rId236" Type="http://schemas.openxmlformats.org/officeDocument/2006/relationships/hyperlink" Target="https://www.aberdeencity.gov.uk/sites/default/files/Food%20and%20clothing%20banks%20in%20Aberdeen.pdf" TargetMode="External"/><Relationship Id="rId26" Type="http://schemas.openxmlformats.org/officeDocument/2006/relationships/image" Target="media/image14.png"/><Relationship Id="rId231" Type="http://schemas.openxmlformats.org/officeDocument/2006/relationships/chart" Target="charts/chart113.xml"/><Relationship Id="rId252" Type="http://schemas.openxmlformats.org/officeDocument/2006/relationships/theme" Target="theme/theme1.xml"/><Relationship Id="rId47" Type="http://schemas.openxmlformats.org/officeDocument/2006/relationships/chart" Target="charts/chart16.xml"/><Relationship Id="rId68" Type="http://schemas.openxmlformats.org/officeDocument/2006/relationships/chart" Target="charts/chart31.xml"/><Relationship Id="rId89" Type="http://schemas.openxmlformats.org/officeDocument/2006/relationships/chart" Target="charts/chart43.xml"/><Relationship Id="rId112" Type="http://schemas.openxmlformats.org/officeDocument/2006/relationships/chart" Target="charts/chart56.xml"/><Relationship Id="rId133" Type="http://schemas.openxmlformats.org/officeDocument/2006/relationships/chart" Target="charts/chart71.xml"/><Relationship Id="rId154" Type="http://schemas.openxmlformats.org/officeDocument/2006/relationships/hyperlink" Target="http://www.gov.scot/Topics/Statistics/Browse/Housing-Regeneration/HSfS/NewHousingSupply" TargetMode="External"/><Relationship Id="rId175" Type="http://schemas.openxmlformats.org/officeDocument/2006/relationships/hyperlink" Target="https://www.environment.gov.scot/data/data-analysis/household-waste/" TargetMode="External"/><Relationship Id="rId196" Type="http://schemas.openxmlformats.org/officeDocument/2006/relationships/image" Target="media/image20.png"/><Relationship Id="rId200" Type="http://schemas.openxmlformats.org/officeDocument/2006/relationships/hyperlink" Target="https://www.nomisweb.co.uk/reports/lmp/la/1946157405/report.aspx?" TargetMode="External"/><Relationship Id="rId16" Type="http://schemas.openxmlformats.org/officeDocument/2006/relationships/image" Target="media/image5.png"/><Relationship Id="rId221" Type="http://schemas.openxmlformats.org/officeDocument/2006/relationships/hyperlink" Target="https://stat-xplore.dwp.gov.uk" TargetMode="External"/><Relationship Id="rId242" Type="http://schemas.openxmlformats.org/officeDocument/2006/relationships/hyperlink" Target="https://www.ofcom.org.uk/research-and-data/multi-sector-research/infrastructure-research/connected-nations-2017" TargetMode="External"/><Relationship Id="rId37" Type="http://schemas.openxmlformats.org/officeDocument/2006/relationships/hyperlink" Target="https://www.nrscotland.gov.uk/statistics-and-data/statistics/statistics-by-theme/population/population-estimates/mid-year-population-estimates/mid-2017/list-of-figures" TargetMode="External"/><Relationship Id="rId58" Type="http://schemas.openxmlformats.org/officeDocument/2006/relationships/chart" Target="charts/chart26.xml"/><Relationship Id="rId79" Type="http://schemas.openxmlformats.org/officeDocument/2006/relationships/hyperlink" Target="http://www.isdscotland.org/Health-Topics/Child-Health/publications/data-tables2017.asp?id=2136" TargetMode="External"/><Relationship Id="rId102" Type="http://schemas.openxmlformats.org/officeDocument/2006/relationships/hyperlink" Target="http://www.gov.scot/Topics/Statistics/16002/LAtables2016/2016ExcelDownload" TargetMode="External"/><Relationship Id="rId123" Type="http://schemas.openxmlformats.org/officeDocument/2006/relationships/chart" Target="charts/chart65.xml"/><Relationship Id="rId144" Type="http://schemas.openxmlformats.org/officeDocument/2006/relationships/hyperlink" Target="http://www.gov.scot/Topics/Statistics/Browse/Housing-Regeneration?utm_source=website&amp;utm_medium=navigation&amp;utm_campaign=statistics-topics" TargetMode="External"/><Relationship Id="rId90" Type="http://schemas.openxmlformats.org/officeDocument/2006/relationships/chart" Target="charts/chart44.xml"/><Relationship Id="rId165" Type="http://schemas.openxmlformats.org/officeDocument/2006/relationships/hyperlink" Target="http://www.firescotland.gov.uk/about-us/fire-and-rescue-statistics.aspx" TargetMode="External"/><Relationship Id="rId186" Type="http://schemas.openxmlformats.org/officeDocument/2006/relationships/chart" Target="charts/chart93.xml"/><Relationship Id="rId211" Type="http://schemas.openxmlformats.org/officeDocument/2006/relationships/chart" Target="charts/chart104.xml"/><Relationship Id="rId232" Type="http://schemas.openxmlformats.org/officeDocument/2006/relationships/hyperlink" Target="http://www.gov.scot/Publications/2018/03/3017/downloads" TargetMode="External"/><Relationship Id="rId27" Type="http://schemas.openxmlformats.org/officeDocument/2006/relationships/hyperlink" Target="https://placestandard.scot/" TargetMode="External"/><Relationship Id="rId48" Type="http://schemas.openxmlformats.org/officeDocument/2006/relationships/chart" Target="charts/chart17.xml"/><Relationship Id="rId69" Type="http://schemas.openxmlformats.org/officeDocument/2006/relationships/hyperlink" Target="http://www.gov.scot/Topics/Statistics/Browse/School-Education/AttendanceAbsenceDatasets/atttab2017" TargetMode="External"/><Relationship Id="rId113" Type="http://schemas.openxmlformats.org/officeDocument/2006/relationships/chart" Target="charts/chart57.xml"/><Relationship Id="rId134" Type="http://schemas.openxmlformats.org/officeDocument/2006/relationships/hyperlink" Target="https://www.nrscotland.gov.uk/statistics-and-data/statistics/statistics-by-theme/housholds/household-estimates" TargetMode="External"/><Relationship Id="rId80" Type="http://schemas.openxmlformats.org/officeDocument/2006/relationships/chart" Target="charts/chart38.xml"/><Relationship Id="rId155" Type="http://schemas.openxmlformats.org/officeDocument/2006/relationships/hyperlink" Target="http://www.aberdeencity.gov.uk/nmsruntime/saveasdialog.asp?lID=74821&amp;sID=9484" TargetMode="External"/><Relationship Id="rId176" Type="http://schemas.openxmlformats.org/officeDocument/2006/relationships/chart" Target="charts/chart89.xml"/><Relationship Id="rId197" Type="http://schemas.openxmlformats.org/officeDocument/2006/relationships/chart" Target="charts/chart97.xml"/><Relationship Id="rId201" Type="http://schemas.openxmlformats.org/officeDocument/2006/relationships/chart" Target="charts/chart99.xml"/><Relationship Id="rId222" Type="http://schemas.openxmlformats.org/officeDocument/2006/relationships/chart" Target="charts/chart109.xml"/><Relationship Id="rId243" Type="http://schemas.openxmlformats.org/officeDocument/2006/relationships/chart" Target="charts/chart118.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8.xlsx"/></Relationships>
</file>

<file path=word/charts/_rels/chart100.xml.rels><?xml version="1.0" encoding="UTF-8" standalone="yes"?>
<Relationships xmlns="http://schemas.openxmlformats.org/package/2006/relationships"><Relationship Id="rId3" Type="http://schemas.openxmlformats.org/officeDocument/2006/relationships/themeOverride" Target="../theme/themeOverride88.xml"/><Relationship Id="rId2" Type="http://schemas.microsoft.com/office/2011/relationships/chartColorStyle" Target="colors99.xml"/><Relationship Id="rId1" Type="http://schemas.microsoft.com/office/2011/relationships/chartStyle" Target="style99.xml"/><Relationship Id="rId4" Type="http://schemas.openxmlformats.org/officeDocument/2006/relationships/package" Target="../embeddings/Microsoft_Excel_Worksheet93.xlsx"/></Relationships>
</file>

<file path=word/charts/_rels/chart101.xml.rels><?xml version="1.0" encoding="UTF-8" standalone="yes"?>
<Relationships xmlns="http://schemas.openxmlformats.org/package/2006/relationships"><Relationship Id="rId3" Type="http://schemas.openxmlformats.org/officeDocument/2006/relationships/themeOverride" Target="../theme/themeOverride89.xml"/><Relationship Id="rId2" Type="http://schemas.microsoft.com/office/2011/relationships/chartColorStyle" Target="colors100.xml"/><Relationship Id="rId1" Type="http://schemas.microsoft.com/office/2011/relationships/chartStyle" Target="style100.xml"/><Relationship Id="rId4" Type="http://schemas.openxmlformats.org/officeDocument/2006/relationships/package" Target="../embeddings/Microsoft_Excel_Worksheet94.xlsx"/></Relationships>
</file>

<file path=word/charts/_rels/chart102.xml.rels><?xml version="1.0" encoding="UTF-8" standalone="yes"?>
<Relationships xmlns="http://schemas.openxmlformats.org/package/2006/relationships"><Relationship Id="rId3" Type="http://schemas.openxmlformats.org/officeDocument/2006/relationships/themeOverride" Target="../theme/themeOverride90.xml"/><Relationship Id="rId2" Type="http://schemas.microsoft.com/office/2011/relationships/chartColorStyle" Target="colors101.xml"/><Relationship Id="rId1" Type="http://schemas.microsoft.com/office/2011/relationships/chartStyle" Target="style101.xml"/><Relationship Id="rId4" Type="http://schemas.openxmlformats.org/officeDocument/2006/relationships/package" Target="../embeddings/Microsoft_Excel_Worksheet95.xlsx"/></Relationships>
</file>

<file path=word/charts/_rels/chart103.xml.rels><?xml version="1.0" encoding="UTF-8" standalone="yes"?>
<Relationships xmlns="http://schemas.openxmlformats.org/package/2006/relationships"><Relationship Id="rId3" Type="http://schemas.openxmlformats.org/officeDocument/2006/relationships/themeOverride" Target="../theme/themeOverride91.xml"/><Relationship Id="rId2" Type="http://schemas.microsoft.com/office/2011/relationships/chartColorStyle" Target="colors102.xml"/><Relationship Id="rId1" Type="http://schemas.microsoft.com/office/2011/relationships/chartStyle" Target="style102.xml"/><Relationship Id="rId4" Type="http://schemas.openxmlformats.org/officeDocument/2006/relationships/package" Target="../embeddings/Microsoft_Excel_Worksheet96.xlsx"/></Relationships>
</file>

<file path=word/charts/_rels/chart104.xml.rels><?xml version="1.0" encoding="UTF-8" standalone="yes"?>
<Relationships xmlns="http://schemas.openxmlformats.org/package/2006/relationships"><Relationship Id="rId3" Type="http://schemas.openxmlformats.org/officeDocument/2006/relationships/themeOverride" Target="../theme/themeOverride92.xml"/><Relationship Id="rId2" Type="http://schemas.microsoft.com/office/2011/relationships/chartColorStyle" Target="colors103.xml"/><Relationship Id="rId1" Type="http://schemas.microsoft.com/office/2011/relationships/chartStyle" Target="style103.xml"/><Relationship Id="rId4" Type="http://schemas.openxmlformats.org/officeDocument/2006/relationships/package" Target="../embeddings/Microsoft_Excel_Worksheet97.xlsx"/></Relationships>
</file>

<file path=word/charts/_rels/chart105.xml.rels><?xml version="1.0" encoding="UTF-8" standalone="yes"?>
<Relationships xmlns="http://schemas.openxmlformats.org/package/2006/relationships"><Relationship Id="rId3" Type="http://schemas.openxmlformats.org/officeDocument/2006/relationships/themeOverride" Target="../theme/themeOverride93.xml"/><Relationship Id="rId2" Type="http://schemas.microsoft.com/office/2011/relationships/chartColorStyle" Target="colors104.xml"/><Relationship Id="rId1" Type="http://schemas.microsoft.com/office/2011/relationships/chartStyle" Target="style104.xml"/><Relationship Id="rId4" Type="http://schemas.openxmlformats.org/officeDocument/2006/relationships/package" Target="../embeddings/Microsoft_Excel_Worksheet98.xlsx"/></Relationships>
</file>

<file path=word/charts/_rels/chart106.xml.rels><?xml version="1.0" encoding="UTF-8" standalone="yes"?>
<Relationships xmlns="http://schemas.openxmlformats.org/package/2006/relationships"><Relationship Id="rId3" Type="http://schemas.openxmlformats.org/officeDocument/2006/relationships/themeOverride" Target="../theme/themeOverride94.xml"/><Relationship Id="rId2" Type="http://schemas.microsoft.com/office/2011/relationships/chartColorStyle" Target="colors105.xml"/><Relationship Id="rId1" Type="http://schemas.microsoft.com/office/2011/relationships/chartStyle" Target="style105.xml"/><Relationship Id="rId4" Type="http://schemas.openxmlformats.org/officeDocument/2006/relationships/package" Target="../embeddings/Microsoft_Excel_Worksheet99.xlsx"/></Relationships>
</file>

<file path=word/charts/_rels/chart107.xml.rels><?xml version="1.0" encoding="UTF-8" standalone="yes"?>
<Relationships xmlns="http://schemas.openxmlformats.org/package/2006/relationships"><Relationship Id="rId3" Type="http://schemas.openxmlformats.org/officeDocument/2006/relationships/themeOverride" Target="../theme/themeOverride95.xml"/><Relationship Id="rId2" Type="http://schemas.microsoft.com/office/2011/relationships/chartColorStyle" Target="colors106.xml"/><Relationship Id="rId1" Type="http://schemas.microsoft.com/office/2011/relationships/chartStyle" Target="style106.xml"/><Relationship Id="rId4" Type="http://schemas.openxmlformats.org/officeDocument/2006/relationships/package" Target="../embeddings/Microsoft_Excel_Worksheet100.xlsx"/></Relationships>
</file>

<file path=word/charts/_rels/chart108.xml.rels><?xml version="1.0" encoding="UTF-8" standalone="yes"?>
<Relationships xmlns="http://schemas.openxmlformats.org/package/2006/relationships"><Relationship Id="rId3" Type="http://schemas.openxmlformats.org/officeDocument/2006/relationships/themeOverride" Target="../theme/themeOverride96.xml"/><Relationship Id="rId2" Type="http://schemas.microsoft.com/office/2011/relationships/chartColorStyle" Target="colors107.xml"/><Relationship Id="rId1" Type="http://schemas.microsoft.com/office/2011/relationships/chartStyle" Target="style107.xml"/><Relationship Id="rId4" Type="http://schemas.openxmlformats.org/officeDocument/2006/relationships/package" Target="../embeddings/Microsoft_Excel_Worksheet101.xlsx"/></Relationships>
</file>

<file path=word/charts/_rels/chart109.xml.rels><?xml version="1.0" encoding="UTF-8" standalone="yes"?>
<Relationships xmlns="http://schemas.openxmlformats.org/package/2006/relationships"><Relationship Id="rId3" Type="http://schemas.openxmlformats.org/officeDocument/2006/relationships/themeOverride" Target="../theme/themeOverride97.xml"/><Relationship Id="rId2" Type="http://schemas.microsoft.com/office/2011/relationships/chartColorStyle" Target="colors108.xml"/><Relationship Id="rId1" Type="http://schemas.microsoft.com/office/2011/relationships/chartStyle" Target="style108.xml"/><Relationship Id="rId4" Type="http://schemas.openxmlformats.org/officeDocument/2006/relationships/package" Target="../embeddings/Microsoft_Excel_Worksheet102.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9.xlsx"/></Relationships>
</file>

<file path=word/charts/_rels/chart110.xml.rels><?xml version="1.0" encoding="UTF-8" standalone="yes"?>
<Relationships xmlns="http://schemas.openxmlformats.org/package/2006/relationships"><Relationship Id="rId3" Type="http://schemas.openxmlformats.org/officeDocument/2006/relationships/themeOverride" Target="../theme/themeOverride98.xml"/><Relationship Id="rId2" Type="http://schemas.microsoft.com/office/2011/relationships/chartColorStyle" Target="colors109.xml"/><Relationship Id="rId1" Type="http://schemas.microsoft.com/office/2011/relationships/chartStyle" Target="style109.xml"/><Relationship Id="rId4" Type="http://schemas.openxmlformats.org/officeDocument/2006/relationships/package" Target="../embeddings/Microsoft_Excel_Worksheet103.xlsx"/></Relationships>
</file>

<file path=word/charts/_rels/chart111.xml.rels><?xml version="1.0" encoding="UTF-8" standalone="yes"?>
<Relationships xmlns="http://schemas.openxmlformats.org/package/2006/relationships"><Relationship Id="rId3" Type="http://schemas.openxmlformats.org/officeDocument/2006/relationships/themeOverride" Target="../theme/themeOverride99.xml"/><Relationship Id="rId2" Type="http://schemas.microsoft.com/office/2011/relationships/chartColorStyle" Target="colors110.xml"/><Relationship Id="rId1" Type="http://schemas.microsoft.com/office/2011/relationships/chartStyle" Target="style110.xml"/><Relationship Id="rId4" Type="http://schemas.openxmlformats.org/officeDocument/2006/relationships/package" Target="../embeddings/Microsoft_Excel_Worksheet104.xlsx"/></Relationships>
</file>

<file path=word/charts/_rels/chart112.xml.rels><?xml version="1.0" encoding="UTF-8" standalone="yes"?>
<Relationships xmlns="http://schemas.openxmlformats.org/package/2006/relationships"><Relationship Id="rId3" Type="http://schemas.openxmlformats.org/officeDocument/2006/relationships/themeOverride" Target="../theme/themeOverride100.xml"/><Relationship Id="rId2" Type="http://schemas.microsoft.com/office/2011/relationships/chartColorStyle" Target="colors111.xml"/><Relationship Id="rId1" Type="http://schemas.microsoft.com/office/2011/relationships/chartStyle" Target="style111.xml"/><Relationship Id="rId4" Type="http://schemas.openxmlformats.org/officeDocument/2006/relationships/package" Target="../embeddings/Microsoft_Excel_Worksheet105.xlsx"/></Relationships>
</file>

<file path=word/charts/_rels/chart113.xml.rels><?xml version="1.0" encoding="UTF-8" standalone="yes"?>
<Relationships xmlns="http://schemas.openxmlformats.org/package/2006/relationships"><Relationship Id="rId3" Type="http://schemas.openxmlformats.org/officeDocument/2006/relationships/themeOverride" Target="../theme/themeOverride101.xml"/><Relationship Id="rId2" Type="http://schemas.microsoft.com/office/2011/relationships/chartColorStyle" Target="colors112.xml"/><Relationship Id="rId1" Type="http://schemas.microsoft.com/office/2011/relationships/chartStyle" Target="style112.xml"/><Relationship Id="rId4" Type="http://schemas.openxmlformats.org/officeDocument/2006/relationships/package" Target="../embeddings/Microsoft_Excel_Worksheet106.xlsx"/></Relationships>
</file>

<file path=word/charts/_rels/chart114.xml.rels><?xml version="1.0" encoding="UTF-8" standalone="yes"?>
<Relationships xmlns="http://schemas.openxmlformats.org/package/2006/relationships"><Relationship Id="rId3" Type="http://schemas.openxmlformats.org/officeDocument/2006/relationships/oleObject" Target="file:///C:\Users\amcateer\AppData\Local\Microsoft\Windows\INetCache\IE\9OXHSS7S\patent_applications_2015.csv" TargetMode="External"/><Relationship Id="rId2" Type="http://schemas.microsoft.com/office/2011/relationships/chartColorStyle" Target="colors113.xml"/><Relationship Id="rId1" Type="http://schemas.microsoft.com/office/2011/relationships/chartStyle" Target="style113.xml"/></Relationships>
</file>

<file path=word/charts/_rels/chart115.xml.rels><?xml version="1.0" encoding="UTF-8" standalone="yes"?>
<Relationships xmlns="http://schemas.openxmlformats.org/package/2006/relationships"><Relationship Id="rId3" Type="http://schemas.openxmlformats.org/officeDocument/2006/relationships/themeOverride" Target="../theme/themeOverride102.xml"/><Relationship Id="rId2" Type="http://schemas.microsoft.com/office/2011/relationships/chartColorStyle" Target="colors114.xml"/><Relationship Id="rId1" Type="http://schemas.microsoft.com/office/2011/relationships/chartStyle" Target="style114.xml"/><Relationship Id="rId4" Type="http://schemas.openxmlformats.org/officeDocument/2006/relationships/package" Target="../embeddings/Microsoft_Excel_Worksheet107.xlsx"/></Relationships>
</file>

<file path=word/charts/_rels/chart116.xml.rels><?xml version="1.0" encoding="UTF-8" standalone="yes"?>
<Relationships xmlns="http://schemas.openxmlformats.org/package/2006/relationships"><Relationship Id="rId3" Type="http://schemas.openxmlformats.org/officeDocument/2006/relationships/themeOverride" Target="../theme/themeOverride103.xml"/><Relationship Id="rId2" Type="http://schemas.microsoft.com/office/2011/relationships/chartColorStyle" Target="colors115.xml"/><Relationship Id="rId1" Type="http://schemas.microsoft.com/office/2011/relationships/chartStyle" Target="style115.xml"/><Relationship Id="rId4" Type="http://schemas.openxmlformats.org/officeDocument/2006/relationships/package" Target="../embeddings/Microsoft_Excel_Worksheet108.xlsx"/></Relationships>
</file>

<file path=word/charts/_rels/chart117.xml.rels><?xml version="1.0" encoding="UTF-8" standalone="yes"?>
<Relationships xmlns="http://schemas.openxmlformats.org/package/2006/relationships"><Relationship Id="rId3" Type="http://schemas.openxmlformats.org/officeDocument/2006/relationships/themeOverride" Target="../theme/themeOverride104.xml"/><Relationship Id="rId2" Type="http://schemas.microsoft.com/office/2011/relationships/chartColorStyle" Target="colors116.xml"/><Relationship Id="rId1" Type="http://schemas.microsoft.com/office/2011/relationships/chartStyle" Target="style116.xml"/><Relationship Id="rId4" Type="http://schemas.openxmlformats.org/officeDocument/2006/relationships/package" Target="../embeddings/Microsoft_Excel_Worksheet109.xlsx"/></Relationships>
</file>

<file path=word/charts/_rels/chart118.xml.rels><?xml version="1.0" encoding="UTF-8" standalone="yes"?>
<Relationships xmlns="http://schemas.openxmlformats.org/package/2006/relationships"><Relationship Id="rId3" Type="http://schemas.openxmlformats.org/officeDocument/2006/relationships/themeOverride" Target="../theme/themeOverride105.xml"/><Relationship Id="rId2" Type="http://schemas.microsoft.com/office/2011/relationships/chartColorStyle" Target="colors117.xml"/><Relationship Id="rId1" Type="http://schemas.microsoft.com/office/2011/relationships/chartStyle" Target="style117.xml"/><Relationship Id="rId4" Type="http://schemas.openxmlformats.org/officeDocument/2006/relationships/package" Target="../embeddings/Microsoft_Excel_Worksheet110.xlsx"/></Relationships>
</file>

<file path=word/charts/_rels/chart119.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118.xml"/><Relationship Id="rId1" Type="http://schemas.microsoft.com/office/2011/relationships/chartStyle" Target="style118.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0.xlsx"/></Relationships>
</file>

<file path=word/charts/_rels/chart120.xml.rels><?xml version="1.0" encoding="UTF-8" standalone="yes"?>
<Relationships xmlns="http://schemas.openxmlformats.org/package/2006/relationships"><Relationship Id="rId3" Type="http://schemas.openxmlformats.org/officeDocument/2006/relationships/package" Target="../embeddings/Microsoft_Excel_Worksheet111.xlsx"/><Relationship Id="rId2" Type="http://schemas.microsoft.com/office/2011/relationships/chartColorStyle" Target="colors119.xml"/><Relationship Id="rId1" Type="http://schemas.microsoft.com/office/2011/relationships/chartStyle" Target="style119.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2.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3.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5.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3" Type="http://schemas.openxmlformats.org/officeDocument/2006/relationships/oleObject" Target="file:///\\acc.gov.uk\data\CHI\PLANNING\TRANSFER\RESEARCH%20&amp;%20INFORMATION\Population%20Needs%20Assessment\Data%20-%20PEOPLE.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7.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1.xml"/><Relationship Id="rId1" Type="http://schemas.microsoft.com/office/2011/relationships/chartStyle" Target="style21.xml"/><Relationship Id="rId5" Type="http://schemas.openxmlformats.org/officeDocument/2006/relationships/chartUserShapes" Target="../drawings/drawing1.xml"/><Relationship Id="rId4" Type="http://schemas.openxmlformats.org/officeDocument/2006/relationships/package" Target="../embeddings/Microsoft_Excel_Worksheet18.xlsx"/></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20.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21.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22.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3.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4.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25.xlsx"/></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27.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28.xlsx"/></Relationships>
</file>

<file path=word/charts/_rels/chart32.xml.rels><?xml version="1.0" encoding="UTF-8" standalone="yes"?>
<Relationships xmlns="http://schemas.openxmlformats.org/package/2006/relationships"><Relationship Id="rId3" Type="http://schemas.openxmlformats.org/officeDocument/2006/relationships/oleObject" Target="file:///\\acc.gov.uk\data\CHI\PLANNING\TRANSFER\RESEARCH%20&amp;%20INFORMATION\Population%20Needs%20Assessment\Data%20Children.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29.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30.xlsx"/></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Worksheet32.xlsx"/></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Worksheet34.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Microsoft_Excel_Worksheet35.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package" Target="../embeddings/Microsoft_Excel_Worksheet36.xlsx"/></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Worksheet37.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Worksheet38.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Worksheet39.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Microsoft_Excel_Worksheet40.xlsx"/></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package" Target="../embeddings/Microsoft_Excel_Worksheet41.xlsx"/></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package" Target="../embeddings/Microsoft_Excel_Worksheet42.xlsx"/></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package" Target="../embeddings/Microsoft_Excel_Worksheet43.xlsx"/></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package" Target="../embeddings/Microsoft_Excel_Worksheet44.xlsx"/></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package" Target="../embeddings/Microsoft_Excel_Worksheet45.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package" Target="../embeddings/Microsoft_Excel_Worksheet46.xlsx"/></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47.xlsx"/><Relationship Id="rId2" Type="http://schemas.microsoft.com/office/2011/relationships/chartColorStyle" Target="colors51.xml"/><Relationship Id="rId1" Type="http://schemas.microsoft.com/office/2011/relationships/chartStyle" Target="style51.xm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package" Target="../embeddings/Microsoft_Excel_Worksheet48.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package" Target="../embeddings/Microsoft_Excel_Worksheet49.xlsx"/></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package" Target="../embeddings/Microsoft_Excel_Worksheet50.xlsx"/></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package" Target="../embeddings/Microsoft_Excel_Worksheet51.xlsx"/></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package" Target="../embeddings/Microsoft_Excel_Worksheet52.xlsx"/></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package" Target="../embeddings/Microsoft_Excel_Worksheet53.xlsx"/></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package" Target="../embeddings/Microsoft_Excel_Worksheet54.xlsx"/></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package" Target="../embeddings/Microsoft_Excel_Worksheet55.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package" Target="../embeddings/Microsoft_Excel_Worksheet56.xlsx"/></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package" Target="../embeddings/Microsoft_Excel_Worksheet57.xlsx"/></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package" Target="../embeddings/Microsoft_Excel_Worksheet58.xlsx"/></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63.xml"/><Relationship Id="rId1" Type="http://schemas.microsoft.com/office/2011/relationships/chartStyle" Target="style63.xml"/><Relationship Id="rId4" Type="http://schemas.openxmlformats.org/officeDocument/2006/relationships/package" Target="../embeddings/Microsoft_Excel_Worksheet59.xlsx"/></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package" Target="../embeddings/Microsoft_Excel_Worksheet60.xlsx"/></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package" Target="../embeddings/Microsoft_Excel_Worksheet61.xlsx"/></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package" Target="../embeddings/Microsoft_Excel_Worksheet62.xlsx"/></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67.xml"/><Relationship Id="rId1" Type="http://schemas.microsoft.com/office/2011/relationships/chartStyle" Target="style67.xml"/><Relationship Id="rId4" Type="http://schemas.openxmlformats.org/officeDocument/2006/relationships/package" Target="../embeddings/Microsoft_Excel_Worksheet63.xlsx"/></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package" Target="../embeddings/Microsoft_Excel_Worksheet64.xlsx"/></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package" Target="../embeddings/Microsoft_Excel_Worksheet6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package" Target="../embeddings/Microsoft_Excel_Worksheet66.xlsx"/></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71.xml"/><Relationship Id="rId1" Type="http://schemas.microsoft.com/office/2011/relationships/chartStyle" Target="style71.xml"/><Relationship Id="rId4" Type="http://schemas.openxmlformats.org/officeDocument/2006/relationships/package" Target="../embeddings/Microsoft_Excel_Worksheet67.xlsx"/></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72.xml"/><Relationship Id="rId1" Type="http://schemas.microsoft.com/office/2011/relationships/chartStyle" Target="style72.xml"/><Relationship Id="rId4" Type="http://schemas.openxmlformats.org/officeDocument/2006/relationships/package" Target="../embeddings/Microsoft_Excel_Worksheet68.xlsx"/></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package" Target="../embeddings/Microsoft_Excel_Worksheet69.xlsx"/></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74.xml"/><Relationship Id="rId1" Type="http://schemas.microsoft.com/office/2011/relationships/chartStyle" Target="style74.xml"/><Relationship Id="rId4" Type="http://schemas.openxmlformats.org/officeDocument/2006/relationships/package" Target="../embeddings/Microsoft_Excel_Worksheet70.xlsx"/></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75.xml"/><Relationship Id="rId1" Type="http://schemas.microsoft.com/office/2011/relationships/chartStyle" Target="style75.xml"/><Relationship Id="rId4" Type="http://schemas.openxmlformats.org/officeDocument/2006/relationships/package" Target="../embeddings/Microsoft_Excel_Worksheet71.xlsx"/></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67.xml"/><Relationship Id="rId2" Type="http://schemas.microsoft.com/office/2011/relationships/chartColorStyle" Target="colors76.xml"/><Relationship Id="rId1" Type="http://schemas.microsoft.com/office/2011/relationships/chartStyle" Target="style76.xml"/><Relationship Id="rId4" Type="http://schemas.openxmlformats.org/officeDocument/2006/relationships/package" Target="../embeddings/Microsoft_Excel_Worksheet72.xlsx"/></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77.xml"/><Relationship Id="rId1" Type="http://schemas.microsoft.com/office/2011/relationships/chartStyle" Target="style77.xml"/><Relationship Id="rId4" Type="http://schemas.openxmlformats.org/officeDocument/2006/relationships/package" Target="../embeddings/Microsoft_Excel_Worksheet73.xlsx"/></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78.xml"/><Relationship Id="rId1" Type="http://schemas.microsoft.com/office/2011/relationships/chartStyle" Target="style78.xml"/><Relationship Id="rId4" Type="http://schemas.openxmlformats.org/officeDocument/2006/relationships/package" Target="../embeddings/Microsoft_Excel_Worksheet74.xlsx"/></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79.xml"/><Relationship Id="rId1" Type="http://schemas.microsoft.com/office/2011/relationships/chartStyle" Target="style79.xml"/><Relationship Id="rId4" Type="http://schemas.openxmlformats.org/officeDocument/2006/relationships/package" Target="../embeddings/Microsoft_Excel_Worksheet75.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80.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80.xml"/><Relationship Id="rId1" Type="http://schemas.microsoft.com/office/2011/relationships/chartStyle" Target="style80.xml"/><Relationship Id="rId4" Type="http://schemas.openxmlformats.org/officeDocument/2006/relationships/package" Target="../embeddings/Microsoft_Excel_Worksheet76.xlsx"/></Relationships>
</file>

<file path=word/charts/_rels/chart81.xml.rels><?xml version="1.0" encoding="UTF-8" standalone="yes"?>
<Relationships xmlns="http://schemas.openxmlformats.org/package/2006/relationships"><Relationship Id="rId3" Type="http://schemas.openxmlformats.org/officeDocument/2006/relationships/themeOverride" Target="../theme/themeOverride72.xml"/><Relationship Id="rId2" Type="http://schemas.microsoft.com/office/2011/relationships/chartColorStyle" Target="colors81.xml"/><Relationship Id="rId1" Type="http://schemas.microsoft.com/office/2011/relationships/chartStyle" Target="style81.xml"/><Relationship Id="rId4" Type="http://schemas.openxmlformats.org/officeDocument/2006/relationships/package" Target="../embeddings/Microsoft_Excel_Worksheet77.xlsx"/></Relationships>
</file>

<file path=word/charts/_rels/chart82.xml.rels><?xml version="1.0" encoding="UTF-8" standalone="yes"?>
<Relationships xmlns="http://schemas.openxmlformats.org/package/2006/relationships"><Relationship Id="rId3" Type="http://schemas.openxmlformats.org/officeDocument/2006/relationships/themeOverride" Target="../theme/themeOverride73.xml"/><Relationship Id="rId2" Type="http://schemas.microsoft.com/office/2011/relationships/chartColorStyle" Target="colors82.xml"/><Relationship Id="rId1" Type="http://schemas.microsoft.com/office/2011/relationships/chartStyle" Target="style82.xml"/><Relationship Id="rId4" Type="http://schemas.openxmlformats.org/officeDocument/2006/relationships/package" Target="../embeddings/Microsoft_Excel_Worksheet78.xlsx"/></Relationships>
</file>

<file path=word/charts/_rels/chart83.xml.rels><?xml version="1.0" encoding="UTF-8" standalone="yes"?>
<Relationships xmlns="http://schemas.openxmlformats.org/package/2006/relationships"><Relationship Id="rId3" Type="http://schemas.openxmlformats.org/officeDocument/2006/relationships/themeOverride" Target="../theme/themeOverride74.xml"/><Relationship Id="rId2" Type="http://schemas.microsoft.com/office/2011/relationships/chartColorStyle" Target="colors83.xml"/><Relationship Id="rId1" Type="http://schemas.microsoft.com/office/2011/relationships/chartStyle" Target="style83.xml"/><Relationship Id="rId4" Type="http://schemas.openxmlformats.org/officeDocument/2006/relationships/package" Target="../embeddings/Microsoft_Excel_Worksheet79.xlsx"/></Relationships>
</file>

<file path=word/charts/_rels/chart84.xml.rels><?xml version="1.0" encoding="UTF-8" standalone="yes"?>
<Relationships xmlns="http://schemas.openxmlformats.org/package/2006/relationships"><Relationship Id="rId3" Type="http://schemas.openxmlformats.org/officeDocument/2006/relationships/themeOverride" Target="../theme/themeOverride75.xml"/><Relationship Id="rId2" Type="http://schemas.microsoft.com/office/2011/relationships/chartColorStyle" Target="colors84.xml"/><Relationship Id="rId1" Type="http://schemas.microsoft.com/office/2011/relationships/chartStyle" Target="style84.xml"/><Relationship Id="rId4" Type="http://schemas.openxmlformats.org/officeDocument/2006/relationships/package" Target="../embeddings/Microsoft_Excel_Worksheet80.xlsx"/></Relationships>
</file>

<file path=word/charts/_rels/chart85.xml.rels><?xml version="1.0" encoding="UTF-8" standalone="yes"?>
<Relationships xmlns="http://schemas.openxmlformats.org/package/2006/relationships"><Relationship Id="rId3" Type="http://schemas.openxmlformats.org/officeDocument/2006/relationships/themeOverride" Target="../theme/themeOverride76.xml"/><Relationship Id="rId2" Type="http://schemas.microsoft.com/office/2011/relationships/chartColorStyle" Target="colors85.xml"/><Relationship Id="rId1" Type="http://schemas.microsoft.com/office/2011/relationships/chartStyle" Target="style85.xml"/><Relationship Id="rId4" Type="http://schemas.openxmlformats.org/officeDocument/2006/relationships/package" Target="../embeddings/Microsoft_Excel_Worksheet81.xlsx"/></Relationships>
</file>

<file path=word/charts/_rels/chart86.xml.rels><?xml version="1.0" encoding="UTF-8" standalone="yes"?>
<Relationships xmlns="http://schemas.openxmlformats.org/package/2006/relationships"><Relationship Id="rId3" Type="http://schemas.openxmlformats.org/officeDocument/2006/relationships/themeOverride" Target="../theme/themeOverride77.xml"/><Relationship Id="rId2" Type="http://schemas.microsoft.com/office/2011/relationships/chartColorStyle" Target="colors86.xml"/><Relationship Id="rId1" Type="http://schemas.microsoft.com/office/2011/relationships/chartStyle" Target="style86.xml"/><Relationship Id="rId4" Type="http://schemas.openxmlformats.org/officeDocument/2006/relationships/package" Target="../embeddings/Microsoft_Excel_Worksheet82.xlsx"/></Relationships>
</file>

<file path=word/charts/_rels/chart87.xml.rels><?xml version="1.0" encoding="UTF-8" standalone="yes"?>
<Relationships xmlns="http://schemas.openxmlformats.org/package/2006/relationships"><Relationship Id="rId3" Type="http://schemas.openxmlformats.org/officeDocument/2006/relationships/oleObject" Target="file:///\\acc.gov.uk\data\CHI\PLANNING\TRANSFER\RESEARCH%20&amp;%20INFORMATION\Population%20Needs%20Assessment\Data%20and%20workings\ECONOMY%202.xlsx" TargetMode="External"/><Relationship Id="rId2" Type="http://schemas.microsoft.com/office/2011/relationships/chartColorStyle" Target="colors87.xml"/><Relationship Id="rId1" Type="http://schemas.microsoft.com/office/2011/relationships/chartStyle" Target="style87.xml"/></Relationships>
</file>

<file path=word/charts/_rels/chart88.xml.rels><?xml version="1.0" encoding="UTF-8" standalone="yes"?>
<Relationships xmlns="http://schemas.openxmlformats.org/package/2006/relationships"><Relationship Id="rId3" Type="http://schemas.openxmlformats.org/officeDocument/2006/relationships/themeOverride" Target="../theme/themeOverride78.xml"/><Relationship Id="rId2" Type="http://schemas.microsoft.com/office/2011/relationships/chartColorStyle" Target="colors88.xml"/><Relationship Id="rId1" Type="http://schemas.microsoft.com/office/2011/relationships/chartStyle" Target="style88.xml"/><Relationship Id="rId4" Type="http://schemas.openxmlformats.org/officeDocument/2006/relationships/package" Target="../embeddings/Microsoft_Excel_Worksheet83.xlsx"/></Relationships>
</file>

<file path=word/charts/_rels/chart89.xml.rels><?xml version="1.0" encoding="UTF-8" standalone="yes"?>
<Relationships xmlns="http://schemas.openxmlformats.org/package/2006/relationships"><Relationship Id="rId3" Type="http://schemas.openxmlformats.org/officeDocument/2006/relationships/themeOverride" Target="../theme/themeOverride79.xml"/><Relationship Id="rId2" Type="http://schemas.microsoft.com/office/2011/relationships/chartColorStyle" Target="colors89.xml"/><Relationship Id="rId1" Type="http://schemas.microsoft.com/office/2011/relationships/chartStyle" Target="style89.xml"/><Relationship Id="rId4" Type="http://schemas.openxmlformats.org/officeDocument/2006/relationships/package" Target="../embeddings/Microsoft_Excel_Worksheet84.xlsx"/></Relationships>
</file>

<file path=word/charts/_rels/chart9.xml.rels><?xml version="1.0" encoding="UTF-8" standalone="yes"?>
<Relationships xmlns="http://schemas.openxmlformats.org/package/2006/relationships"><Relationship Id="rId3" Type="http://schemas.openxmlformats.org/officeDocument/2006/relationships/oleObject" Target="file:///\\acc.gov.uk\data\CHI\PLANNING\TRANSFER\RESEARCH%20&amp;%20INFORMATION\Briefing%20Papers\Population%20Report\2017%20(2016%20MYEs)\Workings%202.xlsx" TargetMode="External"/><Relationship Id="rId2" Type="http://schemas.microsoft.com/office/2011/relationships/chartColorStyle" Target="colors9.xml"/><Relationship Id="rId1" Type="http://schemas.microsoft.com/office/2011/relationships/chartStyle" Target="style9.xml"/></Relationships>
</file>

<file path=word/charts/_rels/chart90.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91.xml.rels><?xml version="1.0" encoding="UTF-8" standalone="yes"?>
<Relationships xmlns="http://schemas.openxmlformats.org/package/2006/relationships"><Relationship Id="rId3" Type="http://schemas.openxmlformats.org/officeDocument/2006/relationships/themeOverride" Target="../theme/themeOverride80.xml"/><Relationship Id="rId2" Type="http://schemas.microsoft.com/office/2011/relationships/chartColorStyle" Target="colors90.xml"/><Relationship Id="rId1" Type="http://schemas.microsoft.com/office/2011/relationships/chartStyle" Target="style90.xml"/><Relationship Id="rId4" Type="http://schemas.openxmlformats.org/officeDocument/2006/relationships/oleObject" Target="../embeddings/oleObject1.bin"/></Relationships>
</file>

<file path=word/charts/_rels/chart92.xml.rels><?xml version="1.0" encoding="UTF-8" standalone="yes"?>
<Relationships xmlns="http://schemas.openxmlformats.org/package/2006/relationships"><Relationship Id="rId3" Type="http://schemas.openxmlformats.org/officeDocument/2006/relationships/package" Target="../embeddings/Microsoft_Excel_Worksheet85.xlsx"/><Relationship Id="rId2" Type="http://schemas.microsoft.com/office/2011/relationships/chartColorStyle" Target="colors91.xml"/><Relationship Id="rId1" Type="http://schemas.microsoft.com/office/2011/relationships/chartStyle" Target="style91.xml"/></Relationships>
</file>

<file path=word/charts/_rels/chart93.xml.rels><?xml version="1.0" encoding="UTF-8" standalone="yes"?>
<Relationships xmlns="http://schemas.openxmlformats.org/package/2006/relationships"><Relationship Id="rId3" Type="http://schemas.openxmlformats.org/officeDocument/2006/relationships/themeOverride" Target="../theme/themeOverride81.xml"/><Relationship Id="rId2" Type="http://schemas.microsoft.com/office/2011/relationships/chartColorStyle" Target="colors92.xml"/><Relationship Id="rId1" Type="http://schemas.microsoft.com/office/2011/relationships/chartStyle" Target="style92.xml"/><Relationship Id="rId4" Type="http://schemas.openxmlformats.org/officeDocument/2006/relationships/package" Target="../embeddings/Microsoft_Excel_Worksheet86.xlsx"/></Relationships>
</file>

<file path=word/charts/_rels/chart94.xml.rels><?xml version="1.0" encoding="UTF-8" standalone="yes"?>
<Relationships xmlns="http://schemas.openxmlformats.org/package/2006/relationships"><Relationship Id="rId3" Type="http://schemas.openxmlformats.org/officeDocument/2006/relationships/themeOverride" Target="../theme/themeOverride82.xml"/><Relationship Id="rId2" Type="http://schemas.microsoft.com/office/2011/relationships/chartColorStyle" Target="colors93.xml"/><Relationship Id="rId1" Type="http://schemas.microsoft.com/office/2011/relationships/chartStyle" Target="style93.xml"/><Relationship Id="rId5" Type="http://schemas.openxmlformats.org/officeDocument/2006/relationships/chartUserShapes" Target="../drawings/drawing2.xml"/><Relationship Id="rId4" Type="http://schemas.openxmlformats.org/officeDocument/2006/relationships/package" Target="../embeddings/Microsoft_Excel_Worksheet87.xlsx"/></Relationships>
</file>

<file path=word/charts/_rels/chart95.xml.rels><?xml version="1.0" encoding="UTF-8" standalone="yes"?>
<Relationships xmlns="http://schemas.openxmlformats.org/package/2006/relationships"><Relationship Id="rId3" Type="http://schemas.openxmlformats.org/officeDocument/2006/relationships/themeOverride" Target="../theme/themeOverride83.xml"/><Relationship Id="rId2" Type="http://schemas.microsoft.com/office/2011/relationships/chartColorStyle" Target="colors94.xml"/><Relationship Id="rId1" Type="http://schemas.microsoft.com/office/2011/relationships/chartStyle" Target="style94.xml"/><Relationship Id="rId4" Type="http://schemas.openxmlformats.org/officeDocument/2006/relationships/package" Target="../embeddings/Microsoft_Excel_Worksheet88.xlsx"/></Relationships>
</file>

<file path=word/charts/_rels/chart96.xml.rels><?xml version="1.0" encoding="UTF-8" standalone="yes"?>
<Relationships xmlns="http://schemas.openxmlformats.org/package/2006/relationships"><Relationship Id="rId3" Type="http://schemas.openxmlformats.org/officeDocument/2006/relationships/themeOverride" Target="../theme/themeOverride84.xml"/><Relationship Id="rId2" Type="http://schemas.microsoft.com/office/2011/relationships/chartColorStyle" Target="colors95.xml"/><Relationship Id="rId1" Type="http://schemas.microsoft.com/office/2011/relationships/chartStyle" Target="style95.xml"/><Relationship Id="rId4" Type="http://schemas.openxmlformats.org/officeDocument/2006/relationships/package" Target="../embeddings/Microsoft_Excel_Worksheet89.xlsx"/></Relationships>
</file>

<file path=word/charts/_rels/chart97.xml.rels><?xml version="1.0" encoding="UTF-8" standalone="yes"?>
<Relationships xmlns="http://schemas.openxmlformats.org/package/2006/relationships"><Relationship Id="rId3" Type="http://schemas.openxmlformats.org/officeDocument/2006/relationships/themeOverride" Target="../theme/themeOverride85.xml"/><Relationship Id="rId2" Type="http://schemas.microsoft.com/office/2011/relationships/chartColorStyle" Target="colors96.xml"/><Relationship Id="rId1" Type="http://schemas.microsoft.com/office/2011/relationships/chartStyle" Target="style96.xml"/><Relationship Id="rId4" Type="http://schemas.openxmlformats.org/officeDocument/2006/relationships/package" Target="../embeddings/Microsoft_Excel_Worksheet90.xlsx"/></Relationships>
</file>

<file path=word/charts/_rels/chart98.xml.rels><?xml version="1.0" encoding="UTF-8" standalone="yes"?>
<Relationships xmlns="http://schemas.openxmlformats.org/package/2006/relationships"><Relationship Id="rId3" Type="http://schemas.openxmlformats.org/officeDocument/2006/relationships/themeOverride" Target="../theme/themeOverride86.xml"/><Relationship Id="rId2" Type="http://schemas.microsoft.com/office/2011/relationships/chartColorStyle" Target="colors97.xml"/><Relationship Id="rId1" Type="http://schemas.microsoft.com/office/2011/relationships/chartStyle" Target="style97.xml"/><Relationship Id="rId4" Type="http://schemas.openxmlformats.org/officeDocument/2006/relationships/package" Target="../embeddings/Microsoft_Excel_Worksheet91.xlsx"/></Relationships>
</file>

<file path=word/charts/_rels/chart99.xml.rels><?xml version="1.0" encoding="UTF-8" standalone="yes"?>
<Relationships xmlns="http://schemas.openxmlformats.org/package/2006/relationships"><Relationship Id="rId3" Type="http://schemas.openxmlformats.org/officeDocument/2006/relationships/themeOverride" Target="../theme/themeOverride87.xml"/><Relationship Id="rId2" Type="http://schemas.microsoft.com/office/2011/relationships/chartColorStyle" Target="colors98.xml"/><Relationship Id="rId1" Type="http://schemas.microsoft.com/office/2011/relationships/chartStyle" Target="style98.xml"/><Relationship Id="rId4" Type="http://schemas.openxmlformats.org/officeDocument/2006/relationships/package" Target="../embeddings/Microsoft_Excel_Worksheet9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200" b="0"/>
              <a:t>Population by neighbourhood, Aberdeen City, 2016</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AF9-48F5-B764-2632FB929393}"/>
                </c:ext>
              </c:extLst>
            </c:dLbl>
            <c:dLbl>
              <c:idx val="36"/>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AF9-48F5-B764-2632FB929393}"/>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'Population by neighbourhood'!$A$46:$A$82</c:f>
              <c:strCache>
                <c:ptCount val="37"/>
                <c:pt idx="0">
                  <c:v>Cummings Park </c:v>
                </c:pt>
                <c:pt idx="1">
                  <c:v>Heathryfold </c:v>
                </c:pt>
                <c:pt idx="2">
                  <c:v>Ashgrove </c:v>
                </c:pt>
                <c:pt idx="3">
                  <c:v>Middlefield </c:v>
                </c:pt>
                <c:pt idx="4">
                  <c:v>Denmore </c:v>
                </c:pt>
                <c:pt idx="5">
                  <c:v>Old Aberdeen </c:v>
                </c:pt>
                <c:pt idx="6">
                  <c:v>Midstocket </c:v>
                </c:pt>
                <c:pt idx="7">
                  <c:v>Summerhill </c:v>
                </c:pt>
                <c:pt idx="8">
                  <c:v>Sheddocksley </c:v>
                </c:pt>
                <c:pt idx="9">
                  <c:v>Stockethill </c:v>
                </c:pt>
                <c:pt idx="10">
                  <c:v>Danestone </c:v>
                </c:pt>
                <c:pt idx="11">
                  <c:v>Woodside </c:v>
                </c:pt>
                <c:pt idx="12">
                  <c:v>Culter </c:v>
                </c:pt>
                <c:pt idx="13">
                  <c:v>Hazlehead </c:v>
                </c:pt>
                <c:pt idx="14">
                  <c:v>Northfield </c:v>
                </c:pt>
                <c:pt idx="15">
                  <c:v>Garthdee </c:v>
                </c:pt>
                <c:pt idx="16">
                  <c:v>Kingswells </c:v>
                </c:pt>
                <c:pt idx="17">
                  <c:v>Tillydrone </c:v>
                </c:pt>
                <c:pt idx="18">
                  <c:v>Seaton </c:v>
                </c:pt>
                <c:pt idx="19">
                  <c:v>Froghall, Powis &amp; Sunnybank </c:v>
                </c:pt>
                <c:pt idx="20">
                  <c:v>Balgownie &amp; Donmouth </c:v>
                </c:pt>
                <c:pt idx="21">
                  <c:v>Dyce </c:v>
                </c:pt>
                <c:pt idx="22">
                  <c:v>City Centre </c:v>
                </c:pt>
                <c:pt idx="23">
                  <c:v>Cove </c:v>
                </c:pt>
                <c:pt idx="24">
                  <c:v>George Street </c:v>
                </c:pt>
                <c:pt idx="25">
                  <c:v>Mastrick </c:v>
                </c:pt>
                <c:pt idx="26">
                  <c:v>Rosemount </c:v>
                </c:pt>
                <c:pt idx="27">
                  <c:v>Hanover </c:v>
                </c:pt>
                <c:pt idx="28">
                  <c:v>Hilton </c:v>
                </c:pt>
                <c:pt idx="29">
                  <c:v>Bucksburn </c:v>
                </c:pt>
                <c:pt idx="30">
                  <c:v>Oldmachar </c:v>
                </c:pt>
                <c:pt idx="31">
                  <c:v>Kincorth, Leggart &amp; Nigg </c:v>
                </c:pt>
                <c:pt idx="32">
                  <c:v>Ferryhill </c:v>
                </c:pt>
                <c:pt idx="33">
                  <c:v>West End </c:v>
                </c:pt>
                <c:pt idx="34">
                  <c:v>Torry </c:v>
                </c:pt>
                <c:pt idx="35">
                  <c:v>Cults, Bieldside &amp; Milltimber </c:v>
                </c:pt>
                <c:pt idx="36">
                  <c:v>Braeside, Mannofield, Broomhill &amp; Seafield </c:v>
                </c:pt>
              </c:strCache>
            </c:strRef>
          </c:cat>
          <c:val>
            <c:numRef>
              <c:f>'Population by neighbourhood'!$B$46:$B$82</c:f>
              <c:numCache>
                <c:formatCode>#,##0</c:formatCode>
                <c:ptCount val="37"/>
                <c:pt idx="0">
                  <c:v>1837</c:v>
                </c:pt>
                <c:pt idx="1">
                  <c:v>2078</c:v>
                </c:pt>
                <c:pt idx="2">
                  <c:v>2732</c:v>
                </c:pt>
                <c:pt idx="3">
                  <c:v>2916</c:v>
                </c:pt>
                <c:pt idx="4">
                  <c:v>3315</c:v>
                </c:pt>
                <c:pt idx="5">
                  <c:v>3823</c:v>
                </c:pt>
                <c:pt idx="6">
                  <c:v>3932</c:v>
                </c:pt>
                <c:pt idx="7">
                  <c:v>3937</c:v>
                </c:pt>
                <c:pt idx="8">
                  <c:v>3976</c:v>
                </c:pt>
                <c:pt idx="9">
                  <c:v>4003</c:v>
                </c:pt>
                <c:pt idx="10">
                  <c:v>4067</c:v>
                </c:pt>
                <c:pt idx="11">
                  <c:v>4112</c:v>
                </c:pt>
                <c:pt idx="12">
                  <c:v>4888</c:v>
                </c:pt>
                <c:pt idx="13">
                  <c:v>5142</c:v>
                </c:pt>
                <c:pt idx="14">
                  <c:v>5415</c:v>
                </c:pt>
                <c:pt idx="15">
                  <c:v>5459</c:v>
                </c:pt>
                <c:pt idx="16">
                  <c:v>5559</c:v>
                </c:pt>
                <c:pt idx="17">
                  <c:v>5572</c:v>
                </c:pt>
                <c:pt idx="18">
                  <c:v>5584</c:v>
                </c:pt>
                <c:pt idx="19">
                  <c:v>5736</c:v>
                </c:pt>
                <c:pt idx="20">
                  <c:v>6362</c:v>
                </c:pt>
                <c:pt idx="21">
                  <c:v>6486</c:v>
                </c:pt>
                <c:pt idx="22">
                  <c:v>6750</c:v>
                </c:pt>
                <c:pt idx="23">
                  <c:v>6806</c:v>
                </c:pt>
                <c:pt idx="24">
                  <c:v>7246</c:v>
                </c:pt>
                <c:pt idx="25">
                  <c:v>7476</c:v>
                </c:pt>
                <c:pt idx="26">
                  <c:v>7513</c:v>
                </c:pt>
                <c:pt idx="27">
                  <c:v>7679</c:v>
                </c:pt>
                <c:pt idx="28">
                  <c:v>7696</c:v>
                </c:pt>
                <c:pt idx="29">
                  <c:v>7712</c:v>
                </c:pt>
                <c:pt idx="30">
                  <c:v>9412</c:v>
                </c:pt>
                <c:pt idx="31">
                  <c:v>9571</c:v>
                </c:pt>
                <c:pt idx="32">
                  <c:v>10040</c:v>
                </c:pt>
                <c:pt idx="33">
                  <c:v>10072</c:v>
                </c:pt>
                <c:pt idx="34">
                  <c:v>10360</c:v>
                </c:pt>
                <c:pt idx="35">
                  <c:v>11103</c:v>
                </c:pt>
                <c:pt idx="36">
                  <c:v>13473</c:v>
                </c:pt>
              </c:numCache>
            </c:numRef>
          </c:val>
          <c:extLst>
            <c:ext xmlns:c16="http://schemas.microsoft.com/office/drawing/2014/chart" uri="{C3380CC4-5D6E-409C-BE32-E72D297353CC}">
              <c16:uniqueId val="{00000002-DAF9-48F5-B764-2632FB929393}"/>
            </c:ext>
          </c:extLst>
        </c:ser>
        <c:dLbls>
          <c:showLegendKey val="0"/>
          <c:showVal val="0"/>
          <c:showCatName val="0"/>
          <c:showSerName val="0"/>
          <c:showPercent val="0"/>
          <c:showBubbleSize val="0"/>
        </c:dLbls>
        <c:gapWidth val="100"/>
        <c:overlap val="-24"/>
        <c:axId val="555553336"/>
        <c:axId val="555556616"/>
      </c:barChart>
      <c:catAx>
        <c:axId val="55555333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crossAx val="555556616"/>
        <c:crosses val="autoZero"/>
        <c:auto val="1"/>
        <c:lblAlgn val="ctr"/>
        <c:lblOffset val="100"/>
        <c:noMultiLvlLbl val="0"/>
      </c:catAx>
      <c:valAx>
        <c:axId val="55555661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55553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100" b="0"/>
              <a:t>Projected</a:t>
            </a:r>
            <a:r>
              <a:rPr lang="en-GB" sz="1100" b="0" baseline="0"/>
              <a:t> population change for males and females, Aberdeen City, 2016-206</a:t>
            </a:r>
            <a:endParaRPr lang="en-GB" sz="1100" b="0"/>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lineChart>
        <c:grouping val="standard"/>
        <c:varyColors val="0"/>
        <c:ser>
          <c:idx val="0"/>
          <c:order val="0"/>
          <c:tx>
            <c:strRef>
              <c:f>Sheet6!$A$17</c:f>
              <c:strCache>
                <c:ptCount val="1"/>
                <c:pt idx="0">
                  <c:v>Males</c:v>
                </c:pt>
              </c:strCache>
            </c:strRef>
          </c:tx>
          <c:spPr>
            <a:ln w="31750" cap="rnd">
              <a:solidFill>
                <a:schemeClr val="accent1"/>
              </a:solidFill>
              <a:round/>
            </a:ln>
            <a:effectLst>
              <a:outerShdw blurRad="40000" dist="23000" dir="5400000" rotWithShape="0">
                <a:srgbClr val="000000">
                  <a:alpha val="35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dLbls>
            <c:dLbl>
              <c:idx val="0"/>
              <c:layout>
                <c:manualLayout>
                  <c:x val="-5.3798560068513315E-2"/>
                  <c:y val="3.24420384951880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E27-498C-A6D2-D983E130F1B6}"/>
                </c:ext>
              </c:extLst>
            </c:dLbl>
            <c:dLbl>
              <c:idx val="1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E27-498C-A6D2-D983E130F1B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Sheet6!$B$16:$L$16</c:f>
              <c:numCache>
                <c:formatCode>General</c:formatCode>
                <c:ptCount val="11"/>
                <c:pt idx="0">
                  <c:v>2016</c:v>
                </c:pt>
                <c:pt idx="1">
                  <c:v>2017</c:v>
                </c:pt>
                <c:pt idx="2">
                  <c:v>2018</c:v>
                </c:pt>
                <c:pt idx="3">
                  <c:v>2019</c:v>
                </c:pt>
                <c:pt idx="4">
                  <c:v>2020</c:v>
                </c:pt>
                <c:pt idx="5">
                  <c:v>2021</c:v>
                </c:pt>
                <c:pt idx="6">
                  <c:v>2022</c:v>
                </c:pt>
                <c:pt idx="7">
                  <c:v>2023</c:v>
                </c:pt>
                <c:pt idx="8">
                  <c:v>2024</c:v>
                </c:pt>
                <c:pt idx="9">
                  <c:v>2025</c:v>
                </c:pt>
                <c:pt idx="10">
                  <c:v>2026</c:v>
                </c:pt>
              </c:numCache>
            </c:numRef>
          </c:cat>
          <c:val>
            <c:numRef>
              <c:f>Sheet6!$B$17:$L$17</c:f>
              <c:numCache>
                <c:formatCode>#,##0</c:formatCode>
                <c:ptCount val="11"/>
                <c:pt idx="0">
                  <c:v>114121</c:v>
                </c:pt>
                <c:pt idx="1">
                  <c:v>114886</c:v>
                </c:pt>
                <c:pt idx="2">
                  <c:v>115680</c:v>
                </c:pt>
                <c:pt idx="3">
                  <c:v>116306</c:v>
                </c:pt>
                <c:pt idx="4">
                  <c:v>116822</c:v>
                </c:pt>
                <c:pt idx="5">
                  <c:v>117278</c:v>
                </c:pt>
                <c:pt idx="6">
                  <c:v>117679</c:v>
                </c:pt>
                <c:pt idx="7">
                  <c:v>118015</c:v>
                </c:pt>
                <c:pt idx="8">
                  <c:v>118320</c:v>
                </c:pt>
                <c:pt idx="9">
                  <c:v>118613</c:v>
                </c:pt>
                <c:pt idx="10">
                  <c:v>118896</c:v>
                </c:pt>
              </c:numCache>
            </c:numRef>
          </c:val>
          <c:smooth val="0"/>
          <c:extLst>
            <c:ext xmlns:c16="http://schemas.microsoft.com/office/drawing/2014/chart" uri="{C3380CC4-5D6E-409C-BE32-E72D297353CC}">
              <c16:uniqueId val="{00000002-6E27-498C-A6D2-D983E130F1B6}"/>
            </c:ext>
          </c:extLst>
        </c:ser>
        <c:ser>
          <c:idx val="1"/>
          <c:order val="1"/>
          <c:tx>
            <c:strRef>
              <c:f>Sheet6!$A$18</c:f>
              <c:strCache>
                <c:ptCount val="1"/>
                <c:pt idx="0">
                  <c:v>Females</c:v>
                </c:pt>
              </c:strCache>
            </c:strRef>
          </c:tx>
          <c:spPr>
            <a:ln w="31750" cap="rnd">
              <a:solidFill>
                <a:schemeClr val="accent2"/>
              </a:solidFill>
              <a:round/>
            </a:ln>
            <a:effectLst>
              <a:outerShdw blurRad="40000" dist="23000" dir="5400000" rotWithShape="0">
                <a:srgbClr val="000000">
                  <a:alpha val="35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c:spPr>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E27-498C-A6D2-D983E130F1B6}"/>
                </c:ext>
              </c:extLst>
            </c:dLbl>
            <c:dLbl>
              <c:idx val="10"/>
              <c:layout>
                <c:manualLayout>
                  <c:x val="-2.1098869660285031E-2"/>
                  <c:y val="4.17012977544473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E27-498C-A6D2-D983E130F1B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Sheet6!$B$16:$L$16</c:f>
              <c:numCache>
                <c:formatCode>General</c:formatCode>
                <c:ptCount val="11"/>
                <c:pt idx="0">
                  <c:v>2016</c:v>
                </c:pt>
                <c:pt idx="1">
                  <c:v>2017</c:v>
                </c:pt>
                <c:pt idx="2">
                  <c:v>2018</c:v>
                </c:pt>
                <c:pt idx="3">
                  <c:v>2019</c:v>
                </c:pt>
                <c:pt idx="4">
                  <c:v>2020</c:v>
                </c:pt>
                <c:pt idx="5">
                  <c:v>2021</c:v>
                </c:pt>
                <c:pt idx="6">
                  <c:v>2022</c:v>
                </c:pt>
                <c:pt idx="7">
                  <c:v>2023</c:v>
                </c:pt>
                <c:pt idx="8">
                  <c:v>2024</c:v>
                </c:pt>
                <c:pt idx="9">
                  <c:v>2025</c:v>
                </c:pt>
                <c:pt idx="10">
                  <c:v>2026</c:v>
                </c:pt>
              </c:numCache>
            </c:numRef>
          </c:cat>
          <c:val>
            <c:numRef>
              <c:f>Sheet6!$B$18:$L$18</c:f>
              <c:numCache>
                <c:formatCode>#,##0</c:formatCode>
                <c:ptCount val="11"/>
                <c:pt idx="0">
                  <c:v>115719</c:v>
                </c:pt>
                <c:pt idx="1">
                  <c:v>116362</c:v>
                </c:pt>
                <c:pt idx="2">
                  <c:v>116877</c:v>
                </c:pt>
                <c:pt idx="3">
                  <c:v>117215</c:v>
                </c:pt>
                <c:pt idx="4">
                  <c:v>117428</c:v>
                </c:pt>
                <c:pt idx="5">
                  <c:v>117606</c:v>
                </c:pt>
                <c:pt idx="6">
                  <c:v>117750</c:v>
                </c:pt>
                <c:pt idx="7">
                  <c:v>117848</c:v>
                </c:pt>
                <c:pt idx="8">
                  <c:v>117966</c:v>
                </c:pt>
                <c:pt idx="9">
                  <c:v>118111</c:v>
                </c:pt>
                <c:pt idx="10">
                  <c:v>118273</c:v>
                </c:pt>
              </c:numCache>
            </c:numRef>
          </c:val>
          <c:smooth val="0"/>
          <c:extLst>
            <c:ext xmlns:c16="http://schemas.microsoft.com/office/drawing/2014/chart" uri="{C3380CC4-5D6E-409C-BE32-E72D297353CC}">
              <c16:uniqueId val="{00000005-6E27-498C-A6D2-D983E130F1B6}"/>
            </c:ext>
          </c:extLst>
        </c:ser>
        <c:dLbls>
          <c:dLblPos val="ctr"/>
          <c:showLegendKey val="0"/>
          <c:showVal val="1"/>
          <c:showCatName val="0"/>
          <c:showSerName val="0"/>
          <c:showPercent val="0"/>
          <c:showBubbleSize val="0"/>
        </c:dLbls>
        <c:marker val="1"/>
        <c:smooth val="0"/>
        <c:axId val="99032448"/>
        <c:axId val="99038720"/>
      </c:lineChart>
      <c:catAx>
        <c:axId val="99032448"/>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99038720"/>
        <c:crosses val="autoZero"/>
        <c:auto val="1"/>
        <c:lblAlgn val="ctr"/>
        <c:lblOffset val="100"/>
        <c:noMultiLvlLbl val="0"/>
      </c:catAx>
      <c:valAx>
        <c:axId val="99038720"/>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crossAx val="99032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r>
              <a:rPr lang="en-US" sz="1200" b="0"/>
              <a:t>Median annual household income by neighbourhood, Aberdeen City,</a:t>
            </a:r>
            <a:r>
              <a:rPr lang="en-US" sz="1200" b="0" baseline="0"/>
              <a:t> 2017</a:t>
            </a:r>
            <a:endParaRPr lang="en-US" sz="1200" b="0"/>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Sheet3!$B$1</c:f>
              <c:strCache>
                <c:ptCount val="1"/>
                <c:pt idx="0">
                  <c:v>Median annual household income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0"/>
              <c:layout>
                <c:manualLayout>
                  <c:x val="1.9942388654996687E-2"/>
                  <c:y val="-2.7375831052014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AEA-4A7D-A978-4058ADF40680}"/>
                </c:ext>
              </c:extLst>
            </c:dLbl>
            <c:dLbl>
              <c:idx val="36"/>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AEA-4A7D-A978-4058ADF4068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Sheet3!$A$2:$A$38</c:f>
              <c:strCache>
                <c:ptCount val="37"/>
                <c:pt idx="0">
                  <c:v>Middlefield</c:v>
                </c:pt>
                <c:pt idx="1">
                  <c:v>Seaton</c:v>
                </c:pt>
                <c:pt idx="2">
                  <c:v>Tillydrone</c:v>
                </c:pt>
                <c:pt idx="3">
                  <c:v>Stockethill</c:v>
                </c:pt>
                <c:pt idx="4">
                  <c:v>Torry</c:v>
                </c:pt>
                <c:pt idx="5">
                  <c:v>Mastrick</c:v>
                </c:pt>
                <c:pt idx="6">
                  <c:v>Sheddocksley</c:v>
                </c:pt>
                <c:pt idx="7">
                  <c:v>Woodside</c:v>
                </c:pt>
                <c:pt idx="8">
                  <c:v>Cummings Park</c:v>
                </c:pt>
                <c:pt idx="9">
                  <c:v>Northfield</c:v>
                </c:pt>
                <c:pt idx="10">
                  <c:v>Garthdee</c:v>
                </c:pt>
                <c:pt idx="11">
                  <c:v>Heathryfold</c:v>
                </c:pt>
                <c:pt idx="12">
                  <c:v>George Street</c:v>
                </c:pt>
                <c:pt idx="13">
                  <c:v>Froghall, Powis &amp; Sunnybank</c:v>
                </c:pt>
                <c:pt idx="14">
                  <c:v>Summerhill</c:v>
                </c:pt>
                <c:pt idx="15">
                  <c:v>Kincorth, Leggart &amp; Nigg</c:v>
                </c:pt>
                <c:pt idx="16">
                  <c:v>Hilton</c:v>
                </c:pt>
                <c:pt idx="17">
                  <c:v>Hanover</c:v>
                </c:pt>
                <c:pt idx="18">
                  <c:v>Ashgrove</c:v>
                </c:pt>
                <c:pt idx="19">
                  <c:v>Bucksburn</c:v>
                </c:pt>
                <c:pt idx="20">
                  <c:v>Old Aberdeen</c:v>
                </c:pt>
                <c:pt idx="21">
                  <c:v>City Centre</c:v>
                </c:pt>
                <c:pt idx="22">
                  <c:v>Dyce</c:v>
                </c:pt>
                <c:pt idx="23">
                  <c:v>Balgownie &amp; Donmouth</c:v>
                </c:pt>
                <c:pt idx="24">
                  <c:v>Rosemount</c:v>
                </c:pt>
                <c:pt idx="25">
                  <c:v>Culter</c:v>
                </c:pt>
                <c:pt idx="26">
                  <c:v>Ferryhill</c:v>
                </c:pt>
                <c:pt idx="27">
                  <c:v>Cove</c:v>
                </c:pt>
                <c:pt idx="28">
                  <c:v>Danestone</c:v>
                </c:pt>
                <c:pt idx="29">
                  <c:v>Oldmachar</c:v>
                </c:pt>
                <c:pt idx="30">
                  <c:v>Hazlehead</c:v>
                </c:pt>
                <c:pt idx="31">
                  <c:v>Denmore</c:v>
                </c:pt>
                <c:pt idx="32">
                  <c:v>Braeside, Mannofield, Broomhill &amp; Seafield</c:v>
                </c:pt>
                <c:pt idx="33">
                  <c:v>West End</c:v>
                </c:pt>
                <c:pt idx="34">
                  <c:v>Midstocket</c:v>
                </c:pt>
                <c:pt idx="35">
                  <c:v>Kingswells</c:v>
                </c:pt>
                <c:pt idx="36">
                  <c:v>Cults, Bieldside &amp; Milltimber</c:v>
                </c:pt>
              </c:strCache>
            </c:strRef>
          </c:cat>
          <c:val>
            <c:numRef>
              <c:f>Sheet3!$B$2:$B$38</c:f>
              <c:numCache>
                <c:formatCode>"£"#,##0</c:formatCode>
                <c:ptCount val="37"/>
                <c:pt idx="0">
                  <c:v>18595.87</c:v>
                </c:pt>
                <c:pt idx="1">
                  <c:v>19208.61</c:v>
                </c:pt>
                <c:pt idx="2">
                  <c:v>19569.12</c:v>
                </c:pt>
                <c:pt idx="3">
                  <c:v>19571.46</c:v>
                </c:pt>
                <c:pt idx="4">
                  <c:v>21230.54</c:v>
                </c:pt>
                <c:pt idx="5">
                  <c:v>21798.06</c:v>
                </c:pt>
                <c:pt idx="6">
                  <c:v>22254.959999999999</c:v>
                </c:pt>
                <c:pt idx="7">
                  <c:v>22932.86</c:v>
                </c:pt>
                <c:pt idx="8">
                  <c:v>23040.3</c:v>
                </c:pt>
                <c:pt idx="9">
                  <c:v>23889.26</c:v>
                </c:pt>
                <c:pt idx="10">
                  <c:v>24175.13</c:v>
                </c:pt>
                <c:pt idx="11">
                  <c:v>25253.75</c:v>
                </c:pt>
                <c:pt idx="12">
                  <c:v>25254.09</c:v>
                </c:pt>
                <c:pt idx="13">
                  <c:v>25271.15</c:v>
                </c:pt>
                <c:pt idx="14">
                  <c:v>25348.44</c:v>
                </c:pt>
                <c:pt idx="15">
                  <c:v>25980.74</c:v>
                </c:pt>
                <c:pt idx="16">
                  <c:v>26144.53</c:v>
                </c:pt>
                <c:pt idx="17">
                  <c:v>27515.47</c:v>
                </c:pt>
                <c:pt idx="18">
                  <c:v>29026.36</c:v>
                </c:pt>
                <c:pt idx="19">
                  <c:v>30204.61</c:v>
                </c:pt>
                <c:pt idx="20">
                  <c:v>31067.97</c:v>
                </c:pt>
                <c:pt idx="21">
                  <c:v>31414.19</c:v>
                </c:pt>
                <c:pt idx="22">
                  <c:v>33286.120000000003</c:v>
                </c:pt>
                <c:pt idx="23">
                  <c:v>34014.120000000003</c:v>
                </c:pt>
                <c:pt idx="24">
                  <c:v>34693.050000000003</c:v>
                </c:pt>
                <c:pt idx="25">
                  <c:v>38079</c:v>
                </c:pt>
                <c:pt idx="26">
                  <c:v>39092.660000000003</c:v>
                </c:pt>
                <c:pt idx="27">
                  <c:v>41630.67</c:v>
                </c:pt>
                <c:pt idx="28">
                  <c:v>42372.43</c:v>
                </c:pt>
                <c:pt idx="29">
                  <c:v>43089.13</c:v>
                </c:pt>
                <c:pt idx="30">
                  <c:v>43973.5</c:v>
                </c:pt>
                <c:pt idx="31">
                  <c:v>46775.89</c:v>
                </c:pt>
                <c:pt idx="32">
                  <c:v>48453.37</c:v>
                </c:pt>
                <c:pt idx="33">
                  <c:v>49000.21</c:v>
                </c:pt>
                <c:pt idx="34">
                  <c:v>50609.18</c:v>
                </c:pt>
                <c:pt idx="35">
                  <c:v>59162.28</c:v>
                </c:pt>
                <c:pt idx="36">
                  <c:v>61569.81</c:v>
                </c:pt>
              </c:numCache>
            </c:numRef>
          </c:val>
          <c:extLst>
            <c:ext xmlns:c16="http://schemas.microsoft.com/office/drawing/2014/chart" uri="{C3380CC4-5D6E-409C-BE32-E72D297353CC}">
              <c16:uniqueId val="{00000002-0AEA-4A7D-A978-4058ADF40680}"/>
            </c:ext>
          </c:extLst>
        </c:ser>
        <c:dLbls>
          <c:showLegendKey val="0"/>
          <c:showVal val="0"/>
          <c:showCatName val="0"/>
          <c:showSerName val="0"/>
          <c:showPercent val="0"/>
          <c:showBubbleSize val="0"/>
        </c:dLbls>
        <c:gapWidth val="100"/>
        <c:overlap val="-24"/>
        <c:axId val="599209480"/>
        <c:axId val="599201608"/>
      </c:barChart>
      <c:catAx>
        <c:axId val="59920948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crossAx val="599201608"/>
        <c:crosses val="autoZero"/>
        <c:auto val="1"/>
        <c:lblAlgn val="ctr"/>
        <c:lblOffset val="100"/>
        <c:noMultiLvlLbl val="0"/>
      </c:catAx>
      <c:valAx>
        <c:axId val="599201608"/>
        <c:scaling>
          <c:orientation val="minMax"/>
        </c:scaling>
        <c:delete val="0"/>
        <c:axPos val="l"/>
        <c:majorGridlines>
          <c:spPr>
            <a:ln w="9525" cap="flat" cmpd="sng" algn="ctr">
              <a:solidFill>
                <a:schemeClr val="tx2">
                  <a:lumMod val="15000"/>
                  <a:lumOff val="85000"/>
                </a:schemeClr>
              </a:solidFill>
              <a:round/>
            </a:ln>
            <a:effectLst/>
          </c:spPr>
        </c:maj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99209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r>
              <a:rPr lang="en-US" sz="1200" b="0"/>
              <a:t>Proportion of working age population who were economically active, Aberdeen City and Scotland, 2017</a:t>
            </a:r>
          </a:p>
        </c:rich>
      </c:tx>
      <c:layout>
        <c:manualLayout>
          <c:xMode val="edge"/>
          <c:yMode val="edge"/>
          <c:x val="0.11236111111111111"/>
          <c:y val="5.5555555555555552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'Economic Activity'!$I$4</c:f>
              <c:strCache>
                <c:ptCount val="1"/>
                <c:pt idx="0">
                  <c:v>Aberdeen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'Economic Activity'!$H$5:$H$7</c:f>
              <c:strCache>
                <c:ptCount val="3"/>
                <c:pt idx="0">
                  <c:v>All</c:v>
                </c:pt>
                <c:pt idx="1">
                  <c:v>Males</c:v>
                </c:pt>
                <c:pt idx="2">
                  <c:v>Females</c:v>
                </c:pt>
              </c:strCache>
            </c:strRef>
          </c:cat>
          <c:val>
            <c:numRef>
              <c:f>'Economic Activity'!$I$5:$I$7</c:f>
              <c:numCache>
                <c:formatCode>0.0%</c:formatCode>
                <c:ptCount val="3"/>
                <c:pt idx="0">
                  <c:v>0.79</c:v>
                </c:pt>
                <c:pt idx="1">
                  <c:v>0.82200000000000006</c:v>
                </c:pt>
                <c:pt idx="2">
                  <c:v>0.75900000000000001</c:v>
                </c:pt>
              </c:numCache>
            </c:numRef>
          </c:val>
          <c:extLst>
            <c:ext xmlns:c16="http://schemas.microsoft.com/office/drawing/2014/chart" uri="{C3380CC4-5D6E-409C-BE32-E72D297353CC}">
              <c16:uniqueId val="{00000000-0325-4010-A3EC-F4E0F5E04372}"/>
            </c:ext>
          </c:extLst>
        </c:ser>
        <c:ser>
          <c:idx val="1"/>
          <c:order val="1"/>
          <c:tx>
            <c:strRef>
              <c:f>'Economic Activity'!$J$4</c:f>
              <c:strCache>
                <c:ptCount val="1"/>
                <c:pt idx="0">
                  <c:v>Scotland</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'Economic Activity'!$H$5:$H$7</c:f>
              <c:strCache>
                <c:ptCount val="3"/>
                <c:pt idx="0">
                  <c:v>All</c:v>
                </c:pt>
                <c:pt idx="1">
                  <c:v>Males</c:v>
                </c:pt>
                <c:pt idx="2">
                  <c:v>Females</c:v>
                </c:pt>
              </c:strCache>
            </c:strRef>
          </c:cat>
          <c:val>
            <c:numRef>
              <c:f>'Economic Activity'!$J$5:$J$7</c:f>
              <c:numCache>
                <c:formatCode>0.0%</c:formatCode>
                <c:ptCount val="3"/>
                <c:pt idx="0">
                  <c:v>0.77500000000000002</c:v>
                </c:pt>
                <c:pt idx="1">
                  <c:v>0.81599999999999995</c:v>
                </c:pt>
                <c:pt idx="2">
                  <c:v>0.73499999999999999</c:v>
                </c:pt>
              </c:numCache>
            </c:numRef>
          </c:val>
          <c:extLst>
            <c:ext xmlns:c16="http://schemas.microsoft.com/office/drawing/2014/chart" uri="{C3380CC4-5D6E-409C-BE32-E72D297353CC}">
              <c16:uniqueId val="{00000001-0325-4010-A3EC-F4E0F5E04372}"/>
            </c:ext>
          </c:extLst>
        </c:ser>
        <c:dLbls>
          <c:dLblPos val="outEnd"/>
          <c:showLegendKey val="0"/>
          <c:showVal val="1"/>
          <c:showCatName val="0"/>
          <c:showSerName val="0"/>
          <c:showPercent val="0"/>
          <c:showBubbleSize val="0"/>
        </c:dLbls>
        <c:gapWidth val="100"/>
        <c:overlap val="-24"/>
        <c:axId val="423419088"/>
        <c:axId val="423427288"/>
      </c:barChart>
      <c:catAx>
        <c:axId val="42341908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23427288"/>
        <c:crosses val="autoZero"/>
        <c:auto val="1"/>
        <c:lblAlgn val="ctr"/>
        <c:lblOffset val="100"/>
        <c:noMultiLvlLbl val="0"/>
      </c:catAx>
      <c:valAx>
        <c:axId val="423427288"/>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23419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200" b="0"/>
              <a:t>Economically inactive by category, Aberdeen City and Scotland, 2017</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'Economic Activity'!$I$46</c:f>
              <c:strCache>
                <c:ptCount val="1"/>
                <c:pt idx="0">
                  <c:v>Aberdeen City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3"/>
              <c:layout>
                <c:manualLayout>
                  <c:x val="-8.3333333333333332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DA6-4199-9586-A8D6E0F9653A}"/>
                </c:ext>
              </c:extLst>
            </c:dLbl>
            <c:dLbl>
              <c:idx val="4"/>
              <c:layout>
                <c:manualLayout>
                  <c:x val="-2.2222222222222223E-2"/>
                  <c:y val="-9.259259259259258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DA6-4199-9586-A8D6E0F9653A}"/>
                </c:ext>
              </c:extLst>
            </c:dLbl>
            <c:dLbl>
              <c:idx val="6"/>
              <c:layout>
                <c:manualLayout>
                  <c:x val="-2.5000000000000001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DA6-4199-9586-A8D6E0F9653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'Economic Activity'!$H$47:$H$55</c:f>
              <c:strCache>
                <c:ptCount val="9"/>
                <c:pt idx="0">
                  <c:v>Total</c:v>
                </c:pt>
                <c:pt idx="1">
                  <c:v>Student</c:v>
                </c:pt>
                <c:pt idx="2">
                  <c:v>looking after family/home</c:v>
                </c:pt>
                <c:pt idx="3">
                  <c:v>temporary sick</c:v>
                </c:pt>
                <c:pt idx="4">
                  <c:v>long-term sick</c:v>
                </c:pt>
                <c:pt idx="5">
                  <c:v>discouraged</c:v>
                </c:pt>
                <c:pt idx="6">
                  <c:v>retired</c:v>
                </c:pt>
                <c:pt idx="7">
                  <c:v>other</c:v>
                </c:pt>
                <c:pt idx="8">
                  <c:v>Want a job</c:v>
                </c:pt>
              </c:strCache>
            </c:strRef>
          </c:cat>
          <c:val>
            <c:numRef>
              <c:f>'Economic Activity'!$I$47:$I$55</c:f>
              <c:numCache>
                <c:formatCode>0.0%</c:formatCode>
                <c:ptCount val="9"/>
                <c:pt idx="0">
                  <c:v>0.21</c:v>
                </c:pt>
                <c:pt idx="1">
                  <c:v>0.41600000000000004</c:v>
                </c:pt>
                <c:pt idx="2">
                  <c:v>0.161</c:v>
                </c:pt>
                <c:pt idx="3">
                  <c:v>0</c:v>
                </c:pt>
                <c:pt idx="4">
                  <c:v>0.20199999999999999</c:v>
                </c:pt>
                <c:pt idx="5">
                  <c:v>0</c:v>
                </c:pt>
                <c:pt idx="6">
                  <c:v>0.11699999999999999</c:v>
                </c:pt>
                <c:pt idx="7">
                  <c:v>8.199999999999999E-2</c:v>
                </c:pt>
                <c:pt idx="8">
                  <c:v>0.318</c:v>
                </c:pt>
              </c:numCache>
            </c:numRef>
          </c:val>
          <c:extLst>
            <c:ext xmlns:c16="http://schemas.microsoft.com/office/drawing/2014/chart" uri="{C3380CC4-5D6E-409C-BE32-E72D297353CC}">
              <c16:uniqueId val="{00000003-DDA6-4199-9586-A8D6E0F9653A}"/>
            </c:ext>
          </c:extLst>
        </c:ser>
        <c:ser>
          <c:idx val="1"/>
          <c:order val="1"/>
          <c:tx>
            <c:strRef>
              <c:f>'Economic Activity'!$J$46</c:f>
              <c:strCache>
                <c:ptCount val="1"/>
                <c:pt idx="0">
                  <c:v>Scotland</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dLbl>
              <c:idx val="0"/>
              <c:layout>
                <c:manualLayout>
                  <c:x val="2.7777777777777779E-3"/>
                  <c:y val="-5.55555555555555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DA6-4199-9586-A8D6E0F9653A}"/>
                </c:ext>
              </c:extLst>
            </c:dLbl>
            <c:dLbl>
              <c:idx val="1"/>
              <c:layout>
                <c:manualLayout>
                  <c:x val="2.5000000000000001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DA6-4199-9586-A8D6E0F9653A}"/>
                </c:ext>
              </c:extLst>
            </c:dLbl>
            <c:dLbl>
              <c:idx val="2"/>
              <c:layout>
                <c:manualLayout>
                  <c:x val="2.7777777777777779E-3"/>
                  <c:y val="-3.24074074074074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DA6-4199-9586-A8D6E0F9653A}"/>
                </c:ext>
              </c:extLst>
            </c:dLbl>
            <c:dLbl>
              <c:idx val="5"/>
              <c:layout>
                <c:manualLayout>
                  <c:x val="0"/>
                  <c:y val="-2.77777777777777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DA6-4199-9586-A8D6E0F9653A}"/>
                </c:ext>
              </c:extLst>
            </c:dLbl>
            <c:dLbl>
              <c:idx val="7"/>
              <c:layout>
                <c:manualLayout>
                  <c:x val="8.3333333333332309E-3"/>
                  <c:y val="-3.70370370370370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DA6-4199-9586-A8D6E0F9653A}"/>
                </c:ext>
              </c:extLst>
            </c:dLbl>
            <c:dLbl>
              <c:idx val="8"/>
              <c:layout>
                <c:manualLayout>
                  <c:x val="1.6666666666666666E-2"/>
                  <c:y val="-1.85185185185185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DA6-4199-9586-A8D6E0F9653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'Economic Activity'!$H$47:$H$55</c:f>
              <c:strCache>
                <c:ptCount val="9"/>
                <c:pt idx="0">
                  <c:v>Total</c:v>
                </c:pt>
                <c:pt idx="1">
                  <c:v>Student</c:v>
                </c:pt>
                <c:pt idx="2">
                  <c:v>looking after family/home</c:v>
                </c:pt>
                <c:pt idx="3">
                  <c:v>temporary sick</c:v>
                </c:pt>
                <c:pt idx="4">
                  <c:v>long-term sick</c:v>
                </c:pt>
                <c:pt idx="5">
                  <c:v>discouraged</c:v>
                </c:pt>
                <c:pt idx="6">
                  <c:v>retired</c:v>
                </c:pt>
                <c:pt idx="7">
                  <c:v>other</c:v>
                </c:pt>
                <c:pt idx="8">
                  <c:v>Want a job</c:v>
                </c:pt>
              </c:strCache>
            </c:strRef>
          </c:cat>
          <c:val>
            <c:numRef>
              <c:f>'Economic Activity'!$J$47:$J$55</c:f>
              <c:numCache>
                <c:formatCode>0.0%</c:formatCode>
                <c:ptCount val="9"/>
                <c:pt idx="0">
                  <c:v>0.22500000000000001</c:v>
                </c:pt>
                <c:pt idx="1">
                  <c:v>0.26300000000000001</c:v>
                </c:pt>
                <c:pt idx="2">
                  <c:v>0.18</c:v>
                </c:pt>
                <c:pt idx="3">
                  <c:v>2.3E-2</c:v>
                </c:pt>
                <c:pt idx="4">
                  <c:v>0.27500000000000002</c:v>
                </c:pt>
                <c:pt idx="5">
                  <c:v>5.0000000000000001E-3</c:v>
                </c:pt>
                <c:pt idx="6">
                  <c:v>0.153</c:v>
                </c:pt>
                <c:pt idx="7">
                  <c:v>0.10099999999999999</c:v>
                </c:pt>
                <c:pt idx="8">
                  <c:v>0.23699999999999999</c:v>
                </c:pt>
              </c:numCache>
            </c:numRef>
          </c:val>
          <c:extLst>
            <c:ext xmlns:c16="http://schemas.microsoft.com/office/drawing/2014/chart" uri="{C3380CC4-5D6E-409C-BE32-E72D297353CC}">
              <c16:uniqueId val="{0000000A-DDA6-4199-9586-A8D6E0F9653A}"/>
            </c:ext>
          </c:extLst>
        </c:ser>
        <c:dLbls>
          <c:dLblPos val="outEnd"/>
          <c:showLegendKey val="0"/>
          <c:showVal val="1"/>
          <c:showCatName val="0"/>
          <c:showSerName val="0"/>
          <c:showPercent val="0"/>
          <c:showBubbleSize val="0"/>
        </c:dLbls>
        <c:gapWidth val="100"/>
        <c:overlap val="-24"/>
        <c:axId val="552174424"/>
        <c:axId val="552175408"/>
      </c:barChart>
      <c:catAx>
        <c:axId val="5521744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crossAx val="552175408"/>
        <c:crosses val="autoZero"/>
        <c:auto val="1"/>
        <c:lblAlgn val="ctr"/>
        <c:lblOffset val="100"/>
        <c:noMultiLvlLbl val="0"/>
      </c:catAx>
      <c:valAx>
        <c:axId val="552175408"/>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52174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none" spc="120" normalizeH="0" baseline="0">
                <a:solidFill>
                  <a:schemeClr val="tx1">
                    <a:lumMod val="65000"/>
                    <a:lumOff val="35000"/>
                  </a:schemeClr>
                </a:solidFill>
                <a:latin typeface="+mn-lt"/>
                <a:ea typeface="+mn-ea"/>
                <a:cs typeface="+mn-cs"/>
              </a:defRPr>
            </a:pPr>
            <a:r>
              <a:rPr lang="en-US" sz="1100" cap="none"/>
              <a:t>Rate Of Economic Inactivity By Gender, Aberdeen City, 2007 To 2017</a:t>
            </a:r>
          </a:p>
        </c:rich>
      </c:tx>
      <c:overlay val="0"/>
      <c:spPr>
        <a:noFill/>
        <a:ln>
          <a:noFill/>
        </a:ln>
        <a:effectLst/>
      </c:spPr>
      <c:txPr>
        <a:bodyPr rot="0" spcFirstLastPara="1" vertOverflow="ellipsis" vert="horz" wrap="square" anchor="ctr" anchorCtr="1"/>
        <a:lstStyle/>
        <a:p>
          <a:pPr>
            <a:defRPr sz="1600" b="1" i="0" u="none" strike="noStrike" kern="1200" cap="none" spc="120" normalizeH="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'Economic activity time series'!$A$4</c:f>
              <c:strCache>
                <c:ptCount val="1"/>
                <c:pt idx="0">
                  <c:v>All</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'Economic activity time series'!$B$3:$L$3</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'Economic activity time series'!$B$4:$L$4</c:f>
              <c:numCache>
                <c:formatCode>0.0</c:formatCode>
                <c:ptCount val="11"/>
                <c:pt idx="0">
                  <c:v>18.600000000000001</c:v>
                </c:pt>
                <c:pt idx="1">
                  <c:v>19</c:v>
                </c:pt>
                <c:pt idx="2">
                  <c:v>19.400000000000002</c:v>
                </c:pt>
                <c:pt idx="3">
                  <c:v>16.900000000000002</c:v>
                </c:pt>
                <c:pt idx="4">
                  <c:v>18.8</c:v>
                </c:pt>
                <c:pt idx="5">
                  <c:v>18</c:v>
                </c:pt>
                <c:pt idx="6">
                  <c:v>19.600000000000001</c:v>
                </c:pt>
                <c:pt idx="7">
                  <c:v>21.3</c:v>
                </c:pt>
                <c:pt idx="8">
                  <c:v>20</c:v>
                </c:pt>
                <c:pt idx="9">
                  <c:v>24.8</c:v>
                </c:pt>
                <c:pt idx="10">
                  <c:v>21</c:v>
                </c:pt>
              </c:numCache>
            </c:numRef>
          </c:val>
          <c:smooth val="0"/>
          <c:extLst>
            <c:ext xmlns:c16="http://schemas.microsoft.com/office/drawing/2014/chart" uri="{C3380CC4-5D6E-409C-BE32-E72D297353CC}">
              <c16:uniqueId val="{00000000-DB7A-4E59-9252-A0CB051B33C3}"/>
            </c:ext>
          </c:extLst>
        </c:ser>
        <c:ser>
          <c:idx val="1"/>
          <c:order val="1"/>
          <c:tx>
            <c:strRef>
              <c:f>'Economic activity time series'!$A$5</c:f>
              <c:strCache>
                <c:ptCount val="1"/>
                <c:pt idx="0">
                  <c:v>Males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'Economic activity time series'!$B$3:$L$3</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'Economic activity time series'!$B$5:$L$5</c:f>
              <c:numCache>
                <c:formatCode>0.0</c:formatCode>
                <c:ptCount val="11"/>
                <c:pt idx="0">
                  <c:v>14.2</c:v>
                </c:pt>
                <c:pt idx="1">
                  <c:v>12.5</c:v>
                </c:pt>
                <c:pt idx="2">
                  <c:v>13.3</c:v>
                </c:pt>
                <c:pt idx="3">
                  <c:v>13</c:v>
                </c:pt>
                <c:pt idx="4">
                  <c:v>14.299999999999999</c:v>
                </c:pt>
                <c:pt idx="5">
                  <c:v>13.200000000000001</c:v>
                </c:pt>
                <c:pt idx="6">
                  <c:v>12.7</c:v>
                </c:pt>
                <c:pt idx="7">
                  <c:v>16.8</c:v>
                </c:pt>
                <c:pt idx="8">
                  <c:v>18.8</c:v>
                </c:pt>
                <c:pt idx="9">
                  <c:v>22.3</c:v>
                </c:pt>
                <c:pt idx="10">
                  <c:v>17.8</c:v>
                </c:pt>
              </c:numCache>
            </c:numRef>
          </c:val>
          <c:smooth val="0"/>
          <c:extLst>
            <c:ext xmlns:c16="http://schemas.microsoft.com/office/drawing/2014/chart" uri="{C3380CC4-5D6E-409C-BE32-E72D297353CC}">
              <c16:uniqueId val="{00000001-DB7A-4E59-9252-A0CB051B33C3}"/>
            </c:ext>
          </c:extLst>
        </c:ser>
        <c:ser>
          <c:idx val="2"/>
          <c:order val="2"/>
          <c:tx>
            <c:strRef>
              <c:f>'Economic activity time series'!$A$6</c:f>
              <c:strCache>
                <c:ptCount val="1"/>
                <c:pt idx="0">
                  <c:v>Females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numRef>
              <c:f>'Economic activity time series'!$B$3:$L$3</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'Economic activity time series'!$B$6:$L$6</c:f>
              <c:numCache>
                <c:formatCode>0.0</c:formatCode>
                <c:ptCount val="11"/>
                <c:pt idx="0">
                  <c:v>23.1</c:v>
                </c:pt>
                <c:pt idx="1">
                  <c:v>25.6</c:v>
                </c:pt>
                <c:pt idx="2">
                  <c:v>25.6</c:v>
                </c:pt>
                <c:pt idx="3">
                  <c:v>20.8</c:v>
                </c:pt>
                <c:pt idx="4">
                  <c:v>23.400000000000002</c:v>
                </c:pt>
                <c:pt idx="5">
                  <c:v>22.900000000000002</c:v>
                </c:pt>
                <c:pt idx="6">
                  <c:v>26.6</c:v>
                </c:pt>
                <c:pt idx="7">
                  <c:v>25.8</c:v>
                </c:pt>
                <c:pt idx="8">
                  <c:v>21.2</c:v>
                </c:pt>
                <c:pt idx="9">
                  <c:v>27.3</c:v>
                </c:pt>
                <c:pt idx="10">
                  <c:v>24.099999999999998</c:v>
                </c:pt>
              </c:numCache>
            </c:numRef>
          </c:val>
          <c:smooth val="0"/>
          <c:extLst>
            <c:ext xmlns:c16="http://schemas.microsoft.com/office/drawing/2014/chart" uri="{C3380CC4-5D6E-409C-BE32-E72D297353CC}">
              <c16:uniqueId val="{00000002-DB7A-4E59-9252-A0CB051B33C3}"/>
            </c:ext>
          </c:extLst>
        </c:ser>
        <c:dLbls>
          <c:showLegendKey val="0"/>
          <c:showVal val="0"/>
          <c:showCatName val="0"/>
          <c:showSerName val="0"/>
          <c:showPercent val="0"/>
          <c:showBubbleSize val="0"/>
        </c:dLbls>
        <c:marker val="1"/>
        <c:smooth val="0"/>
        <c:axId val="760951968"/>
        <c:axId val="760949016"/>
      </c:lineChart>
      <c:catAx>
        <c:axId val="7609519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760949016"/>
        <c:crosses val="autoZero"/>
        <c:auto val="1"/>
        <c:lblAlgn val="ctr"/>
        <c:lblOffset val="100"/>
        <c:noMultiLvlLbl val="0"/>
      </c:catAx>
      <c:valAx>
        <c:axId val="760949016"/>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sz="800" cap="none"/>
                  <a:t>Percentage Of Population</a:t>
                </a:r>
                <a:r>
                  <a:rPr lang="en-US" sz="800" cap="none" baseline="0"/>
                  <a:t> Ae 16-64 Years</a:t>
                </a:r>
                <a:endParaRPr lang="en-US" sz="800" cap="none"/>
              </a:p>
            </c:rich>
          </c:tx>
          <c:layout>
            <c:manualLayout>
              <c:xMode val="edge"/>
              <c:yMode val="edge"/>
              <c:x val="2.2191400832177532E-2"/>
              <c:y val="0.12882017970277457"/>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09519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Model-based unemployment rate, Aberdeen City and Scotland, 2004 to 2017</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Sheet1!$H$1</c:f>
              <c:strCache>
                <c:ptCount val="1"/>
                <c:pt idx="0">
                  <c:v>Aberdeen City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9"/>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C06-4422-9D09-D2D33F78857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Sheet1!$G$5:$G$15</c:f>
              <c:strCache>
                <c:ptCount val="11"/>
                <c:pt idx="0">
                  <c:v>Jan 07-Dec 07</c:v>
                </c:pt>
                <c:pt idx="1">
                  <c:v>Jan 08-Dec 08</c:v>
                </c:pt>
                <c:pt idx="2">
                  <c:v>Jan 09-Dec 09</c:v>
                </c:pt>
                <c:pt idx="3">
                  <c:v>Jan 10-Dec 10</c:v>
                </c:pt>
                <c:pt idx="4">
                  <c:v>Jan 11-Dec 11</c:v>
                </c:pt>
                <c:pt idx="5">
                  <c:v>Jan 12-Dec 12</c:v>
                </c:pt>
                <c:pt idx="6">
                  <c:v>Jan 13-Dec 13</c:v>
                </c:pt>
                <c:pt idx="7">
                  <c:v>Jan 14-Dec 14</c:v>
                </c:pt>
                <c:pt idx="8">
                  <c:v>Jan 15-Dec 15</c:v>
                </c:pt>
                <c:pt idx="9">
                  <c:v>Jan 2016-Dec 2016</c:v>
                </c:pt>
                <c:pt idx="10">
                  <c:v>Jan 2017-Dec 2017</c:v>
                </c:pt>
              </c:strCache>
            </c:strRef>
          </c:cat>
          <c:val>
            <c:numRef>
              <c:f>Sheet1!$H$5:$H$15</c:f>
              <c:numCache>
                <c:formatCode>0.0%</c:formatCode>
                <c:ptCount val="11"/>
                <c:pt idx="0">
                  <c:v>3.7999999999999999E-2</c:v>
                </c:pt>
                <c:pt idx="1">
                  <c:v>3.6000000000000004E-2</c:v>
                </c:pt>
                <c:pt idx="2">
                  <c:v>0.04</c:v>
                </c:pt>
                <c:pt idx="3">
                  <c:v>5.0999999999999997E-2</c:v>
                </c:pt>
                <c:pt idx="4">
                  <c:v>5.7999999999999996E-2</c:v>
                </c:pt>
                <c:pt idx="5">
                  <c:v>0.05</c:v>
                </c:pt>
                <c:pt idx="6">
                  <c:v>4.5999999999999999E-2</c:v>
                </c:pt>
                <c:pt idx="7">
                  <c:v>4.4999999999999998E-2</c:v>
                </c:pt>
                <c:pt idx="8">
                  <c:v>4.7E-2</c:v>
                </c:pt>
                <c:pt idx="9">
                  <c:v>5.4000000000000006E-2</c:v>
                </c:pt>
                <c:pt idx="10">
                  <c:v>4.0999999999999995E-2</c:v>
                </c:pt>
              </c:numCache>
            </c:numRef>
          </c:val>
          <c:smooth val="0"/>
          <c:extLst>
            <c:ext xmlns:c16="http://schemas.microsoft.com/office/drawing/2014/chart" uri="{C3380CC4-5D6E-409C-BE32-E72D297353CC}">
              <c16:uniqueId val="{00000000-7C06-4422-9D09-D2D33F788578}"/>
            </c:ext>
          </c:extLst>
        </c:ser>
        <c:ser>
          <c:idx val="1"/>
          <c:order val="1"/>
          <c:tx>
            <c:strRef>
              <c:f>Sheet1!$I$1</c:f>
              <c:strCache>
                <c:ptCount val="1"/>
                <c:pt idx="0">
                  <c:v>Scotland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C06-4422-9D09-D2D33F78857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Sheet1!$G$5:$G$15</c:f>
              <c:strCache>
                <c:ptCount val="11"/>
                <c:pt idx="0">
                  <c:v>Jan 07-Dec 07</c:v>
                </c:pt>
                <c:pt idx="1">
                  <c:v>Jan 08-Dec 08</c:v>
                </c:pt>
                <c:pt idx="2">
                  <c:v>Jan 09-Dec 09</c:v>
                </c:pt>
                <c:pt idx="3">
                  <c:v>Jan 10-Dec 10</c:v>
                </c:pt>
                <c:pt idx="4">
                  <c:v>Jan 11-Dec 11</c:v>
                </c:pt>
                <c:pt idx="5">
                  <c:v>Jan 12-Dec 12</c:v>
                </c:pt>
                <c:pt idx="6">
                  <c:v>Jan 13-Dec 13</c:v>
                </c:pt>
                <c:pt idx="7">
                  <c:v>Jan 14-Dec 14</c:v>
                </c:pt>
                <c:pt idx="8">
                  <c:v>Jan 15-Dec 15</c:v>
                </c:pt>
                <c:pt idx="9">
                  <c:v>Jan 2016-Dec 2016</c:v>
                </c:pt>
                <c:pt idx="10">
                  <c:v>Jan 2017-Dec 2017</c:v>
                </c:pt>
              </c:strCache>
            </c:strRef>
          </c:cat>
          <c:val>
            <c:numRef>
              <c:f>Sheet1!$I$5:$I$15</c:f>
              <c:numCache>
                <c:formatCode>0.0%</c:formatCode>
                <c:ptCount val="11"/>
                <c:pt idx="0">
                  <c:v>4.7E-2</c:v>
                </c:pt>
                <c:pt idx="1">
                  <c:v>4.9000000000000002E-2</c:v>
                </c:pt>
                <c:pt idx="2">
                  <c:v>6.9000000000000006E-2</c:v>
                </c:pt>
                <c:pt idx="3">
                  <c:v>7.6999999999999999E-2</c:v>
                </c:pt>
                <c:pt idx="4">
                  <c:v>8.199999999999999E-2</c:v>
                </c:pt>
                <c:pt idx="5">
                  <c:v>0.08</c:v>
                </c:pt>
                <c:pt idx="6">
                  <c:v>7.6999999999999999E-2</c:v>
                </c:pt>
                <c:pt idx="7">
                  <c:v>6.2E-2</c:v>
                </c:pt>
                <c:pt idx="8">
                  <c:v>5.7999999999999996E-2</c:v>
                </c:pt>
                <c:pt idx="9">
                  <c:v>4.8000000000000001E-2</c:v>
                </c:pt>
                <c:pt idx="10">
                  <c:v>4.0999999999999995E-2</c:v>
                </c:pt>
              </c:numCache>
            </c:numRef>
          </c:val>
          <c:smooth val="0"/>
          <c:extLst>
            <c:ext xmlns:c16="http://schemas.microsoft.com/office/drawing/2014/chart" uri="{C3380CC4-5D6E-409C-BE32-E72D297353CC}">
              <c16:uniqueId val="{00000001-7C06-4422-9D09-D2D33F788578}"/>
            </c:ext>
          </c:extLst>
        </c:ser>
        <c:dLbls>
          <c:showLegendKey val="0"/>
          <c:showVal val="0"/>
          <c:showCatName val="0"/>
          <c:showSerName val="0"/>
          <c:showPercent val="0"/>
          <c:showBubbleSize val="0"/>
        </c:dLbls>
        <c:marker val="1"/>
        <c:smooth val="0"/>
        <c:axId val="425499320"/>
        <c:axId val="425500632"/>
      </c:lineChart>
      <c:catAx>
        <c:axId val="425499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25500632"/>
        <c:crosses val="autoZero"/>
        <c:auto val="1"/>
        <c:lblAlgn val="ctr"/>
        <c:lblOffset val="100"/>
        <c:noMultiLvlLbl val="0"/>
      </c:catAx>
      <c:valAx>
        <c:axId val="4255006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5499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200" b="0"/>
              <a:t>Number and rate of claimants, Aberdeen City and Scotland, 2007 to 2018</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'Claimant count'!$B$1</c:f>
              <c:strCache>
                <c:ptCount val="1"/>
                <c:pt idx="0">
                  <c:v>Aberdeen number</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numRef>
              <c:f>'Claimant count'!$A$2:$A$138</c:f>
              <c:numCache>
                <c:formatCode>mmm\-yy</c:formatCode>
                <c:ptCount val="137"/>
                <c:pt idx="0">
                  <c:v>39083</c:v>
                </c:pt>
                <c:pt idx="1">
                  <c:v>39114</c:v>
                </c:pt>
                <c:pt idx="2">
                  <c:v>39142</c:v>
                </c:pt>
                <c:pt idx="3">
                  <c:v>39173</c:v>
                </c:pt>
                <c:pt idx="4">
                  <c:v>39203</c:v>
                </c:pt>
                <c:pt idx="5">
                  <c:v>39234</c:v>
                </c:pt>
                <c:pt idx="6">
                  <c:v>39264</c:v>
                </c:pt>
                <c:pt idx="7">
                  <c:v>39295</c:v>
                </c:pt>
                <c:pt idx="8">
                  <c:v>39326</c:v>
                </c:pt>
                <c:pt idx="9">
                  <c:v>39356</c:v>
                </c:pt>
                <c:pt idx="10">
                  <c:v>39387</c:v>
                </c:pt>
                <c:pt idx="11">
                  <c:v>39417</c:v>
                </c:pt>
                <c:pt idx="12">
                  <c:v>39448</c:v>
                </c:pt>
                <c:pt idx="13">
                  <c:v>39479</c:v>
                </c:pt>
                <c:pt idx="14">
                  <c:v>39508</c:v>
                </c:pt>
                <c:pt idx="15">
                  <c:v>39539</c:v>
                </c:pt>
                <c:pt idx="16">
                  <c:v>39569</c:v>
                </c:pt>
                <c:pt idx="17">
                  <c:v>39600</c:v>
                </c:pt>
                <c:pt idx="18">
                  <c:v>39630</c:v>
                </c:pt>
                <c:pt idx="19">
                  <c:v>39661</c:v>
                </c:pt>
                <c:pt idx="20">
                  <c:v>39692</c:v>
                </c:pt>
                <c:pt idx="21">
                  <c:v>39722</c:v>
                </c:pt>
                <c:pt idx="22">
                  <c:v>39753</c:v>
                </c:pt>
                <c:pt idx="23">
                  <c:v>39783</c:v>
                </c:pt>
                <c:pt idx="24">
                  <c:v>39814</c:v>
                </c:pt>
                <c:pt idx="25">
                  <c:v>39845</c:v>
                </c:pt>
                <c:pt idx="26">
                  <c:v>39873</c:v>
                </c:pt>
                <c:pt idx="27">
                  <c:v>39904</c:v>
                </c:pt>
                <c:pt idx="28">
                  <c:v>39934</c:v>
                </c:pt>
                <c:pt idx="29">
                  <c:v>39965</c:v>
                </c:pt>
                <c:pt idx="30">
                  <c:v>39995</c:v>
                </c:pt>
                <c:pt idx="31">
                  <c:v>40026</c:v>
                </c:pt>
                <c:pt idx="32">
                  <c:v>40057</c:v>
                </c:pt>
                <c:pt idx="33">
                  <c:v>40087</c:v>
                </c:pt>
                <c:pt idx="34">
                  <c:v>40118</c:v>
                </c:pt>
                <c:pt idx="35">
                  <c:v>40148</c:v>
                </c:pt>
                <c:pt idx="36">
                  <c:v>40179</c:v>
                </c:pt>
                <c:pt idx="37">
                  <c:v>40210</c:v>
                </c:pt>
                <c:pt idx="38">
                  <c:v>40238</c:v>
                </c:pt>
                <c:pt idx="39">
                  <c:v>40269</c:v>
                </c:pt>
                <c:pt idx="40">
                  <c:v>40299</c:v>
                </c:pt>
                <c:pt idx="41">
                  <c:v>40330</c:v>
                </c:pt>
                <c:pt idx="42">
                  <c:v>40360</c:v>
                </c:pt>
                <c:pt idx="43">
                  <c:v>40391</c:v>
                </c:pt>
                <c:pt idx="44">
                  <c:v>40422</c:v>
                </c:pt>
                <c:pt idx="45">
                  <c:v>40452</c:v>
                </c:pt>
                <c:pt idx="46">
                  <c:v>40483</c:v>
                </c:pt>
                <c:pt idx="47">
                  <c:v>40513</c:v>
                </c:pt>
                <c:pt idx="48">
                  <c:v>40544</c:v>
                </c:pt>
                <c:pt idx="49">
                  <c:v>40575</c:v>
                </c:pt>
                <c:pt idx="50">
                  <c:v>40603</c:v>
                </c:pt>
                <c:pt idx="51">
                  <c:v>40634</c:v>
                </c:pt>
                <c:pt idx="52">
                  <c:v>40664</c:v>
                </c:pt>
                <c:pt idx="53">
                  <c:v>40695</c:v>
                </c:pt>
                <c:pt idx="54">
                  <c:v>40725</c:v>
                </c:pt>
                <c:pt idx="55">
                  <c:v>40756</c:v>
                </c:pt>
                <c:pt idx="56">
                  <c:v>40787</c:v>
                </c:pt>
                <c:pt idx="57">
                  <c:v>40817</c:v>
                </c:pt>
                <c:pt idx="58">
                  <c:v>40848</c:v>
                </c:pt>
                <c:pt idx="59">
                  <c:v>40878</c:v>
                </c:pt>
                <c:pt idx="60">
                  <c:v>40909</c:v>
                </c:pt>
                <c:pt idx="61">
                  <c:v>40940</c:v>
                </c:pt>
                <c:pt idx="62">
                  <c:v>40969</c:v>
                </c:pt>
                <c:pt idx="63">
                  <c:v>41000</c:v>
                </c:pt>
                <c:pt idx="64">
                  <c:v>41030</c:v>
                </c:pt>
                <c:pt idx="65">
                  <c:v>41061</c:v>
                </c:pt>
                <c:pt idx="66">
                  <c:v>41091</c:v>
                </c:pt>
                <c:pt idx="67">
                  <c:v>41122</c:v>
                </c:pt>
                <c:pt idx="68">
                  <c:v>41153</c:v>
                </c:pt>
                <c:pt idx="69">
                  <c:v>41183</c:v>
                </c:pt>
                <c:pt idx="70">
                  <c:v>41214</c:v>
                </c:pt>
                <c:pt idx="71">
                  <c:v>41244</c:v>
                </c:pt>
                <c:pt idx="72">
                  <c:v>41275</c:v>
                </c:pt>
                <c:pt idx="73">
                  <c:v>41306</c:v>
                </c:pt>
                <c:pt idx="74">
                  <c:v>41334</c:v>
                </c:pt>
                <c:pt idx="75">
                  <c:v>41365</c:v>
                </c:pt>
                <c:pt idx="76">
                  <c:v>41395</c:v>
                </c:pt>
                <c:pt idx="77">
                  <c:v>41426</c:v>
                </c:pt>
                <c:pt idx="78">
                  <c:v>41456</c:v>
                </c:pt>
                <c:pt idx="79">
                  <c:v>41487</c:v>
                </c:pt>
                <c:pt idx="80">
                  <c:v>41518</c:v>
                </c:pt>
                <c:pt idx="81">
                  <c:v>41548</c:v>
                </c:pt>
                <c:pt idx="82">
                  <c:v>41579</c:v>
                </c:pt>
                <c:pt idx="83">
                  <c:v>41609</c:v>
                </c:pt>
                <c:pt idx="84">
                  <c:v>41640</c:v>
                </c:pt>
                <c:pt idx="85">
                  <c:v>41671</c:v>
                </c:pt>
                <c:pt idx="86">
                  <c:v>41699</c:v>
                </c:pt>
                <c:pt idx="87">
                  <c:v>41730</c:v>
                </c:pt>
                <c:pt idx="88">
                  <c:v>41760</c:v>
                </c:pt>
                <c:pt idx="89">
                  <c:v>41791</c:v>
                </c:pt>
                <c:pt idx="90">
                  <c:v>41821</c:v>
                </c:pt>
                <c:pt idx="91">
                  <c:v>41852</c:v>
                </c:pt>
                <c:pt idx="92">
                  <c:v>41883</c:v>
                </c:pt>
                <c:pt idx="93">
                  <c:v>41913</c:v>
                </c:pt>
                <c:pt idx="94">
                  <c:v>41944</c:v>
                </c:pt>
                <c:pt idx="95">
                  <c:v>41974</c:v>
                </c:pt>
                <c:pt idx="96">
                  <c:v>42005</c:v>
                </c:pt>
                <c:pt idx="97">
                  <c:v>42036</c:v>
                </c:pt>
                <c:pt idx="98">
                  <c:v>42064</c:v>
                </c:pt>
                <c:pt idx="99">
                  <c:v>42095</c:v>
                </c:pt>
                <c:pt idx="100">
                  <c:v>42125</c:v>
                </c:pt>
                <c:pt idx="101">
                  <c:v>42156</c:v>
                </c:pt>
                <c:pt idx="102">
                  <c:v>42186</c:v>
                </c:pt>
                <c:pt idx="103">
                  <c:v>42217</c:v>
                </c:pt>
                <c:pt idx="104">
                  <c:v>42248</c:v>
                </c:pt>
                <c:pt idx="105">
                  <c:v>42278</c:v>
                </c:pt>
                <c:pt idx="106">
                  <c:v>42309</c:v>
                </c:pt>
                <c:pt idx="107">
                  <c:v>42339</c:v>
                </c:pt>
                <c:pt idx="108">
                  <c:v>42370</c:v>
                </c:pt>
                <c:pt idx="109">
                  <c:v>42401</c:v>
                </c:pt>
                <c:pt idx="110">
                  <c:v>42430</c:v>
                </c:pt>
                <c:pt idx="111">
                  <c:v>42461</c:v>
                </c:pt>
                <c:pt idx="112">
                  <c:v>42491</c:v>
                </c:pt>
                <c:pt idx="113">
                  <c:v>42522</c:v>
                </c:pt>
                <c:pt idx="114">
                  <c:v>42552</c:v>
                </c:pt>
                <c:pt idx="115">
                  <c:v>42583</c:v>
                </c:pt>
                <c:pt idx="116">
                  <c:v>42614</c:v>
                </c:pt>
                <c:pt idx="117">
                  <c:v>42644</c:v>
                </c:pt>
                <c:pt idx="118">
                  <c:v>42675</c:v>
                </c:pt>
                <c:pt idx="119">
                  <c:v>42705</c:v>
                </c:pt>
                <c:pt idx="120">
                  <c:v>42736</c:v>
                </c:pt>
                <c:pt idx="121">
                  <c:v>42767</c:v>
                </c:pt>
                <c:pt idx="122">
                  <c:v>42795</c:v>
                </c:pt>
                <c:pt idx="123">
                  <c:v>42826</c:v>
                </c:pt>
                <c:pt idx="124">
                  <c:v>42856</c:v>
                </c:pt>
                <c:pt idx="125">
                  <c:v>42887</c:v>
                </c:pt>
                <c:pt idx="126">
                  <c:v>42917</c:v>
                </c:pt>
                <c:pt idx="127">
                  <c:v>42948</c:v>
                </c:pt>
                <c:pt idx="128">
                  <c:v>42979</c:v>
                </c:pt>
                <c:pt idx="129">
                  <c:v>43009</c:v>
                </c:pt>
                <c:pt idx="130">
                  <c:v>43040</c:v>
                </c:pt>
                <c:pt idx="131">
                  <c:v>43070</c:v>
                </c:pt>
                <c:pt idx="132">
                  <c:v>43101</c:v>
                </c:pt>
                <c:pt idx="133">
                  <c:v>43132</c:v>
                </c:pt>
                <c:pt idx="134">
                  <c:v>43160</c:v>
                </c:pt>
                <c:pt idx="135">
                  <c:v>43191</c:v>
                </c:pt>
                <c:pt idx="136">
                  <c:v>43221</c:v>
                </c:pt>
              </c:numCache>
            </c:numRef>
          </c:cat>
          <c:val>
            <c:numRef>
              <c:f>'Claimant count'!$B$2:$B$138</c:f>
              <c:numCache>
                <c:formatCode>#,##0</c:formatCode>
                <c:ptCount val="137"/>
                <c:pt idx="0">
                  <c:v>2015</c:v>
                </c:pt>
                <c:pt idx="1">
                  <c:v>2095</c:v>
                </c:pt>
                <c:pt idx="2">
                  <c:v>2035</c:v>
                </c:pt>
                <c:pt idx="3">
                  <c:v>1895</c:v>
                </c:pt>
                <c:pt idx="4">
                  <c:v>1860</c:v>
                </c:pt>
                <c:pt idx="5">
                  <c:v>1775</c:v>
                </c:pt>
                <c:pt idx="6">
                  <c:v>1810</c:v>
                </c:pt>
                <c:pt idx="7">
                  <c:v>1830</c:v>
                </c:pt>
                <c:pt idx="8">
                  <c:v>1615</c:v>
                </c:pt>
                <c:pt idx="9">
                  <c:v>1510</c:v>
                </c:pt>
                <c:pt idx="10">
                  <c:v>1570</c:v>
                </c:pt>
                <c:pt idx="11">
                  <c:v>1610</c:v>
                </c:pt>
                <c:pt idx="12">
                  <c:v>1705</c:v>
                </c:pt>
                <c:pt idx="13">
                  <c:v>1690</c:v>
                </c:pt>
                <c:pt idx="14">
                  <c:v>1680</c:v>
                </c:pt>
                <c:pt idx="15">
                  <c:v>1680</c:v>
                </c:pt>
                <c:pt idx="16">
                  <c:v>1640</c:v>
                </c:pt>
                <c:pt idx="17">
                  <c:v>1630</c:v>
                </c:pt>
                <c:pt idx="18">
                  <c:v>1715</c:v>
                </c:pt>
                <c:pt idx="19">
                  <c:v>1775</c:v>
                </c:pt>
                <c:pt idx="20">
                  <c:v>1790</c:v>
                </c:pt>
                <c:pt idx="21">
                  <c:v>1730</c:v>
                </c:pt>
                <c:pt idx="22">
                  <c:v>1850</c:v>
                </c:pt>
                <c:pt idx="23">
                  <c:v>2045</c:v>
                </c:pt>
                <c:pt idx="24">
                  <c:v>2175</c:v>
                </c:pt>
                <c:pt idx="25">
                  <c:v>2545</c:v>
                </c:pt>
                <c:pt idx="26">
                  <c:v>2745</c:v>
                </c:pt>
                <c:pt idx="27">
                  <c:v>2815</c:v>
                </c:pt>
                <c:pt idx="28">
                  <c:v>2885</c:v>
                </c:pt>
                <c:pt idx="29">
                  <c:v>2830</c:v>
                </c:pt>
                <c:pt idx="30">
                  <c:v>2945</c:v>
                </c:pt>
                <c:pt idx="31">
                  <c:v>3045</c:v>
                </c:pt>
                <c:pt idx="32">
                  <c:v>2925</c:v>
                </c:pt>
                <c:pt idx="33">
                  <c:v>2905</c:v>
                </c:pt>
                <c:pt idx="34">
                  <c:v>3030</c:v>
                </c:pt>
                <c:pt idx="35">
                  <c:v>3160</c:v>
                </c:pt>
                <c:pt idx="36">
                  <c:v>3370</c:v>
                </c:pt>
                <c:pt idx="37">
                  <c:v>3500</c:v>
                </c:pt>
                <c:pt idx="38">
                  <c:v>3530</c:v>
                </c:pt>
                <c:pt idx="39">
                  <c:v>3460</c:v>
                </c:pt>
                <c:pt idx="40">
                  <c:v>3350</c:v>
                </c:pt>
                <c:pt idx="41">
                  <c:v>3235</c:v>
                </c:pt>
                <c:pt idx="42">
                  <c:v>3250</c:v>
                </c:pt>
                <c:pt idx="43">
                  <c:v>3350</c:v>
                </c:pt>
                <c:pt idx="44">
                  <c:v>3215</c:v>
                </c:pt>
                <c:pt idx="45">
                  <c:v>3165</c:v>
                </c:pt>
                <c:pt idx="46">
                  <c:v>3280</c:v>
                </c:pt>
                <c:pt idx="47">
                  <c:v>3290</c:v>
                </c:pt>
                <c:pt idx="48">
                  <c:v>3510</c:v>
                </c:pt>
                <c:pt idx="49">
                  <c:v>3635</c:v>
                </c:pt>
                <c:pt idx="50">
                  <c:v>3620</c:v>
                </c:pt>
                <c:pt idx="51">
                  <c:v>3575</c:v>
                </c:pt>
                <c:pt idx="52">
                  <c:v>3550</c:v>
                </c:pt>
                <c:pt idx="53">
                  <c:v>3445</c:v>
                </c:pt>
                <c:pt idx="54">
                  <c:v>3645</c:v>
                </c:pt>
                <c:pt idx="55">
                  <c:v>3645</c:v>
                </c:pt>
                <c:pt idx="56">
                  <c:v>3420</c:v>
                </c:pt>
                <c:pt idx="57">
                  <c:v>3335</c:v>
                </c:pt>
                <c:pt idx="58">
                  <c:v>3465</c:v>
                </c:pt>
                <c:pt idx="59">
                  <c:v>3395</c:v>
                </c:pt>
                <c:pt idx="60">
                  <c:v>3545</c:v>
                </c:pt>
                <c:pt idx="61">
                  <c:v>3670</c:v>
                </c:pt>
                <c:pt idx="62">
                  <c:v>3635</c:v>
                </c:pt>
                <c:pt idx="63">
                  <c:v>3510</c:v>
                </c:pt>
                <c:pt idx="64">
                  <c:v>3400</c:v>
                </c:pt>
                <c:pt idx="65">
                  <c:v>3340</c:v>
                </c:pt>
                <c:pt idx="66">
                  <c:v>3400</c:v>
                </c:pt>
                <c:pt idx="67">
                  <c:v>3380</c:v>
                </c:pt>
                <c:pt idx="68">
                  <c:v>3195</c:v>
                </c:pt>
                <c:pt idx="69">
                  <c:v>3180</c:v>
                </c:pt>
                <c:pt idx="70">
                  <c:v>3090</c:v>
                </c:pt>
                <c:pt idx="71">
                  <c:v>2990</c:v>
                </c:pt>
                <c:pt idx="72">
                  <c:v>3065</c:v>
                </c:pt>
                <c:pt idx="73">
                  <c:v>3135</c:v>
                </c:pt>
                <c:pt idx="74">
                  <c:v>3095</c:v>
                </c:pt>
                <c:pt idx="75">
                  <c:v>2945</c:v>
                </c:pt>
                <c:pt idx="76">
                  <c:v>2870</c:v>
                </c:pt>
                <c:pt idx="77">
                  <c:v>2760</c:v>
                </c:pt>
                <c:pt idx="78">
                  <c:v>2755</c:v>
                </c:pt>
                <c:pt idx="79">
                  <c:v>2725</c:v>
                </c:pt>
                <c:pt idx="80">
                  <c:v>2460</c:v>
                </c:pt>
                <c:pt idx="81">
                  <c:v>2320</c:v>
                </c:pt>
                <c:pt idx="82">
                  <c:v>2315</c:v>
                </c:pt>
                <c:pt idx="83">
                  <c:v>2270</c:v>
                </c:pt>
                <c:pt idx="84">
                  <c:v>2355</c:v>
                </c:pt>
                <c:pt idx="85">
                  <c:v>2430</c:v>
                </c:pt>
                <c:pt idx="86">
                  <c:v>2350</c:v>
                </c:pt>
                <c:pt idx="87">
                  <c:v>2195</c:v>
                </c:pt>
                <c:pt idx="88">
                  <c:v>2115</c:v>
                </c:pt>
                <c:pt idx="89">
                  <c:v>2060</c:v>
                </c:pt>
                <c:pt idx="90">
                  <c:v>1990</c:v>
                </c:pt>
                <c:pt idx="91">
                  <c:v>1880</c:v>
                </c:pt>
                <c:pt idx="92">
                  <c:v>1725</c:v>
                </c:pt>
                <c:pt idx="93">
                  <c:v>1665</c:v>
                </c:pt>
                <c:pt idx="94">
                  <c:v>1595</c:v>
                </c:pt>
                <c:pt idx="95">
                  <c:v>1525</c:v>
                </c:pt>
                <c:pt idx="96">
                  <c:v>1635</c:v>
                </c:pt>
                <c:pt idx="97">
                  <c:v>1850</c:v>
                </c:pt>
                <c:pt idx="98">
                  <c:v>1940</c:v>
                </c:pt>
                <c:pt idx="99">
                  <c:v>2010</c:v>
                </c:pt>
                <c:pt idx="100">
                  <c:v>2185</c:v>
                </c:pt>
                <c:pt idx="101">
                  <c:v>2205</c:v>
                </c:pt>
                <c:pt idx="102">
                  <c:v>2300</c:v>
                </c:pt>
                <c:pt idx="103">
                  <c:v>2350</c:v>
                </c:pt>
                <c:pt idx="104">
                  <c:v>2245</c:v>
                </c:pt>
                <c:pt idx="105">
                  <c:v>2320</c:v>
                </c:pt>
                <c:pt idx="106">
                  <c:v>2530</c:v>
                </c:pt>
                <c:pt idx="107">
                  <c:v>2525</c:v>
                </c:pt>
                <c:pt idx="108">
                  <c:v>2755</c:v>
                </c:pt>
                <c:pt idx="109">
                  <c:v>3025</c:v>
                </c:pt>
                <c:pt idx="110">
                  <c:v>3265</c:v>
                </c:pt>
                <c:pt idx="111">
                  <c:v>3410</c:v>
                </c:pt>
                <c:pt idx="112">
                  <c:v>3510</c:v>
                </c:pt>
                <c:pt idx="113">
                  <c:v>3480</c:v>
                </c:pt>
                <c:pt idx="114">
                  <c:v>3590</c:v>
                </c:pt>
                <c:pt idx="115">
                  <c:v>3640</c:v>
                </c:pt>
                <c:pt idx="116">
                  <c:v>3515</c:v>
                </c:pt>
                <c:pt idx="117">
                  <c:v>3460</c:v>
                </c:pt>
                <c:pt idx="118">
                  <c:v>3495</c:v>
                </c:pt>
                <c:pt idx="119">
                  <c:v>3425</c:v>
                </c:pt>
                <c:pt idx="120">
                  <c:v>3610</c:v>
                </c:pt>
                <c:pt idx="121">
                  <c:v>3790</c:v>
                </c:pt>
                <c:pt idx="122">
                  <c:v>3880</c:v>
                </c:pt>
                <c:pt idx="123">
                  <c:v>3830</c:v>
                </c:pt>
                <c:pt idx="124">
                  <c:v>3790</c:v>
                </c:pt>
                <c:pt idx="125">
                  <c:v>3710</c:v>
                </c:pt>
                <c:pt idx="126">
                  <c:v>3645</c:v>
                </c:pt>
                <c:pt idx="127">
                  <c:v>3545</c:v>
                </c:pt>
                <c:pt idx="128">
                  <c:v>3320</c:v>
                </c:pt>
                <c:pt idx="129">
                  <c:v>3210</c:v>
                </c:pt>
                <c:pt idx="130">
                  <c:v>3160</c:v>
                </c:pt>
                <c:pt idx="131">
                  <c:v>3125</c:v>
                </c:pt>
                <c:pt idx="132">
                  <c:v>3305</c:v>
                </c:pt>
                <c:pt idx="133">
                  <c:v>3400</c:v>
                </c:pt>
                <c:pt idx="134">
                  <c:v>3445</c:v>
                </c:pt>
                <c:pt idx="135">
                  <c:v>3440</c:v>
                </c:pt>
                <c:pt idx="136">
                  <c:v>3315</c:v>
                </c:pt>
              </c:numCache>
            </c:numRef>
          </c:val>
          <c:extLst>
            <c:ext xmlns:c16="http://schemas.microsoft.com/office/drawing/2014/chart" uri="{C3380CC4-5D6E-409C-BE32-E72D297353CC}">
              <c16:uniqueId val="{00000000-DA15-45C0-B68F-4173C605762B}"/>
            </c:ext>
          </c:extLst>
        </c:ser>
        <c:dLbls>
          <c:showLegendKey val="0"/>
          <c:showVal val="0"/>
          <c:showCatName val="0"/>
          <c:showSerName val="0"/>
          <c:showPercent val="0"/>
          <c:showBubbleSize val="0"/>
        </c:dLbls>
        <c:gapWidth val="247"/>
        <c:axId val="555041224"/>
        <c:axId val="555039256"/>
      </c:barChart>
      <c:lineChart>
        <c:grouping val="standard"/>
        <c:varyColors val="0"/>
        <c:ser>
          <c:idx val="1"/>
          <c:order val="1"/>
          <c:tx>
            <c:strRef>
              <c:f>'Claimant count'!$C$1</c:f>
              <c:strCache>
                <c:ptCount val="1"/>
                <c:pt idx="0">
                  <c:v>Aberdeen %</c:v>
                </c:pt>
              </c:strCache>
            </c:strRef>
          </c:tx>
          <c:spPr>
            <a:ln w="31750" cap="rnd">
              <a:solidFill>
                <a:schemeClr val="accent2"/>
              </a:solidFill>
              <a:round/>
            </a:ln>
            <a:effectLst/>
          </c:spPr>
          <c:marker>
            <c:symbol val="none"/>
          </c:marker>
          <c:cat>
            <c:numRef>
              <c:f>'Claimant count'!$A$2:$A$138</c:f>
              <c:numCache>
                <c:formatCode>mmm\-yy</c:formatCode>
                <c:ptCount val="137"/>
                <c:pt idx="0">
                  <c:v>39083</c:v>
                </c:pt>
                <c:pt idx="1">
                  <c:v>39114</c:v>
                </c:pt>
                <c:pt idx="2">
                  <c:v>39142</c:v>
                </c:pt>
                <c:pt idx="3">
                  <c:v>39173</c:v>
                </c:pt>
                <c:pt idx="4">
                  <c:v>39203</c:v>
                </c:pt>
                <c:pt idx="5">
                  <c:v>39234</c:v>
                </c:pt>
                <c:pt idx="6">
                  <c:v>39264</c:v>
                </c:pt>
                <c:pt idx="7">
                  <c:v>39295</c:v>
                </c:pt>
                <c:pt idx="8">
                  <c:v>39326</c:v>
                </c:pt>
                <c:pt idx="9">
                  <c:v>39356</c:v>
                </c:pt>
                <c:pt idx="10">
                  <c:v>39387</c:v>
                </c:pt>
                <c:pt idx="11">
                  <c:v>39417</c:v>
                </c:pt>
                <c:pt idx="12">
                  <c:v>39448</c:v>
                </c:pt>
                <c:pt idx="13">
                  <c:v>39479</c:v>
                </c:pt>
                <c:pt idx="14">
                  <c:v>39508</c:v>
                </c:pt>
                <c:pt idx="15">
                  <c:v>39539</c:v>
                </c:pt>
                <c:pt idx="16">
                  <c:v>39569</c:v>
                </c:pt>
                <c:pt idx="17">
                  <c:v>39600</c:v>
                </c:pt>
                <c:pt idx="18">
                  <c:v>39630</c:v>
                </c:pt>
                <c:pt idx="19">
                  <c:v>39661</c:v>
                </c:pt>
                <c:pt idx="20">
                  <c:v>39692</c:v>
                </c:pt>
                <c:pt idx="21">
                  <c:v>39722</c:v>
                </c:pt>
                <c:pt idx="22">
                  <c:v>39753</c:v>
                </c:pt>
                <c:pt idx="23">
                  <c:v>39783</c:v>
                </c:pt>
                <c:pt idx="24">
                  <c:v>39814</c:v>
                </c:pt>
                <c:pt idx="25">
                  <c:v>39845</c:v>
                </c:pt>
                <c:pt idx="26">
                  <c:v>39873</c:v>
                </c:pt>
                <c:pt idx="27">
                  <c:v>39904</c:v>
                </c:pt>
                <c:pt idx="28">
                  <c:v>39934</c:v>
                </c:pt>
                <c:pt idx="29">
                  <c:v>39965</c:v>
                </c:pt>
                <c:pt idx="30">
                  <c:v>39995</c:v>
                </c:pt>
                <c:pt idx="31">
                  <c:v>40026</c:v>
                </c:pt>
                <c:pt idx="32">
                  <c:v>40057</c:v>
                </c:pt>
                <c:pt idx="33">
                  <c:v>40087</c:v>
                </c:pt>
                <c:pt idx="34">
                  <c:v>40118</c:v>
                </c:pt>
                <c:pt idx="35">
                  <c:v>40148</c:v>
                </c:pt>
                <c:pt idx="36">
                  <c:v>40179</c:v>
                </c:pt>
                <c:pt idx="37">
                  <c:v>40210</c:v>
                </c:pt>
                <c:pt idx="38">
                  <c:v>40238</c:v>
                </c:pt>
                <c:pt idx="39">
                  <c:v>40269</c:v>
                </c:pt>
                <c:pt idx="40">
                  <c:v>40299</c:v>
                </c:pt>
                <c:pt idx="41">
                  <c:v>40330</c:v>
                </c:pt>
                <c:pt idx="42">
                  <c:v>40360</c:v>
                </c:pt>
                <c:pt idx="43">
                  <c:v>40391</c:v>
                </c:pt>
                <c:pt idx="44">
                  <c:v>40422</c:v>
                </c:pt>
                <c:pt idx="45">
                  <c:v>40452</c:v>
                </c:pt>
                <c:pt idx="46">
                  <c:v>40483</c:v>
                </c:pt>
                <c:pt idx="47">
                  <c:v>40513</c:v>
                </c:pt>
                <c:pt idx="48">
                  <c:v>40544</c:v>
                </c:pt>
                <c:pt idx="49">
                  <c:v>40575</c:v>
                </c:pt>
                <c:pt idx="50">
                  <c:v>40603</c:v>
                </c:pt>
                <c:pt idx="51">
                  <c:v>40634</c:v>
                </c:pt>
                <c:pt idx="52">
                  <c:v>40664</c:v>
                </c:pt>
                <c:pt idx="53">
                  <c:v>40695</c:v>
                </c:pt>
                <c:pt idx="54">
                  <c:v>40725</c:v>
                </c:pt>
                <c:pt idx="55">
                  <c:v>40756</c:v>
                </c:pt>
                <c:pt idx="56">
                  <c:v>40787</c:v>
                </c:pt>
                <c:pt idx="57">
                  <c:v>40817</c:v>
                </c:pt>
                <c:pt idx="58">
                  <c:v>40848</c:v>
                </c:pt>
                <c:pt idx="59">
                  <c:v>40878</c:v>
                </c:pt>
                <c:pt idx="60">
                  <c:v>40909</c:v>
                </c:pt>
                <c:pt idx="61">
                  <c:v>40940</c:v>
                </c:pt>
                <c:pt idx="62">
                  <c:v>40969</c:v>
                </c:pt>
                <c:pt idx="63">
                  <c:v>41000</c:v>
                </c:pt>
                <c:pt idx="64">
                  <c:v>41030</c:v>
                </c:pt>
                <c:pt idx="65">
                  <c:v>41061</c:v>
                </c:pt>
                <c:pt idx="66">
                  <c:v>41091</c:v>
                </c:pt>
                <c:pt idx="67">
                  <c:v>41122</c:v>
                </c:pt>
                <c:pt idx="68">
                  <c:v>41153</c:v>
                </c:pt>
                <c:pt idx="69">
                  <c:v>41183</c:v>
                </c:pt>
                <c:pt idx="70">
                  <c:v>41214</c:v>
                </c:pt>
                <c:pt idx="71">
                  <c:v>41244</c:v>
                </c:pt>
                <c:pt idx="72">
                  <c:v>41275</c:v>
                </c:pt>
                <c:pt idx="73">
                  <c:v>41306</c:v>
                </c:pt>
                <c:pt idx="74">
                  <c:v>41334</c:v>
                </c:pt>
                <c:pt idx="75">
                  <c:v>41365</c:v>
                </c:pt>
                <c:pt idx="76">
                  <c:v>41395</c:v>
                </c:pt>
                <c:pt idx="77">
                  <c:v>41426</c:v>
                </c:pt>
                <c:pt idx="78">
                  <c:v>41456</c:v>
                </c:pt>
                <c:pt idx="79">
                  <c:v>41487</c:v>
                </c:pt>
                <c:pt idx="80">
                  <c:v>41518</c:v>
                </c:pt>
                <c:pt idx="81">
                  <c:v>41548</c:v>
                </c:pt>
                <c:pt idx="82">
                  <c:v>41579</c:v>
                </c:pt>
                <c:pt idx="83">
                  <c:v>41609</c:v>
                </c:pt>
                <c:pt idx="84">
                  <c:v>41640</c:v>
                </c:pt>
                <c:pt idx="85">
                  <c:v>41671</c:v>
                </c:pt>
                <c:pt idx="86">
                  <c:v>41699</c:v>
                </c:pt>
                <c:pt idx="87">
                  <c:v>41730</c:v>
                </c:pt>
                <c:pt idx="88">
                  <c:v>41760</c:v>
                </c:pt>
                <c:pt idx="89">
                  <c:v>41791</c:v>
                </c:pt>
                <c:pt idx="90">
                  <c:v>41821</c:v>
                </c:pt>
                <c:pt idx="91">
                  <c:v>41852</c:v>
                </c:pt>
                <c:pt idx="92">
                  <c:v>41883</c:v>
                </c:pt>
                <c:pt idx="93">
                  <c:v>41913</c:v>
                </c:pt>
                <c:pt idx="94">
                  <c:v>41944</c:v>
                </c:pt>
                <c:pt idx="95">
                  <c:v>41974</c:v>
                </c:pt>
                <c:pt idx="96">
                  <c:v>42005</c:v>
                </c:pt>
                <c:pt idx="97">
                  <c:v>42036</c:v>
                </c:pt>
                <c:pt idx="98">
                  <c:v>42064</c:v>
                </c:pt>
                <c:pt idx="99">
                  <c:v>42095</c:v>
                </c:pt>
                <c:pt idx="100">
                  <c:v>42125</c:v>
                </c:pt>
                <c:pt idx="101">
                  <c:v>42156</c:v>
                </c:pt>
                <c:pt idx="102">
                  <c:v>42186</c:v>
                </c:pt>
                <c:pt idx="103">
                  <c:v>42217</c:v>
                </c:pt>
                <c:pt idx="104">
                  <c:v>42248</c:v>
                </c:pt>
                <c:pt idx="105">
                  <c:v>42278</c:v>
                </c:pt>
                <c:pt idx="106">
                  <c:v>42309</c:v>
                </c:pt>
                <c:pt idx="107">
                  <c:v>42339</c:v>
                </c:pt>
                <c:pt idx="108">
                  <c:v>42370</c:v>
                </c:pt>
                <c:pt idx="109">
                  <c:v>42401</c:v>
                </c:pt>
                <c:pt idx="110">
                  <c:v>42430</c:v>
                </c:pt>
                <c:pt idx="111">
                  <c:v>42461</c:v>
                </c:pt>
                <c:pt idx="112">
                  <c:v>42491</c:v>
                </c:pt>
                <c:pt idx="113">
                  <c:v>42522</c:v>
                </c:pt>
                <c:pt idx="114">
                  <c:v>42552</c:v>
                </c:pt>
                <c:pt idx="115">
                  <c:v>42583</c:v>
                </c:pt>
                <c:pt idx="116">
                  <c:v>42614</c:v>
                </c:pt>
                <c:pt idx="117">
                  <c:v>42644</c:v>
                </c:pt>
                <c:pt idx="118">
                  <c:v>42675</c:v>
                </c:pt>
                <c:pt idx="119">
                  <c:v>42705</c:v>
                </c:pt>
                <c:pt idx="120">
                  <c:v>42736</c:v>
                </c:pt>
                <c:pt idx="121">
                  <c:v>42767</c:v>
                </c:pt>
                <c:pt idx="122">
                  <c:v>42795</c:v>
                </c:pt>
                <c:pt idx="123">
                  <c:v>42826</c:v>
                </c:pt>
                <c:pt idx="124">
                  <c:v>42856</c:v>
                </c:pt>
                <c:pt idx="125">
                  <c:v>42887</c:v>
                </c:pt>
                <c:pt idx="126">
                  <c:v>42917</c:v>
                </c:pt>
                <c:pt idx="127">
                  <c:v>42948</c:v>
                </c:pt>
                <c:pt idx="128">
                  <c:v>42979</c:v>
                </c:pt>
                <c:pt idx="129">
                  <c:v>43009</c:v>
                </c:pt>
                <c:pt idx="130">
                  <c:v>43040</c:v>
                </c:pt>
                <c:pt idx="131">
                  <c:v>43070</c:v>
                </c:pt>
                <c:pt idx="132">
                  <c:v>43101</c:v>
                </c:pt>
                <c:pt idx="133">
                  <c:v>43132</c:v>
                </c:pt>
                <c:pt idx="134">
                  <c:v>43160</c:v>
                </c:pt>
                <c:pt idx="135">
                  <c:v>43191</c:v>
                </c:pt>
                <c:pt idx="136">
                  <c:v>43221</c:v>
                </c:pt>
              </c:numCache>
            </c:numRef>
          </c:cat>
          <c:val>
            <c:numRef>
              <c:f>'Claimant count'!$C$2:$C$138</c:f>
              <c:numCache>
                <c:formatCode>0.0%</c:formatCode>
                <c:ptCount val="137"/>
                <c:pt idx="0">
                  <c:v>1.3999999999999999E-2</c:v>
                </c:pt>
                <c:pt idx="1">
                  <c:v>1.3999999999999999E-2</c:v>
                </c:pt>
                <c:pt idx="2">
                  <c:v>1.3999999999999999E-2</c:v>
                </c:pt>
                <c:pt idx="3">
                  <c:v>1.3000000000000001E-2</c:v>
                </c:pt>
                <c:pt idx="4">
                  <c:v>1.3000000000000001E-2</c:v>
                </c:pt>
                <c:pt idx="5">
                  <c:v>1.2E-2</c:v>
                </c:pt>
                <c:pt idx="6">
                  <c:v>1.2E-2</c:v>
                </c:pt>
                <c:pt idx="7">
                  <c:v>1.2E-2</c:v>
                </c:pt>
                <c:pt idx="8">
                  <c:v>1.1000000000000001E-2</c:v>
                </c:pt>
                <c:pt idx="9">
                  <c:v>0.01</c:v>
                </c:pt>
                <c:pt idx="10">
                  <c:v>1.1000000000000001E-2</c:v>
                </c:pt>
                <c:pt idx="11">
                  <c:v>1.1000000000000001E-2</c:v>
                </c:pt>
                <c:pt idx="12">
                  <c:v>1.1000000000000001E-2</c:v>
                </c:pt>
                <c:pt idx="13">
                  <c:v>1.1000000000000001E-2</c:v>
                </c:pt>
                <c:pt idx="14">
                  <c:v>1.1000000000000001E-2</c:v>
                </c:pt>
                <c:pt idx="15">
                  <c:v>1.1000000000000001E-2</c:v>
                </c:pt>
                <c:pt idx="16">
                  <c:v>1.1000000000000001E-2</c:v>
                </c:pt>
                <c:pt idx="17">
                  <c:v>1.1000000000000001E-2</c:v>
                </c:pt>
                <c:pt idx="18">
                  <c:v>1.1000000000000001E-2</c:v>
                </c:pt>
                <c:pt idx="19">
                  <c:v>1.2E-2</c:v>
                </c:pt>
                <c:pt idx="20">
                  <c:v>1.2E-2</c:v>
                </c:pt>
                <c:pt idx="21">
                  <c:v>1.2E-2</c:v>
                </c:pt>
                <c:pt idx="22">
                  <c:v>1.2E-2</c:v>
                </c:pt>
                <c:pt idx="23">
                  <c:v>1.3999999999999999E-2</c:v>
                </c:pt>
                <c:pt idx="24">
                  <c:v>1.3999999999999999E-2</c:v>
                </c:pt>
                <c:pt idx="25">
                  <c:v>1.7000000000000001E-2</c:v>
                </c:pt>
                <c:pt idx="26">
                  <c:v>1.8000000000000002E-2</c:v>
                </c:pt>
                <c:pt idx="27">
                  <c:v>1.8000000000000002E-2</c:v>
                </c:pt>
                <c:pt idx="28">
                  <c:v>1.9E-2</c:v>
                </c:pt>
                <c:pt idx="29">
                  <c:v>1.9E-2</c:v>
                </c:pt>
                <c:pt idx="30">
                  <c:v>1.9E-2</c:v>
                </c:pt>
                <c:pt idx="31">
                  <c:v>0.02</c:v>
                </c:pt>
                <c:pt idx="32">
                  <c:v>1.9E-2</c:v>
                </c:pt>
                <c:pt idx="33">
                  <c:v>1.9E-2</c:v>
                </c:pt>
                <c:pt idx="34">
                  <c:v>0.02</c:v>
                </c:pt>
                <c:pt idx="35">
                  <c:v>2.1000000000000001E-2</c:v>
                </c:pt>
                <c:pt idx="36">
                  <c:v>2.2000000000000002E-2</c:v>
                </c:pt>
                <c:pt idx="37">
                  <c:v>2.3E-2</c:v>
                </c:pt>
                <c:pt idx="38">
                  <c:v>2.3E-2</c:v>
                </c:pt>
                <c:pt idx="39">
                  <c:v>2.2000000000000002E-2</c:v>
                </c:pt>
                <c:pt idx="40">
                  <c:v>2.2000000000000002E-2</c:v>
                </c:pt>
                <c:pt idx="41">
                  <c:v>2.1000000000000001E-2</c:v>
                </c:pt>
                <c:pt idx="42">
                  <c:v>2.1000000000000001E-2</c:v>
                </c:pt>
                <c:pt idx="43">
                  <c:v>2.2000000000000002E-2</c:v>
                </c:pt>
                <c:pt idx="44">
                  <c:v>2.1000000000000001E-2</c:v>
                </c:pt>
                <c:pt idx="45">
                  <c:v>0.02</c:v>
                </c:pt>
                <c:pt idx="46">
                  <c:v>2.1000000000000001E-2</c:v>
                </c:pt>
                <c:pt idx="47">
                  <c:v>2.1000000000000001E-2</c:v>
                </c:pt>
                <c:pt idx="48">
                  <c:v>2.2000000000000002E-2</c:v>
                </c:pt>
                <c:pt idx="49">
                  <c:v>2.3E-2</c:v>
                </c:pt>
                <c:pt idx="50">
                  <c:v>2.3E-2</c:v>
                </c:pt>
                <c:pt idx="51">
                  <c:v>2.3E-2</c:v>
                </c:pt>
                <c:pt idx="52">
                  <c:v>2.2000000000000002E-2</c:v>
                </c:pt>
                <c:pt idx="53">
                  <c:v>2.2000000000000002E-2</c:v>
                </c:pt>
                <c:pt idx="54">
                  <c:v>2.3E-2</c:v>
                </c:pt>
                <c:pt idx="55">
                  <c:v>2.3E-2</c:v>
                </c:pt>
                <c:pt idx="56">
                  <c:v>2.2000000000000002E-2</c:v>
                </c:pt>
                <c:pt idx="57">
                  <c:v>2.1000000000000001E-2</c:v>
                </c:pt>
                <c:pt idx="58">
                  <c:v>2.2000000000000002E-2</c:v>
                </c:pt>
                <c:pt idx="59">
                  <c:v>2.1000000000000001E-2</c:v>
                </c:pt>
                <c:pt idx="60">
                  <c:v>2.2000000000000002E-2</c:v>
                </c:pt>
                <c:pt idx="61">
                  <c:v>2.3E-2</c:v>
                </c:pt>
                <c:pt idx="62">
                  <c:v>2.3E-2</c:v>
                </c:pt>
                <c:pt idx="63">
                  <c:v>2.2000000000000002E-2</c:v>
                </c:pt>
                <c:pt idx="64">
                  <c:v>2.1000000000000001E-2</c:v>
                </c:pt>
                <c:pt idx="65">
                  <c:v>2.1000000000000001E-2</c:v>
                </c:pt>
                <c:pt idx="66">
                  <c:v>2.1000000000000001E-2</c:v>
                </c:pt>
                <c:pt idx="67">
                  <c:v>2.1000000000000001E-2</c:v>
                </c:pt>
                <c:pt idx="68">
                  <c:v>0.02</c:v>
                </c:pt>
                <c:pt idx="69">
                  <c:v>0.02</c:v>
                </c:pt>
                <c:pt idx="70">
                  <c:v>1.9E-2</c:v>
                </c:pt>
                <c:pt idx="71">
                  <c:v>1.9E-2</c:v>
                </c:pt>
                <c:pt idx="72">
                  <c:v>1.9E-2</c:v>
                </c:pt>
                <c:pt idx="73">
                  <c:v>0.02</c:v>
                </c:pt>
                <c:pt idx="74">
                  <c:v>1.9E-2</c:v>
                </c:pt>
                <c:pt idx="75">
                  <c:v>1.8000000000000002E-2</c:v>
                </c:pt>
                <c:pt idx="76">
                  <c:v>1.8000000000000002E-2</c:v>
                </c:pt>
                <c:pt idx="77">
                  <c:v>1.7000000000000001E-2</c:v>
                </c:pt>
                <c:pt idx="78">
                  <c:v>1.7000000000000001E-2</c:v>
                </c:pt>
                <c:pt idx="79">
                  <c:v>1.7000000000000001E-2</c:v>
                </c:pt>
                <c:pt idx="80">
                  <c:v>1.4999999999999999E-2</c:v>
                </c:pt>
                <c:pt idx="81">
                  <c:v>1.3999999999999999E-2</c:v>
                </c:pt>
                <c:pt idx="82">
                  <c:v>1.3999999999999999E-2</c:v>
                </c:pt>
                <c:pt idx="83">
                  <c:v>1.3999999999999999E-2</c:v>
                </c:pt>
                <c:pt idx="84">
                  <c:v>1.4999999999999999E-2</c:v>
                </c:pt>
                <c:pt idx="85">
                  <c:v>1.4999999999999999E-2</c:v>
                </c:pt>
                <c:pt idx="86">
                  <c:v>1.4999999999999999E-2</c:v>
                </c:pt>
                <c:pt idx="87">
                  <c:v>1.3999999999999999E-2</c:v>
                </c:pt>
                <c:pt idx="88">
                  <c:v>1.3000000000000001E-2</c:v>
                </c:pt>
                <c:pt idx="89">
                  <c:v>1.3000000000000001E-2</c:v>
                </c:pt>
                <c:pt idx="90">
                  <c:v>1.2E-2</c:v>
                </c:pt>
                <c:pt idx="91">
                  <c:v>1.2E-2</c:v>
                </c:pt>
                <c:pt idx="92">
                  <c:v>1.1000000000000001E-2</c:v>
                </c:pt>
                <c:pt idx="93">
                  <c:v>0.01</c:v>
                </c:pt>
                <c:pt idx="94">
                  <c:v>0.01</c:v>
                </c:pt>
                <c:pt idx="95">
                  <c:v>9.0000000000000011E-3</c:v>
                </c:pt>
                <c:pt idx="96">
                  <c:v>0.01</c:v>
                </c:pt>
                <c:pt idx="97">
                  <c:v>1.1000000000000001E-2</c:v>
                </c:pt>
                <c:pt idx="98">
                  <c:v>1.2E-2</c:v>
                </c:pt>
                <c:pt idx="99">
                  <c:v>1.2E-2</c:v>
                </c:pt>
                <c:pt idx="100">
                  <c:v>1.3000000000000001E-2</c:v>
                </c:pt>
                <c:pt idx="101">
                  <c:v>1.3999999999999999E-2</c:v>
                </c:pt>
                <c:pt idx="102">
                  <c:v>1.3999999999999999E-2</c:v>
                </c:pt>
                <c:pt idx="103">
                  <c:v>1.3999999999999999E-2</c:v>
                </c:pt>
                <c:pt idx="104">
                  <c:v>1.3999999999999999E-2</c:v>
                </c:pt>
                <c:pt idx="105">
                  <c:v>1.3999999999999999E-2</c:v>
                </c:pt>
                <c:pt idx="106">
                  <c:v>1.6E-2</c:v>
                </c:pt>
                <c:pt idx="107">
                  <c:v>1.6E-2</c:v>
                </c:pt>
                <c:pt idx="108">
                  <c:v>1.7000000000000001E-2</c:v>
                </c:pt>
                <c:pt idx="109">
                  <c:v>1.9E-2</c:v>
                </c:pt>
                <c:pt idx="110">
                  <c:v>0.02</c:v>
                </c:pt>
                <c:pt idx="111">
                  <c:v>2.1000000000000001E-2</c:v>
                </c:pt>
                <c:pt idx="112">
                  <c:v>2.2000000000000002E-2</c:v>
                </c:pt>
                <c:pt idx="113">
                  <c:v>2.2000000000000002E-2</c:v>
                </c:pt>
                <c:pt idx="114">
                  <c:v>2.2000000000000002E-2</c:v>
                </c:pt>
                <c:pt idx="115">
                  <c:v>2.3E-2</c:v>
                </c:pt>
                <c:pt idx="116">
                  <c:v>2.2000000000000002E-2</c:v>
                </c:pt>
                <c:pt idx="117">
                  <c:v>2.2000000000000002E-2</c:v>
                </c:pt>
                <c:pt idx="118">
                  <c:v>2.2000000000000002E-2</c:v>
                </c:pt>
                <c:pt idx="119">
                  <c:v>2.1000000000000001E-2</c:v>
                </c:pt>
                <c:pt idx="120">
                  <c:v>2.2000000000000002E-2</c:v>
                </c:pt>
                <c:pt idx="121">
                  <c:v>2.4E-2</c:v>
                </c:pt>
                <c:pt idx="122">
                  <c:v>2.4E-2</c:v>
                </c:pt>
                <c:pt idx="123">
                  <c:v>2.4E-2</c:v>
                </c:pt>
                <c:pt idx="124">
                  <c:v>2.4E-2</c:v>
                </c:pt>
                <c:pt idx="125">
                  <c:v>2.3E-2</c:v>
                </c:pt>
                <c:pt idx="126">
                  <c:v>2.3E-2</c:v>
                </c:pt>
                <c:pt idx="127">
                  <c:v>2.2000000000000002E-2</c:v>
                </c:pt>
                <c:pt idx="128">
                  <c:v>2.1000000000000001E-2</c:v>
                </c:pt>
                <c:pt idx="129">
                  <c:v>0.02</c:v>
                </c:pt>
                <c:pt idx="130">
                  <c:v>0.02</c:v>
                </c:pt>
                <c:pt idx="131">
                  <c:v>1.9E-2</c:v>
                </c:pt>
                <c:pt idx="132">
                  <c:v>2.1000000000000001E-2</c:v>
                </c:pt>
                <c:pt idx="133">
                  <c:v>2.1000000000000001E-2</c:v>
                </c:pt>
                <c:pt idx="134">
                  <c:v>2.1000000000000001E-2</c:v>
                </c:pt>
                <c:pt idx="135">
                  <c:v>2.1000000000000001E-2</c:v>
                </c:pt>
                <c:pt idx="136">
                  <c:v>2.1000000000000001E-2</c:v>
                </c:pt>
              </c:numCache>
            </c:numRef>
          </c:val>
          <c:smooth val="0"/>
          <c:extLst>
            <c:ext xmlns:c16="http://schemas.microsoft.com/office/drawing/2014/chart" uri="{C3380CC4-5D6E-409C-BE32-E72D297353CC}">
              <c16:uniqueId val="{00000001-DA15-45C0-B68F-4173C605762B}"/>
            </c:ext>
          </c:extLst>
        </c:ser>
        <c:ser>
          <c:idx val="2"/>
          <c:order val="2"/>
          <c:tx>
            <c:strRef>
              <c:f>'Claimant count'!$D$1</c:f>
              <c:strCache>
                <c:ptCount val="1"/>
                <c:pt idx="0">
                  <c:v>Scotland %</c:v>
                </c:pt>
              </c:strCache>
            </c:strRef>
          </c:tx>
          <c:spPr>
            <a:ln w="31750" cap="rnd">
              <a:solidFill>
                <a:schemeClr val="accent3"/>
              </a:solidFill>
              <a:round/>
            </a:ln>
            <a:effectLst/>
          </c:spPr>
          <c:marker>
            <c:symbol val="none"/>
          </c:marker>
          <c:cat>
            <c:numRef>
              <c:f>'Claimant count'!$A$2:$A$138</c:f>
              <c:numCache>
                <c:formatCode>mmm\-yy</c:formatCode>
                <c:ptCount val="137"/>
                <c:pt idx="0">
                  <c:v>39083</c:v>
                </c:pt>
                <c:pt idx="1">
                  <c:v>39114</c:v>
                </c:pt>
                <c:pt idx="2">
                  <c:v>39142</c:v>
                </c:pt>
                <c:pt idx="3">
                  <c:v>39173</c:v>
                </c:pt>
                <c:pt idx="4">
                  <c:v>39203</c:v>
                </c:pt>
                <c:pt idx="5">
                  <c:v>39234</c:v>
                </c:pt>
                <c:pt idx="6">
                  <c:v>39264</c:v>
                </c:pt>
                <c:pt idx="7">
                  <c:v>39295</c:v>
                </c:pt>
                <c:pt idx="8">
                  <c:v>39326</c:v>
                </c:pt>
                <c:pt idx="9">
                  <c:v>39356</c:v>
                </c:pt>
                <c:pt idx="10">
                  <c:v>39387</c:v>
                </c:pt>
                <c:pt idx="11">
                  <c:v>39417</c:v>
                </c:pt>
                <c:pt idx="12">
                  <c:v>39448</c:v>
                </c:pt>
                <c:pt idx="13">
                  <c:v>39479</c:v>
                </c:pt>
                <c:pt idx="14">
                  <c:v>39508</c:v>
                </c:pt>
                <c:pt idx="15">
                  <c:v>39539</c:v>
                </c:pt>
                <c:pt idx="16">
                  <c:v>39569</c:v>
                </c:pt>
                <c:pt idx="17">
                  <c:v>39600</c:v>
                </c:pt>
                <c:pt idx="18">
                  <c:v>39630</c:v>
                </c:pt>
                <c:pt idx="19">
                  <c:v>39661</c:v>
                </c:pt>
                <c:pt idx="20">
                  <c:v>39692</c:v>
                </c:pt>
                <c:pt idx="21">
                  <c:v>39722</c:v>
                </c:pt>
                <c:pt idx="22">
                  <c:v>39753</c:v>
                </c:pt>
                <c:pt idx="23">
                  <c:v>39783</c:v>
                </c:pt>
                <c:pt idx="24">
                  <c:v>39814</c:v>
                </c:pt>
                <c:pt idx="25">
                  <c:v>39845</c:v>
                </c:pt>
                <c:pt idx="26">
                  <c:v>39873</c:v>
                </c:pt>
                <c:pt idx="27">
                  <c:v>39904</c:v>
                </c:pt>
                <c:pt idx="28">
                  <c:v>39934</c:v>
                </c:pt>
                <c:pt idx="29">
                  <c:v>39965</c:v>
                </c:pt>
                <c:pt idx="30">
                  <c:v>39995</c:v>
                </c:pt>
                <c:pt idx="31">
                  <c:v>40026</c:v>
                </c:pt>
                <c:pt idx="32">
                  <c:v>40057</c:v>
                </c:pt>
                <c:pt idx="33">
                  <c:v>40087</c:v>
                </c:pt>
                <c:pt idx="34">
                  <c:v>40118</c:v>
                </c:pt>
                <c:pt idx="35">
                  <c:v>40148</c:v>
                </c:pt>
                <c:pt idx="36">
                  <c:v>40179</c:v>
                </c:pt>
                <c:pt idx="37">
                  <c:v>40210</c:v>
                </c:pt>
                <c:pt idx="38">
                  <c:v>40238</c:v>
                </c:pt>
                <c:pt idx="39">
                  <c:v>40269</c:v>
                </c:pt>
                <c:pt idx="40">
                  <c:v>40299</c:v>
                </c:pt>
                <c:pt idx="41">
                  <c:v>40330</c:v>
                </c:pt>
                <c:pt idx="42">
                  <c:v>40360</c:v>
                </c:pt>
                <c:pt idx="43">
                  <c:v>40391</c:v>
                </c:pt>
                <c:pt idx="44">
                  <c:v>40422</c:v>
                </c:pt>
                <c:pt idx="45">
                  <c:v>40452</c:v>
                </c:pt>
                <c:pt idx="46">
                  <c:v>40483</c:v>
                </c:pt>
                <c:pt idx="47">
                  <c:v>40513</c:v>
                </c:pt>
                <c:pt idx="48">
                  <c:v>40544</c:v>
                </c:pt>
                <c:pt idx="49">
                  <c:v>40575</c:v>
                </c:pt>
                <c:pt idx="50">
                  <c:v>40603</c:v>
                </c:pt>
                <c:pt idx="51">
                  <c:v>40634</c:v>
                </c:pt>
                <c:pt idx="52">
                  <c:v>40664</c:v>
                </c:pt>
                <c:pt idx="53">
                  <c:v>40695</c:v>
                </c:pt>
                <c:pt idx="54">
                  <c:v>40725</c:v>
                </c:pt>
                <c:pt idx="55">
                  <c:v>40756</c:v>
                </c:pt>
                <c:pt idx="56">
                  <c:v>40787</c:v>
                </c:pt>
                <c:pt idx="57">
                  <c:v>40817</c:v>
                </c:pt>
                <c:pt idx="58">
                  <c:v>40848</c:v>
                </c:pt>
                <c:pt idx="59">
                  <c:v>40878</c:v>
                </c:pt>
                <c:pt idx="60">
                  <c:v>40909</c:v>
                </c:pt>
                <c:pt idx="61">
                  <c:v>40940</c:v>
                </c:pt>
                <c:pt idx="62">
                  <c:v>40969</c:v>
                </c:pt>
                <c:pt idx="63">
                  <c:v>41000</c:v>
                </c:pt>
                <c:pt idx="64">
                  <c:v>41030</c:v>
                </c:pt>
                <c:pt idx="65">
                  <c:v>41061</c:v>
                </c:pt>
                <c:pt idx="66">
                  <c:v>41091</c:v>
                </c:pt>
                <c:pt idx="67">
                  <c:v>41122</c:v>
                </c:pt>
                <c:pt idx="68">
                  <c:v>41153</c:v>
                </c:pt>
                <c:pt idx="69">
                  <c:v>41183</c:v>
                </c:pt>
                <c:pt idx="70">
                  <c:v>41214</c:v>
                </c:pt>
                <c:pt idx="71">
                  <c:v>41244</c:v>
                </c:pt>
                <c:pt idx="72">
                  <c:v>41275</c:v>
                </c:pt>
                <c:pt idx="73">
                  <c:v>41306</c:v>
                </c:pt>
                <c:pt idx="74">
                  <c:v>41334</c:v>
                </c:pt>
                <c:pt idx="75">
                  <c:v>41365</c:v>
                </c:pt>
                <c:pt idx="76">
                  <c:v>41395</c:v>
                </c:pt>
                <c:pt idx="77">
                  <c:v>41426</c:v>
                </c:pt>
                <c:pt idx="78">
                  <c:v>41456</c:v>
                </c:pt>
                <c:pt idx="79">
                  <c:v>41487</c:v>
                </c:pt>
                <c:pt idx="80">
                  <c:v>41518</c:v>
                </c:pt>
                <c:pt idx="81">
                  <c:v>41548</c:v>
                </c:pt>
                <c:pt idx="82">
                  <c:v>41579</c:v>
                </c:pt>
                <c:pt idx="83">
                  <c:v>41609</c:v>
                </c:pt>
                <c:pt idx="84">
                  <c:v>41640</c:v>
                </c:pt>
                <c:pt idx="85">
                  <c:v>41671</c:v>
                </c:pt>
                <c:pt idx="86">
                  <c:v>41699</c:v>
                </c:pt>
                <c:pt idx="87">
                  <c:v>41730</c:v>
                </c:pt>
                <c:pt idx="88">
                  <c:v>41760</c:v>
                </c:pt>
                <c:pt idx="89">
                  <c:v>41791</c:v>
                </c:pt>
                <c:pt idx="90">
                  <c:v>41821</c:v>
                </c:pt>
                <c:pt idx="91">
                  <c:v>41852</c:v>
                </c:pt>
                <c:pt idx="92">
                  <c:v>41883</c:v>
                </c:pt>
                <c:pt idx="93">
                  <c:v>41913</c:v>
                </c:pt>
                <c:pt idx="94">
                  <c:v>41944</c:v>
                </c:pt>
                <c:pt idx="95">
                  <c:v>41974</c:v>
                </c:pt>
                <c:pt idx="96">
                  <c:v>42005</c:v>
                </c:pt>
                <c:pt idx="97">
                  <c:v>42036</c:v>
                </c:pt>
                <c:pt idx="98">
                  <c:v>42064</c:v>
                </c:pt>
                <c:pt idx="99">
                  <c:v>42095</c:v>
                </c:pt>
                <c:pt idx="100">
                  <c:v>42125</c:v>
                </c:pt>
                <c:pt idx="101">
                  <c:v>42156</c:v>
                </c:pt>
                <c:pt idx="102">
                  <c:v>42186</c:v>
                </c:pt>
                <c:pt idx="103">
                  <c:v>42217</c:v>
                </c:pt>
                <c:pt idx="104">
                  <c:v>42248</c:v>
                </c:pt>
                <c:pt idx="105">
                  <c:v>42278</c:v>
                </c:pt>
                <c:pt idx="106">
                  <c:v>42309</c:v>
                </c:pt>
                <c:pt idx="107">
                  <c:v>42339</c:v>
                </c:pt>
                <c:pt idx="108">
                  <c:v>42370</c:v>
                </c:pt>
                <c:pt idx="109">
                  <c:v>42401</c:v>
                </c:pt>
                <c:pt idx="110">
                  <c:v>42430</c:v>
                </c:pt>
                <c:pt idx="111">
                  <c:v>42461</c:v>
                </c:pt>
                <c:pt idx="112">
                  <c:v>42491</c:v>
                </c:pt>
                <c:pt idx="113">
                  <c:v>42522</c:v>
                </c:pt>
                <c:pt idx="114">
                  <c:v>42552</c:v>
                </c:pt>
                <c:pt idx="115">
                  <c:v>42583</c:v>
                </c:pt>
                <c:pt idx="116">
                  <c:v>42614</c:v>
                </c:pt>
                <c:pt idx="117">
                  <c:v>42644</c:v>
                </c:pt>
                <c:pt idx="118">
                  <c:v>42675</c:v>
                </c:pt>
                <c:pt idx="119">
                  <c:v>42705</c:v>
                </c:pt>
                <c:pt idx="120">
                  <c:v>42736</c:v>
                </c:pt>
                <c:pt idx="121">
                  <c:v>42767</c:v>
                </c:pt>
                <c:pt idx="122">
                  <c:v>42795</c:v>
                </c:pt>
                <c:pt idx="123">
                  <c:v>42826</c:v>
                </c:pt>
                <c:pt idx="124">
                  <c:v>42856</c:v>
                </c:pt>
                <c:pt idx="125">
                  <c:v>42887</c:v>
                </c:pt>
                <c:pt idx="126">
                  <c:v>42917</c:v>
                </c:pt>
                <c:pt idx="127">
                  <c:v>42948</c:v>
                </c:pt>
                <c:pt idx="128">
                  <c:v>42979</c:v>
                </c:pt>
                <c:pt idx="129">
                  <c:v>43009</c:v>
                </c:pt>
                <c:pt idx="130">
                  <c:v>43040</c:v>
                </c:pt>
                <c:pt idx="131">
                  <c:v>43070</c:v>
                </c:pt>
                <c:pt idx="132">
                  <c:v>43101</c:v>
                </c:pt>
                <c:pt idx="133">
                  <c:v>43132</c:v>
                </c:pt>
                <c:pt idx="134">
                  <c:v>43160</c:v>
                </c:pt>
                <c:pt idx="135">
                  <c:v>43191</c:v>
                </c:pt>
                <c:pt idx="136">
                  <c:v>43221</c:v>
                </c:pt>
              </c:numCache>
            </c:numRef>
          </c:cat>
          <c:val>
            <c:numRef>
              <c:f>'Claimant count'!$D$2:$D$138</c:f>
              <c:numCache>
                <c:formatCode>0.0%</c:formatCode>
                <c:ptCount val="137"/>
                <c:pt idx="0">
                  <c:v>2.6000000000000002E-2</c:v>
                </c:pt>
                <c:pt idx="1">
                  <c:v>2.7000000000000003E-2</c:v>
                </c:pt>
                <c:pt idx="2">
                  <c:v>2.6000000000000002E-2</c:v>
                </c:pt>
                <c:pt idx="3">
                  <c:v>2.4E-2</c:v>
                </c:pt>
                <c:pt idx="4">
                  <c:v>2.4E-2</c:v>
                </c:pt>
                <c:pt idx="5">
                  <c:v>2.3E-2</c:v>
                </c:pt>
                <c:pt idx="6">
                  <c:v>2.3E-2</c:v>
                </c:pt>
                <c:pt idx="7">
                  <c:v>2.3E-2</c:v>
                </c:pt>
                <c:pt idx="8">
                  <c:v>2.1000000000000001E-2</c:v>
                </c:pt>
                <c:pt idx="9">
                  <c:v>0.02</c:v>
                </c:pt>
                <c:pt idx="10">
                  <c:v>0.02</c:v>
                </c:pt>
                <c:pt idx="11">
                  <c:v>0.02</c:v>
                </c:pt>
                <c:pt idx="12">
                  <c:v>2.2000000000000002E-2</c:v>
                </c:pt>
                <c:pt idx="13">
                  <c:v>2.2000000000000002E-2</c:v>
                </c:pt>
                <c:pt idx="14">
                  <c:v>2.2000000000000002E-2</c:v>
                </c:pt>
                <c:pt idx="15">
                  <c:v>2.2000000000000002E-2</c:v>
                </c:pt>
                <c:pt idx="16">
                  <c:v>2.1000000000000001E-2</c:v>
                </c:pt>
                <c:pt idx="17">
                  <c:v>2.2000000000000002E-2</c:v>
                </c:pt>
                <c:pt idx="18">
                  <c:v>2.3E-2</c:v>
                </c:pt>
                <c:pt idx="19">
                  <c:v>2.4E-2</c:v>
                </c:pt>
                <c:pt idx="20">
                  <c:v>2.4E-2</c:v>
                </c:pt>
                <c:pt idx="21">
                  <c:v>2.5000000000000001E-2</c:v>
                </c:pt>
                <c:pt idx="22">
                  <c:v>2.7000000000000003E-2</c:v>
                </c:pt>
                <c:pt idx="23">
                  <c:v>2.8999999999999998E-2</c:v>
                </c:pt>
                <c:pt idx="24">
                  <c:v>3.2000000000000001E-2</c:v>
                </c:pt>
                <c:pt idx="25">
                  <c:v>3.6000000000000004E-2</c:v>
                </c:pt>
                <c:pt idx="26">
                  <c:v>3.7000000000000005E-2</c:v>
                </c:pt>
                <c:pt idx="27">
                  <c:v>3.7000000000000005E-2</c:v>
                </c:pt>
                <c:pt idx="28">
                  <c:v>3.7000000000000005E-2</c:v>
                </c:pt>
                <c:pt idx="29">
                  <c:v>3.7999999999999999E-2</c:v>
                </c:pt>
                <c:pt idx="30">
                  <c:v>3.9E-2</c:v>
                </c:pt>
                <c:pt idx="31">
                  <c:v>0.04</c:v>
                </c:pt>
                <c:pt idx="32">
                  <c:v>3.7999999999999999E-2</c:v>
                </c:pt>
                <c:pt idx="33">
                  <c:v>3.7999999999999999E-2</c:v>
                </c:pt>
                <c:pt idx="34">
                  <c:v>3.9E-2</c:v>
                </c:pt>
                <c:pt idx="35">
                  <c:v>3.9E-2</c:v>
                </c:pt>
                <c:pt idx="36">
                  <c:v>4.2000000000000003E-2</c:v>
                </c:pt>
                <c:pt idx="37">
                  <c:v>4.2999999999999997E-2</c:v>
                </c:pt>
                <c:pt idx="38">
                  <c:v>4.2000000000000003E-2</c:v>
                </c:pt>
                <c:pt idx="39">
                  <c:v>4.0999999999999995E-2</c:v>
                </c:pt>
                <c:pt idx="40">
                  <c:v>0.04</c:v>
                </c:pt>
                <c:pt idx="41">
                  <c:v>3.9E-2</c:v>
                </c:pt>
                <c:pt idx="42">
                  <c:v>0.04</c:v>
                </c:pt>
                <c:pt idx="43">
                  <c:v>0.04</c:v>
                </c:pt>
                <c:pt idx="44">
                  <c:v>3.7999999999999999E-2</c:v>
                </c:pt>
                <c:pt idx="45">
                  <c:v>3.7999999999999999E-2</c:v>
                </c:pt>
                <c:pt idx="46">
                  <c:v>3.7999999999999999E-2</c:v>
                </c:pt>
                <c:pt idx="47">
                  <c:v>0.04</c:v>
                </c:pt>
                <c:pt idx="48">
                  <c:v>4.2000000000000003E-2</c:v>
                </c:pt>
                <c:pt idx="49">
                  <c:v>4.2000000000000003E-2</c:v>
                </c:pt>
                <c:pt idx="50">
                  <c:v>4.2000000000000003E-2</c:v>
                </c:pt>
                <c:pt idx="51">
                  <c:v>4.0999999999999995E-2</c:v>
                </c:pt>
                <c:pt idx="52">
                  <c:v>0.04</c:v>
                </c:pt>
                <c:pt idx="53">
                  <c:v>0.04</c:v>
                </c:pt>
                <c:pt idx="54">
                  <c:v>4.2000000000000003E-2</c:v>
                </c:pt>
                <c:pt idx="55">
                  <c:v>4.2999999999999997E-2</c:v>
                </c:pt>
                <c:pt idx="56">
                  <c:v>0.04</c:v>
                </c:pt>
                <c:pt idx="57">
                  <c:v>3.9E-2</c:v>
                </c:pt>
                <c:pt idx="58">
                  <c:v>0.04</c:v>
                </c:pt>
                <c:pt idx="59">
                  <c:v>0.04</c:v>
                </c:pt>
                <c:pt idx="60">
                  <c:v>4.2999999999999997E-2</c:v>
                </c:pt>
                <c:pt idx="61">
                  <c:v>4.4000000000000004E-2</c:v>
                </c:pt>
                <c:pt idx="62">
                  <c:v>4.2999999999999997E-2</c:v>
                </c:pt>
                <c:pt idx="63">
                  <c:v>4.2000000000000003E-2</c:v>
                </c:pt>
                <c:pt idx="64">
                  <c:v>4.0999999999999995E-2</c:v>
                </c:pt>
                <c:pt idx="65">
                  <c:v>4.0999999999999995E-2</c:v>
                </c:pt>
                <c:pt idx="66">
                  <c:v>4.2000000000000003E-2</c:v>
                </c:pt>
                <c:pt idx="67">
                  <c:v>4.2000000000000003E-2</c:v>
                </c:pt>
                <c:pt idx="68">
                  <c:v>3.9E-2</c:v>
                </c:pt>
                <c:pt idx="69">
                  <c:v>3.9E-2</c:v>
                </c:pt>
                <c:pt idx="70">
                  <c:v>3.9E-2</c:v>
                </c:pt>
                <c:pt idx="71">
                  <c:v>3.7999999999999999E-2</c:v>
                </c:pt>
                <c:pt idx="72">
                  <c:v>4.0999999999999995E-2</c:v>
                </c:pt>
                <c:pt idx="73">
                  <c:v>4.2000000000000003E-2</c:v>
                </c:pt>
                <c:pt idx="74">
                  <c:v>4.0999999999999995E-2</c:v>
                </c:pt>
                <c:pt idx="75">
                  <c:v>0.04</c:v>
                </c:pt>
                <c:pt idx="76">
                  <c:v>3.9E-2</c:v>
                </c:pt>
                <c:pt idx="77">
                  <c:v>3.7999999999999999E-2</c:v>
                </c:pt>
                <c:pt idx="78">
                  <c:v>3.7999999999999999E-2</c:v>
                </c:pt>
                <c:pt idx="79">
                  <c:v>3.7999999999999999E-2</c:v>
                </c:pt>
                <c:pt idx="80">
                  <c:v>3.3000000000000002E-2</c:v>
                </c:pt>
                <c:pt idx="81">
                  <c:v>3.2000000000000001E-2</c:v>
                </c:pt>
                <c:pt idx="82">
                  <c:v>3.1E-2</c:v>
                </c:pt>
                <c:pt idx="83">
                  <c:v>3.1E-2</c:v>
                </c:pt>
                <c:pt idx="84">
                  <c:v>3.3000000000000002E-2</c:v>
                </c:pt>
                <c:pt idx="85">
                  <c:v>3.3000000000000002E-2</c:v>
                </c:pt>
                <c:pt idx="86">
                  <c:v>3.2000000000000001E-2</c:v>
                </c:pt>
                <c:pt idx="87">
                  <c:v>0.03</c:v>
                </c:pt>
                <c:pt idx="88">
                  <c:v>2.8999999999999998E-2</c:v>
                </c:pt>
                <c:pt idx="89">
                  <c:v>2.7999999999999997E-2</c:v>
                </c:pt>
                <c:pt idx="90">
                  <c:v>2.7999999999999997E-2</c:v>
                </c:pt>
                <c:pt idx="91">
                  <c:v>2.7000000000000003E-2</c:v>
                </c:pt>
                <c:pt idx="92">
                  <c:v>2.5000000000000001E-2</c:v>
                </c:pt>
                <c:pt idx="93">
                  <c:v>2.4E-2</c:v>
                </c:pt>
                <c:pt idx="94">
                  <c:v>2.3E-2</c:v>
                </c:pt>
                <c:pt idx="95">
                  <c:v>2.3E-2</c:v>
                </c:pt>
                <c:pt idx="96">
                  <c:v>2.4E-2</c:v>
                </c:pt>
                <c:pt idx="97">
                  <c:v>2.5000000000000001E-2</c:v>
                </c:pt>
                <c:pt idx="98">
                  <c:v>2.4E-2</c:v>
                </c:pt>
                <c:pt idx="99">
                  <c:v>2.3E-2</c:v>
                </c:pt>
                <c:pt idx="100">
                  <c:v>2.3E-2</c:v>
                </c:pt>
                <c:pt idx="101">
                  <c:v>2.2000000000000002E-2</c:v>
                </c:pt>
                <c:pt idx="102">
                  <c:v>2.3E-2</c:v>
                </c:pt>
                <c:pt idx="103">
                  <c:v>2.3E-2</c:v>
                </c:pt>
                <c:pt idx="104">
                  <c:v>2.1000000000000001E-2</c:v>
                </c:pt>
                <c:pt idx="105">
                  <c:v>2.1000000000000001E-2</c:v>
                </c:pt>
                <c:pt idx="106">
                  <c:v>0.02</c:v>
                </c:pt>
                <c:pt idx="107">
                  <c:v>0.02</c:v>
                </c:pt>
                <c:pt idx="108">
                  <c:v>2.2000000000000002E-2</c:v>
                </c:pt>
                <c:pt idx="109">
                  <c:v>2.3E-2</c:v>
                </c:pt>
                <c:pt idx="110">
                  <c:v>2.3E-2</c:v>
                </c:pt>
                <c:pt idx="111">
                  <c:v>2.3E-2</c:v>
                </c:pt>
                <c:pt idx="112">
                  <c:v>2.2000000000000002E-2</c:v>
                </c:pt>
                <c:pt idx="113">
                  <c:v>2.2000000000000002E-2</c:v>
                </c:pt>
                <c:pt idx="114">
                  <c:v>2.3E-2</c:v>
                </c:pt>
                <c:pt idx="115">
                  <c:v>2.3E-2</c:v>
                </c:pt>
                <c:pt idx="116">
                  <c:v>2.2000000000000002E-2</c:v>
                </c:pt>
                <c:pt idx="117">
                  <c:v>2.2000000000000002E-2</c:v>
                </c:pt>
                <c:pt idx="118">
                  <c:v>2.2000000000000002E-2</c:v>
                </c:pt>
                <c:pt idx="119">
                  <c:v>2.1000000000000001E-2</c:v>
                </c:pt>
                <c:pt idx="120">
                  <c:v>2.2000000000000002E-2</c:v>
                </c:pt>
                <c:pt idx="121">
                  <c:v>2.3E-2</c:v>
                </c:pt>
                <c:pt idx="122">
                  <c:v>2.4E-2</c:v>
                </c:pt>
                <c:pt idx="123">
                  <c:v>2.4E-2</c:v>
                </c:pt>
                <c:pt idx="124">
                  <c:v>2.4E-2</c:v>
                </c:pt>
                <c:pt idx="125">
                  <c:v>2.3E-2</c:v>
                </c:pt>
                <c:pt idx="126">
                  <c:v>2.4E-2</c:v>
                </c:pt>
                <c:pt idx="127">
                  <c:v>2.4E-2</c:v>
                </c:pt>
                <c:pt idx="128">
                  <c:v>2.3E-2</c:v>
                </c:pt>
                <c:pt idx="129">
                  <c:v>2.2000000000000002E-2</c:v>
                </c:pt>
                <c:pt idx="130">
                  <c:v>2.2000000000000002E-2</c:v>
                </c:pt>
                <c:pt idx="131">
                  <c:v>2.3E-2</c:v>
                </c:pt>
                <c:pt idx="132">
                  <c:v>2.4E-2</c:v>
                </c:pt>
                <c:pt idx="133">
                  <c:v>2.5000000000000001E-2</c:v>
                </c:pt>
                <c:pt idx="134">
                  <c:v>2.6000000000000002E-2</c:v>
                </c:pt>
                <c:pt idx="135">
                  <c:v>2.7000000000000003E-2</c:v>
                </c:pt>
                <c:pt idx="136">
                  <c:v>2.6000000000000002E-2</c:v>
                </c:pt>
              </c:numCache>
            </c:numRef>
          </c:val>
          <c:smooth val="0"/>
          <c:extLst>
            <c:ext xmlns:c16="http://schemas.microsoft.com/office/drawing/2014/chart" uri="{C3380CC4-5D6E-409C-BE32-E72D297353CC}">
              <c16:uniqueId val="{00000002-DA15-45C0-B68F-4173C605762B}"/>
            </c:ext>
          </c:extLst>
        </c:ser>
        <c:dLbls>
          <c:showLegendKey val="0"/>
          <c:showVal val="0"/>
          <c:showCatName val="0"/>
          <c:showSerName val="0"/>
          <c:showPercent val="0"/>
          <c:showBubbleSize val="0"/>
        </c:dLbls>
        <c:marker val="1"/>
        <c:smooth val="0"/>
        <c:axId val="561109496"/>
        <c:axId val="561111136"/>
      </c:lineChart>
      <c:dateAx>
        <c:axId val="561109496"/>
        <c:scaling>
          <c:orientation val="minMax"/>
        </c:scaling>
        <c:delete val="0"/>
        <c:axPos val="b"/>
        <c:numFmt formatCode="mmm\-yy"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crossAx val="561111136"/>
        <c:crosses val="autoZero"/>
        <c:auto val="1"/>
        <c:lblOffset val="100"/>
        <c:baseTimeUnit val="months"/>
      </c:dateAx>
      <c:valAx>
        <c:axId val="561111136"/>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b="0"/>
                  <a:t>Rate of claimants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61109496"/>
        <c:crosses val="autoZero"/>
        <c:crossBetween val="between"/>
      </c:valAx>
      <c:valAx>
        <c:axId val="555039256"/>
        <c:scaling>
          <c:orientation val="minMax"/>
        </c:scaling>
        <c:delete val="0"/>
        <c:axPos val="r"/>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b="0"/>
                  <a:t>Number of claimants</a:t>
                </a:r>
              </a:p>
            </c:rich>
          </c:tx>
          <c:layout>
            <c:manualLayout>
              <c:xMode val="edge"/>
              <c:yMode val="edge"/>
              <c:x val="0.94338951088687273"/>
              <c:y val="0.3140243119156933"/>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55041224"/>
        <c:crosses val="max"/>
        <c:crossBetween val="between"/>
      </c:valAx>
      <c:dateAx>
        <c:axId val="555041224"/>
        <c:scaling>
          <c:orientation val="minMax"/>
        </c:scaling>
        <c:delete val="1"/>
        <c:axPos val="b"/>
        <c:numFmt formatCode="mmm\-yy" sourceLinked="1"/>
        <c:majorTickMark val="out"/>
        <c:minorTickMark val="none"/>
        <c:tickLblPos val="nextTo"/>
        <c:crossAx val="555039256"/>
        <c:crosses val="autoZero"/>
        <c:auto val="1"/>
        <c:lblOffset val="100"/>
        <c:baseTimeUnit val="months"/>
      </c:date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200"/>
              <a:t>Claimant count by Intermediate Zone, Aberdeen City, 2018</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bar"/>
        <c:grouping val="clustered"/>
        <c:varyColors val="0"/>
        <c:ser>
          <c:idx val="0"/>
          <c:order val="0"/>
          <c:tx>
            <c:strRef>
              <c:f>'Claimant by IZ'!$B$3</c:f>
              <c:strCache>
                <c:ptCount val="1"/>
                <c:pt idx="0">
                  <c:v>May-18</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48"/>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B60-4A07-B73C-39B0C2C1C47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'Claimant by IZ'!$A$4:$A$52</c:f>
              <c:strCache>
                <c:ptCount val="49"/>
                <c:pt idx="0">
                  <c:v>West End North</c:v>
                </c:pt>
                <c:pt idx="1">
                  <c:v>Braeside, Mannofield, Broomhill and Seafield South</c:v>
                </c:pt>
                <c:pt idx="2">
                  <c:v>Cults, Bieldside and Milltimber West</c:v>
                </c:pt>
                <c:pt idx="3">
                  <c:v>Danestone</c:v>
                </c:pt>
                <c:pt idx="4">
                  <c:v>Balgownie and Donmouth East</c:v>
                </c:pt>
                <c:pt idx="5">
                  <c:v>Braeside, Mannofield, Broomhill and Seafield North</c:v>
                </c:pt>
                <c:pt idx="6">
                  <c:v>Cove South</c:v>
                </c:pt>
                <c:pt idx="7">
                  <c:v>Cults, Bieldside and Milltimber East</c:v>
                </c:pt>
                <c:pt idx="8">
                  <c:v>Denmore</c:v>
                </c:pt>
                <c:pt idx="9">
                  <c:v>Oldmachar West</c:v>
                </c:pt>
                <c:pt idx="10">
                  <c:v>Braeside, Mannofield, Broomhill and Seafield East</c:v>
                </c:pt>
                <c:pt idx="11">
                  <c:v>Kingswells</c:v>
                </c:pt>
                <c:pt idx="12">
                  <c:v>Midstocket</c:v>
                </c:pt>
                <c:pt idx="13">
                  <c:v>Balgownie and Donmouth West</c:v>
                </c:pt>
                <c:pt idx="14">
                  <c:v>Cove North</c:v>
                </c:pt>
                <c:pt idx="15">
                  <c:v>Culter</c:v>
                </c:pt>
                <c:pt idx="16">
                  <c:v>Oldmachar East</c:v>
                </c:pt>
                <c:pt idx="17">
                  <c:v>West End South</c:v>
                </c:pt>
                <c:pt idx="18">
                  <c:v>Bucksburn North</c:v>
                </c:pt>
                <c:pt idx="19">
                  <c:v>Ferryhill North</c:v>
                </c:pt>
                <c:pt idx="20">
                  <c:v>Hazlehead</c:v>
                </c:pt>
                <c:pt idx="21">
                  <c:v>Dyce</c:v>
                </c:pt>
                <c:pt idx="22">
                  <c:v>Ashgrove</c:v>
                </c:pt>
                <c:pt idx="23">
                  <c:v>Bucksburn South</c:v>
                </c:pt>
                <c:pt idx="24">
                  <c:v>Cummings Park</c:v>
                </c:pt>
                <c:pt idx="25">
                  <c:v>Ferryhill South</c:v>
                </c:pt>
                <c:pt idx="26">
                  <c:v>Kincorth, Leggart and Nigg South</c:v>
                </c:pt>
                <c:pt idx="27">
                  <c:v>City Centre East</c:v>
                </c:pt>
                <c:pt idx="28">
                  <c:v>Kincorth, Leggart and Nigg North</c:v>
                </c:pt>
                <c:pt idx="29">
                  <c:v>Summerhill</c:v>
                </c:pt>
                <c:pt idx="30">
                  <c:v>City Centre West</c:v>
                </c:pt>
                <c:pt idx="31">
                  <c:v>Hanover North</c:v>
                </c:pt>
                <c:pt idx="32">
                  <c:v>Hanover South</c:v>
                </c:pt>
                <c:pt idx="33">
                  <c:v>Hilton</c:v>
                </c:pt>
                <c:pt idx="34">
                  <c:v>Sheddocksley</c:v>
                </c:pt>
                <c:pt idx="35">
                  <c:v>Froghall, Powis and Sunnybank</c:v>
                </c:pt>
                <c:pt idx="36">
                  <c:v>Old Aberdeen</c:v>
                </c:pt>
                <c:pt idx="37">
                  <c:v>Rosemount</c:v>
                </c:pt>
                <c:pt idx="38">
                  <c:v>Mastrick</c:v>
                </c:pt>
                <c:pt idx="39">
                  <c:v>Garthdee</c:v>
                </c:pt>
                <c:pt idx="40">
                  <c:v>Northfield</c:v>
                </c:pt>
                <c:pt idx="41">
                  <c:v>Seaton</c:v>
                </c:pt>
                <c:pt idx="42">
                  <c:v>Stockethill</c:v>
                </c:pt>
                <c:pt idx="43">
                  <c:v>Heathryfold and Middlefield</c:v>
                </c:pt>
                <c:pt idx="44">
                  <c:v>Woodside</c:v>
                </c:pt>
                <c:pt idx="45">
                  <c:v>Torry East</c:v>
                </c:pt>
                <c:pt idx="46">
                  <c:v>George Street</c:v>
                </c:pt>
                <c:pt idx="47">
                  <c:v>Torry West</c:v>
                </c:pt>
                <c:pt idx="48">
                  <c:v>Tillydrone</c:v>
                </c:pt>
              </c:strCache>
            </c:strRef>
          </c:cat>
          <c:val>
            <c:numRef>
              <c:f>'Claimant by IZ'!$B$4:$B$52</c:f>
              <c:numCache>
                <c:formatCode>General</c:formatCode>
                <c:ptCount val="49"/>
                <c:pt idx="0">
                  <c:v>5</c:v>
                </c:pt>
                <c:pt idx="1">
                  <c:v>10</c:v>
                </c:pt>
                <c:pt idx="2">
                  <c:v>15</c:v>
                </c:pt>
                <c:pt idx="3">
                  <c:v>15</c:v>
                </c:pt>
                <c:pt idx="4">
                  <c:v>20</c:v>
                </c:pt>
                <c:pt idx="5">
                  <c:v>20</c:v>
                </c:pt>
                <c:pt idx="6">
                  <c:v>20</c:v>
                </c:pt>
                <c:pt idx="7">
                  <c:v>20</c:v>
                </c:pt>
                <c:pt idx="8">
                  <c:v>20</c:v>
                </c:pt>
                <c:pt idx="9">
                  <c:v>20</c:v>
                </c:pt>
                <c:pt idx="10">
                  <c:v>25</c:v>
                </c:pt>
                <c:pt idx="11">
                  <c:v>25</c:v>
                </c:pt>
                <c:pt idx="12">
                  <c:v>25</c:v>
                </c:pt>
                <c:pt idx="13">
                  <c:v>30</c:v>
                </c:pt>
                <c:pt idx="14">
                  <c:v>35</c:v>
                </c:pt>
                <c:pt idx="15">
                  <c:v>35</c:v>
                </c:pt>
                <c:pt idx="16">
                  <c:v>35</c:v>
                </c:pt>
                <c:pt idx="17">
                  <c:v>40</c:v>
                </c:pt>
                <c:pt idx="18">
                  <c:v>45</c:v>
                </c:pt>
                <c:pt idx="19">
                  <c:v>45</c:v>
                </c:pt>
                <c:pt idx="20">
                  <c:v>45</c:v>
                </c:pt>
                <c:pt idx="21">
                  <c:v>50</c:v>
                </c:pt>
                <c:pt idx="22">
                  <c:v>55</c:v>
                </c:pt>
                <c:pt idx="23">
                  <c:v>55</c:v>
                </c:pt>
                <c:pt idx="24">
                  <c:v>55</c:v>
                </c:pt>
                <c:pt idx="25">
                  <c:v>60</c:v>
                </c:pt>
                <c:pt idx="26">
                  <c:v>60</c:v>
                </c:pt>
                <c:pt idx="27">
                  <c:v>65</c:v>
                </c:pt>
                <c:pt idx="28">
                  <c:v>65</c:v>
                </c:pt>
                <c:pt idx="29">
                  <c:v>70</c:v>
                </c:pt>
                <c:pt idx="30">
                  <c:v>75</c:v>
                </c:pt>
                <c:pt idx="31">
                  <c:v>75</c:v>
                </c:pt>
                <c:pt idx="32">
                  <c:v>75</c:v>
                </c:pt>
                <c:pt idx="33">
                  <c:v>75</c:v>
                </c:pt>
                <c:pt idx="34">
                  <c:v>75</c:v>
                </c:pt>
                <c:pt idx="35">
                  <c:v>90</c:v>
                </c:pt>
                <c:pt idx="36">
                  <c:v>90</c:v>
                </c:pt>
                <c:pt idx="37">
                  <c:v>90</c:v>
                </c:pt>
                <c:pt idx="38">
                  <c:v>95</c:v>
                </c:pt>
                <c:pt idx="39">
                  <c:v>100</c:v>
                </c:pt>
                <c:pt idx="40">
                  <c:v>115</c:v>
                </c:pt>
                <c:pt idx="41">
                  <c:v>120</c:v>
                </c:pt>
                <c:pt idx="42">
                  <c:v>125</c:v>
                </c:pt>
                <c:pt idx="43">
                  <c:v>135</c:v>
                </c:pt>
                <c:pt idx="44">
                  <c:v>145</c:v>
                </c:pt>
                <c:pt idx="45">
                  <c:v>170</c:v>
                </c:pt>
                <c:pt idx="46">
                  <c:v>185</c:v>
                </c:pt>
                <c:pt idx="47">
                  <c:v>190</c:v>
                </c:pt>
                <c:pt idx="48">
                  <c:v>195</c:v>
                </c:pt>
              </c:numCache>
            </c:numRef>
          </c:val>
          <c:extLst>
            <c:ext xmlns:c16="http://schemas.microsoft.com/office/drawing/2014/chart" uri="{C3380CC4-5D6E-409C-BE32-E72D297353CC}">
              <c16:uniqueId val="{00000000-FA47-49D8-A3D0-E77C4B0E6EBE}"/>
            </c:ext>
          </c:extLst>
        </c:ser>
        <c:dLbls>
          <c:showLegendKey val="0"/>
          <c:showVal val="0"/>
          <c:showCatName val="0"/>
          <c:showSerName val="0"/>
          <c:showPercent val="0"/>
          <c:showBubbleSize val="0"/>
        </c:dLbls>
        <c:gapWidth val="100"/>
        <c:axId val="616904048"/>
        <c:axId val="616909952"/>
      </c:barChart>
      <c:catAx>
        <c:axId val="61690404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2"/>
                </a:solidFill>
                <a:latin typeface="+mn-lt"/>
                <a:ea typeface="+mn-ea"/>
                <a:cs typeface="+mn-cs"/>
              </a:defRPr>
            </a:pPr>
            <a:endParaRPr lang="en-US"/>
          </a:p>
        </c:txPr>
        <c:crossAx val="616909952"/>
        <c:crosses val="autoZero"/>
        <c:auto val="1"/>
        <c:lblAlgn val="ctr"/>
        <c:lblOffset val="100"/>
        <c:tickLblSkip val="1"/>
        <c:noMultiLvlLbl val="0"/>
      </c:catAx>
      <c:valAx>
        <c:axId val="616909952"/>
        <c:scaling>
          <c:orientation val="minMax"/>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Number of claimants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16904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Number and percentage of workless households, Aberdeen City, 2012 to 2016</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Sheet3!$B$2</c:f>
              <c:strCache>
                <c:ptCount val="1"/>
                <c:pt idx="0">
                  <c:v>Number</c:v>
                </c:pt>
              </c:strCache>
            </c:strRef>
          </c:tx>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8F7-44C5-84B1-BCA2A4120FD4}"/>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8F7-44C5-84B1-BCA2A4120FD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Sheet3!$A$3:$A$7</c:f>
              <c:strCache>
                <c:ptCount val="5"/>
                <c:pt idx="0">
                  <c:v>Jan-Dec 2012</c:v>
                </c:pt>
                <c:pt idx="1">
                  <c:v>Jan-Dec 2013</c:v>
                </c:pt>
                <c:pt idx="2">
                  <c:v>Jan-Dec 2014</c:v>
                </c:pt>
                <c:pt idx="3">
                  <c:v>Jan-Dec 2015</c:v>
                </c:pt>
                <c:pt idx="4">
                  <c:v>Jan-Dec 2016</c:v>
                </c:pt>
              </c:strCache>
            </c:strRef>
          </c:cat>
          <c:val>
            <c:numRef>
              <c:f>Sheet3!$B$3:$B$7</c:f>
              <c:numCache>
                <c:formatCode>#,##0</c:formatCode>
                <c:ptCount val="5"/>
                <c:pt idx="0">
                  <c:v>10300</c:v>
                </c:pt>
                <c:pt idx="1">
                  <c:v>10600</c:v>
                </c:pt>
                <c:pt idx="2">
                  <c:v>11400</c:v>
                </c:pt>
                <c:pt idx="3">
                  <c:v>13400</c:v>
                </c:pt>
                <c:pt idx="4">
                  <c:v>15000</c:v>
                </c:pt>
              </c:numCache>
            </c:numRef>
          </c:val>
          <c:extLst>
            <c:ext xmlns:c16="http://schemas.microsoft.com/office/drawing/2014/chart" uri="{C3380CC4-5D6E-409C-BE32-E72D297353CC}">
              <c16:uniqueId val="{00000002-58F7-44C5-84B1-BCA2A4120FD4}"/>
            </c:ext>
          </c:extLst>
        </c:ser>
        <c:dLbls>
          <c:showLegendKey val="0"/>
          <c:showVal val="0"/>
          <c:showCatName val="0"/>
          <c:showSerName val="0"/>
          <c:showPercent val="0"/>
          <c:showBubbleSize val="0"/>
        </c:dLbls>
        <c:gapWidth val="150"/>
        <c:axId val="611751968"/>
        <c:axId val="611760824"/>
      </c:barChart>
      <c:lineChart>
        <c:grouping val="standard"/>
        <c:varyColors val="0"/>
        <c:ser>
          <c:idx val="1"/>
          <c:order val="1"/>
          <c:tx>
            <c:strRef>
              <c:f>Sheet3!$C$2</c:f>
              <c:strCache>
                <c:ptCount val="1"/>
                <c:pt idx="0">
                  <c:v>Percentage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Sheet3!$A$3:$A$7</c:f>
              <c:strCache>
                <c:ptCount val="5"/>
                <c:pt idx="0">
                  <c:v>Jan-Dec 2012</c:v>
                </c:pt>
                <c:pt idx="1">
                  <c:v>Jan-Dec 2013</c:v>
                </c:pt>
                <c:pt idx="2">
                  <c:v>Jan-Dec 2014</c:v>
                </c:pt>
                <c:pt idx="3">
                  <c:v>Jan-Dec 2015</c:v>
                </c:pt>
                <c:pt idx="4">
                  <c:v>Jan-Dec 2016</c:v>
                </c:pt>
              </c:strCache>
            </c:strRef>
          </c:cat>
          <c:val>
            <c:numRef>
              <c:f>Sheet3!$C$3:$C$7</c:f>
              <c:numCache>
                <c:formatCode>General</c:formatCode>
                <c:ptCount val="5"/>
                <c:pt idx="0">
                  <c:v>12.6</c:v>
                </c:pt>
                <c:pt idx="1">
                  <c:v>12.8</c:v>
                </c:pt>
                <c:pt idx="2">
                  <c:v>13.4</c:v>
                </c:pt>
                <c:pt idx="3">
                  <c:v>15.3</c:v>
                </c:pt>
                <c:pt idx="4">
                  <c:v>17.600000000000001</c:v>
                </c:pt>
              </c:numCache>
            </c:numRef>
          </c:val>
          <c:smooth val="0"/>
          <c:extLst>
            <c:ext xmlns:c16="http://schemas.microsoft.com/office/drawing/2014/chart" uri="{C3380CC4-5D6E-409C-BE32-E72D297353CC}">
              <c16:uniqueId val="{00000003-58F7-44C5-84B1-BCA2A4120FD4}"/>
            </c:ext>
          </c:extLst>
        </c:ser>
        <c:dLbls>
          <c:showLegendKey val="0"/>
          <c:showVal val="0"/>
          <c:showCatName val="0"/>
          <c:showSerName val="0"/>
          <c:showPercent val="0"/>
          <c:showBubbleSize val="0"/>
        </c:dLbls>
        <c:marker val="1"/>
        <c:smooth val="0"/>
        <c:axId val="611730648"/>
        <c:axId val="611730976"/>
      </c:lineChart>
      <c:catAx>
        <c:axId val="611730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1730976"/>
        <c:crosses val="autoZero"/>
        <c:auto val="1"/>
        <c:lblAlgn val="ctr"/>
        <c:lblOffset val="100"/>
        <c:noMultiLvlLbl val="0"/>
      </c:catAx>
      <c:valAx>
        <c:axId val="611730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Percentage of workless households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1730648"/>
        <c:crosses val="autoZero"/>
        <c:crossBetween val="between"/>
      </c:valAx>
      <c:valAx>
        <c:axId val="611760824"/>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workless households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1751968"/>
        <c:crosses val="max"/>
        <c:crossBetween val="between"/>
      </c:valAx>
      <c:catAx>
        <c:axId val="611751968"/>
        <c:scaling>
          <c:orientation val="minMax"/>
        </c:scaling>
        <c:delete val="1"/>
        <c:axPos val="b"/>
        <c:numFmt formatCode="General" sourceLinked="1"/>
        <c:majorTickMark val="out"/>
        <c:minorTickMark val="none"/>
        <c:tickLblPos val="nextTo"/>
        <c:crossAx val="6117608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200"/>
              <a:t>Number of households on universal credit,</a:t>
            </a:r>
            <a:r>
              <a:rPr lang="en-US" sz="1200" baseline="0"/>
              <a:t> </a:t>
            </a:r>
            <a:r>
              <a:rPr lang="en-US" sz="1200"/>
              <a:t>Aberdeen City, December 2016 to December 2017</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Sheet2!$A$4</c:f>
              <c:strCache>
                <c:ptCount val="1"/>
                <c:pt idx="0">
                  <c:v>Aberdeen City</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607-48D8-8324-633475560103}"/>
                </c:ext>
              </c:extLst>
            </c:dLbl>
            <c:dLbl>
              <c:idx val="12"/>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607-48D8-8324-63347556010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Sheet2!$B$3:$N$3</c:f>
              <c:strCache>
                <c:ptCount val="13"/>
                <c:pt idx="0">
                  <c:v>Dec-16</c:v>
                </c:pt>
                <c:pt idx="1">
                  <c:v>Jan-17</c:v>
                </c:pt>
                <c:pt idx="2">
                  <c:v>Feb-17</c:v>
                </c:pt>
                <c:pt idx="3">
                  <c:v>Mar-17</c:v>
                </c:pt>
                <c:pt idx="4">
                  <c:v>Apr-17</c:v>
                </c:pt>
                <c:pt idx="5">
                  <c:v>May-17</c:v>
                </c:pt>
                <c:pt idx="6">
                  <c:v>Jun-17</c:v>
                </c:pt>
                <c:pt idx="7">
                  <c:v>July 2017</c:v>
                </c:pt>
                <c:pt idx="8">
                  <c:v>August 2017</c:v>
                </c:pt>
                <c:pt idx="9">
                  <c:v>September 2017</c:v>
                </c:pt>
                <c:pt idx="10">
                  <c:v>October 2017</c:v>
                </c:pt>
                <c:pt idx="11">
                  <c:v>November 2017</c:v>
                </c:pt>
                <c:pt idx="12">
                  <c:v>December 2017</c:v>
                </c:pt>
              </c:strCache>
            </c:strRef>
          </c:cat>
          <c:val>
            <c:numRef>
              <c:f>Sheet2!$B$4:$N$4</c:f>
              <c:numCache>
                <c:formatCode>#,##0</c:formatCode>
                <c:ptCount val="13"/>
                <c:pt idx="0">
                  <c:v>1305</c:v>
                </c:pt>
                <c:pt idx="1">
                  <c:v>1311</c:v>
                </c:pt>
                <c:pt idx="2">
                  <c:v>1370</c:v>
                </c:pt>
                <c:pt idx="3">
                  <c:v>1398</c:v>
                </c:pt>
                <c:pt idx="4">
                  <c:v>1446</c:v>
                </c:pt>
                <c:pt idx="5">
                  <c:v>1463</c:v>
                </c:pt>
                <c:pt idx="6">
                  <c:v>1491</c:v>
                </c:pt>
                <c:pt idx="7">
                  <c:v>1518</c:v>
                </c:pt>
                <c:pt idx="8">
                  <c:v>1540</c:v>
                </c:pt>
                <c:pt idx="9">
                  <c:v>1567</c:v>
                </c:pt>
                <c:pt idx="10">
                  <c:v>1563</c:v>
                </c:pt>
                <c:pt idx="11">
                  <c:v>1561</c:v>
                </c:pt>
                <c:pt idx="12">
                  <c:v>1587</c:v>
                </c:pt>
              </c:numCache>
            </c:numRef>
          </c:val>
          <c:extLst>
            <c:ext xmlns:c16="http://schemas.microsoft.com/office/drawing/2014/chart" uri="{C3380CC4-5D6E-409C-BE32-E72D297353CC}">
              <c16:uniqueId val="{00000002-C607-48D8-8324-633475560103}"/>
            </c:ext>
          </c:extLst>
        </c:ser>
        <c:dLbls>
          <c:showLegendKey val="0"/>
          <c:showVal val="0"/>
          <c:showCatName val="0"/>
          <c:showSerName val="0"/>
          <c:showPercent val="0"/>
          <c:showBubbleSize val="0"/>
        </c:dLbls>
        <c:gapWidth val="100"/>
        <c:overlap val="-24"/>
        <c:axId val="380502048"/>
        <c:axId val="380508608"/>
      </c:barChart>
      <c:catAx>
        <c:axId val="38050204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80508608"/>
        <c:crosses val="autoZero"/>
        <c:auto val="1"/>
        <c:lblAlgn val="ctr"/>
        <c:lblOffset val="100"/>
        <c:noMultiLvlLbl val="0"/>
      </c:catAx>
      <c:valAx>
        <c:axId val="380508608"/>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80502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200" b="0"/>
              <a:t>Employee jobs by sector, Aberdeen  City and Scotland,</a:t>
            </a:r>
            <a:r>
              <a:rPr lang="en-GB" sz="1200" b="0" baseline="0"/>
              <a:t> 2016</a:t>
            </a:r>
            <a:endParaRPr lang="en-GB" sz="1200" b="0"/>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bar"/>
        <c:grouping val="clustered"/>
        <c:varyColors val="0"/>
        <c:ser>
          <c:idx val="0"/>
          <c:order val="0"/>
          <c:tx>
            <c:strRef>
              <c:f>'Employee jobs'!$J$8</c:f>
              <c:strCache>
                <c:ptCount val="1"/>
                <c:pt idx="0">
                  <c:v>Aberdeen City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'Employee jobs'!$I$9:$I$26</c:f>
              <c:strCache>
                <c:ptCount val="18"/>
                <c:pt idx="0">
                  <c:v>Electricity, gas, steam and air conditioning supply</c:v>
                </c:pt>
                <c:pt idx="1">
                  <c:v>Water supply; sewerage, waste management and remediation activities</c:v>
                </c:pt>
                <c:pt idx="2">
                  <c:v>Financial and insurance activities</c:v>
                </c:pt>
                <c:pt idx="3">
                  <c:v>Real estate activities</c:v>
                </c:pt>
                <c:pt idx="4">
                  <c:v>Other service activities</c:v>
                </c:pt>
                <c:pt idx="5">
                  <c:v>Information and communication</c:v>
                </c:pt>
                <c:pt idx="6">
                  <c:v>Arts, entertainment and recreation</c:v>
                </c:pt>
                <c:pt idx="7">
                  <c:v>Construction</c:v>
                </c:pt>
                <c:pt idx="8">
                  <c:v>Public administration and defence; compulsory social security</c:v>
                </c:pt>
                <c:pt idx="9">
                  <c:v>Transportation and storage</c:v>
                </c:pt>
                <c:pt idx="10">
                  <c:v>Education</c:v>
                </c:pt>
                <c:pt idx="11">
                  <c:v>Manufacturing</c:v>
                </c:pt>
                <c:pt idx="12">
                  <c:v>Accommodation and food service activities</c:v>
                </c:pt>
                <c:pt idx="13">
                  <c:v>Administrative and support service activities</c:v>
                </c:pt>
                <c:pt idx="14">
                  <c:v>Wholesale and retail trade; repair of motor vehicles and motorcycles</c:v>
                </c:pt>
                <c:pt idx="15">
                  <c:v>Mining and quarrying</c:v>
                </c:pt>
                <c:pt idx="16">
                  <c:v>Professional, scientific and technical activities</c:v>
                </c:pt>
                <c:pt idx="17">
                  <c:v>Human health and social work activities</c:v>
                </c:pt>
              </c:strCache>
            </c:strRef>
          </c:cat>
          <c:val>
            <c:numRef>
              <c:f>'Employee jobs'!$J$9:$J$26</c:f>
              <c:numCache>
                <c:formatCode>0.0%</c:formatCode>
                <c:ptCount val="18"/>
                <c:pt idx="0">
                  <c:v>2E-3</c:v>
                </c:pt>
                <c:pt idx="1">
                  <c:v>2E-3</c:v>
                </c:pt>
                <c:pt idx="2">
                  <c:v>8.0000000000000002E-3</c:v>
                </c:pt>
                <c:pt idx="3">
                  <c:v>1.3000000000000001E-2</c:v>
                </c:pt>
                <c:pt idx="4">
                  <c:v>1.7000000000000001E-2</c:v>
                </c:pt>
                <c:pt idx="5">
                  <c:v>0.02</c:v>
                </c:pt>
                <c:pt idx="6">
                  <c:v>0.02</c:v>
                </c:pt>
                <c:pt idx="7">
                  <c:v>3.4000000000000002E-2</c:v>
                </c:pt>
                <c:pt idx="8">
                  <c:v>4.4999999999999998E-2</c:v>
                </c:pt>
                <c:pt idx="9">
                  <c:v>5.0999999999999997E-2</c:v>
                </c:pt>
                <c:pt idx="10">
                  <c:v>5.0999999999999997E-2</c:v>
                </c:pt>
                <c:pt idx="11">
                  <c:v>6.2E-2</c:v>
                </c:pt>
                <c:pt idx="12">
                  <c:v>7.2999999999999995E-2</c:v>
                </c:pt>
                <c:pt idx="13">
                  <c:v>7.2999999999999995E-2</c:v>
                </c:pt>
                <c:pt idx="14">
                  <c:v>0.113</c:v>
                </c:pt>
                <c:pt idx="15">
                  <c:v>0.13</c:v>
                </c:pt>
                <c:pt idx="16">
                  <c:v>0.13</c:v>
                </c:pt>
                <c:pt idx="17">
                  <c:v>0.153</c:v>
                </c:pt>
              </c:numCache>
            </c:numRef>
          </c:val>
          <c:extLst>
            <c:ext xmlns:c16="http://schemas.microsoft.com/office/drawing/2014/chart" uri="{C3380CC4-5D6E-409C-BE32-E72D297353CC}">
              <c16:uniqueId val="{00000000-A2C0-4BE0-A6EC-5E90FCE79762}"/>
            </c:ext>
          </c:extLst>
        </c:ser>
        <c:ser>
          <c:idx val="1"/>
          <c:order val="1"/>
          <c:tx>
            <c:strRef>
              <c:f>'Employee jobs'!$K$8</c:f>
              <c:strCache>
                <c:ptCount val="1"/>
                <c:pt idx="0">
                  <c:v>Scotland</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'Employee jobs'!$I$9:$I$26</c:f>
              <c:strCache>
                <c:ptCount val="18"/>
                <c:pt idx="0">
                  <c:v>Electricity, gas, steam and air conditioning supply</c:v>
                </c:pt>
                <c:pt idx="1">
                  <c:v>Water supply; sewerage, waste management and remediation activities</c:v>
                </c:pt>
                <c:pt idx="2">
                  <c:v>Financial and insurance activities</c:v>
                </c:pt>
                <c:pt idx="3">
                  <c:v>Real estate activities</c:v>
                </c:pt>
                <c:pt idx="4">
                  <c:v>Other service activities</c:v>
                </c:pt>
                <c:pt idx="5">
                  <c:v>Information and communication</c:v>
                </c:pt>
                <c:pt idx="6">
                  <c:v>Arts, entertainment and recreation</c:v>
                </c:pt>
                <c:pt idx="7">
                  <c:v>Construction</c:v>
                </c:pt>
                <c:pt idx="8">
                  <c:v>Public administration and defence; compulsory social security</c:v>
                </c:pt>
                <c:pt idx="9">
                  <c:v>Transportation and storage</c:v>
                </c:pt>
                <c:pt idx="10">
                  <c:v>Education</c:v>
                </c:pt>
                <c:pt idx="11">
                  <c:v>Manufacturing</c:v>
                </c:pt>
                <c:pt idx="12">
                  <c:v>Accommodation and food service activities</c:v>
                </c:pt>
                <c:pt idx="13">
                  <c:v>Administrative and support service activities</c:v>
                </c:pt>
                <c:pt idx="14">
                  <c:v>Wholesale and retail trade; repair of motor vehicles and motorcycles</c:v>
                </c:pt>
                <c:pt idx="15">
                  <c:v>Mining and quarrying</c:v>
                </c:pt>
                <c:pt idx="16">
                  <c:v>Professional, scientific and technical activities</c:v>
                </c:pt>
                <c:pt idx="17">
                  <c:v>Human health and social work activities</c:v>
                </c:pt>
              </c:strCache>
            </c:strRef>
          </c:cat>
          <c:val>
            <c:numRef>
              <c:f>'Employee jobs'!$K$9:$K$26</c:f>
              <c:numCache>
                <c:formatCode>0.0%</c:formatCode>
                <c:ptCount val="18"/>
                <c:pt idx="0">
                  <c:v>8.0000000000000002E-3</c:v>
                </c:pt>
                <c:pt idx="1">
                  <c:v>6.9999999999999993E-3</c:v>
                </c:pt>
                <c:pt idx="2">
                  <c:v>3.5000000000000003E-2</c:v>
                </c:pt>
                <c:pt idx="3">
                  <c:v>1.3999999999999999E-2</c:v>
                </c:pt>
                <c:pt idx="4">
                  <c:v>2.1000000000000001E-2</c:v>
                </c:pt>
                <c:pt idx="5">
                  <c:v>0.03</c:v>
                </c:pt>
                <c:pt idx="6">
                  <c:v>3.1E-2</c:v>
                </c:pt>
                <c:pt idx="7">
                  <c:v>5.5E-2</c:v>
                </c:pt>
                <c:pt idx="8">
                  <c:v>6.3E-2</c:v>
                </c:pt>
                <c:pt idx="9">
                  <c:v>4.2999999999999997E-2</c:v>
                </c:pt>
                <c:pt idx="10">
                  <c:v>7.6999999999999999E-2</c:v>
                </c:pt>
                <c:pt idx="11">
                  <c:v>7.2000000000000008E-2</c:v>
                </c:pt>
                <c:pt idx="12">
                  <c:v>7.400000000000001E-2</c:v>
                </c:pt>
                <c:pt idx="13">
                  <c:v>7.4999999999999997E-2</c:v>
                </c:pt>
                <c:pt idx="14">
                  <c:v>0.14499999999999999</c:v>
                </c:pt>
                <c:pt idx="15">
                  <c:v>1.3000000000000001E-2</c:v>
                </c:pt>
                <c:pt idx="16">
                  <c:v>6.9000000000000006E-2</c:v>
                </c:pt>
                <c:pt idx="17">
                  <c:v>0.16500000000000001</c:v>
                </c:pt>
              </c:numCache>
            </c:numRef>
          </c:val>
          <c:extLst>
            <c:ext xmlns:c16="http://schemas.microsoft.com/office/drawing/2014/chart" uri="{C3380CC4-5D6E-409C-BE32-E72D297353CC}">
              <c16:uniqueId val="{00000001-A2C0-4BE0-A6EC-5E90FCE79762}"/>
            </c:ext>
          </c:extLst>
        </c:ser>
        <c:dLbls>
          <c:showLegendKey val="0"/>
          <c:showVal val="0"/>
          <c:showCatName val="0"/>
          <c:showSerName val="0"/>
          <c:showPercent val="0"/>
          <c:showBubbleSize val="0"/>
        </c:dLbls>
        <c:gapWidth val="100"/>
        <c:axId val="611743768"/>
        <c:axId val="611750984"/>
      </c:barChart>
      <c:catAx>
        <c:axId val="61174376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crossAx val="611750984"/>
        <c:crosses val="autoZero"/>
        <c:auto val="1"/>
        <c:lblAlgn val="ctr"/>
        <c:lblOffset val="100"/>
        <c:noMultiLvlLbl val="0"/>
      </c:catAx>
      <c:valAx>
        <c:axId val="611750984"/>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11743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Projections!$G$65</c:f>
              <c:strCache>
                <c:ptCount val="1"/>
                <c:pt idx="0">
                  <c:v>2016</c:v>
                </c:pt>
              </c:strCache>
            </c:strRef>
          </c:tx>
          <c:spPr>
            <a:solidFill>
              <a:schemeClr val="accent1"/>
            </a:solidFill>
            <a:ln>
              <a:noFill/>
            </a:ln>
            <a:effectLst/>
          </c:spPr>
          <c:invertIfNegative val="0"/>
          <c:cat>
            <c:strRef>
              <c:f>Projections!$F$66:$F$72</c:f>
              <c:strCache>
                <c:ptCount val="6"/>
                <c:pt idx="0">
                  <c:v>0 to 15</c:v>
                </c:pt>
                <c:pt idx="1">
                  <c:v>16 to 24</c:v>
                </c:pt>
                <c:pt idx="2">
                  <c:v>25 to 44</c:v>
                </c:pt>
                <c:pt idx="3">
                  <c:v>45 to 64</c:v>
                </c:pt>
                <c:pt idx="4">
                  <c:v>65 to 74</c:v>
                </c:pt>
                <c:pt idx="5">
                  <c:v>75 and over</c:v>
                </c:pt>
              </c:strCache>
            </c:strRef>
          </c:cat>
          <c:val>
            <c:numRef>
              <c:f>Projections!$G$66:$G$72</c:f>
              <c:numCache>
                <c:formatCode>General</c:formatCode>
                <c:ptCount val="6"/>
                <c:pt idx="0">
                  <c:v>34187</c:v>
                </c:pt>
                <c:pt idx="1">
                  <c:v>30991</c:v>
                </c:pt>
                <c:pt idx="2">
                  <c:v>75208</c:v>
                </c:pt>
                <c:pt idx="3">
                  <c:v>54622</c:v>
                </c:pt>
                <c:pt idx="4">
                  <c:v>18738</c:v>
                </c:pt>
                <c:pt idx="5">
                  <c:v>16094</c:v>
                </c:pt>
              </c:numCache>
            </c:numRef>
          </c:val>
          <c:extLst>
            <c:ext xmlns:c16="http://schemas.microsoft.com/office/drawing/2014/chart" uri="{C3380CC4-5D6E-409C-BE32-E72D297353CC}">
              <c16:uniqueId val="{00000000-FF27-408D-8242-325C4F36D7ED}"/>
            </c:ext>
          </c:extLst>
        </c:ser>
        <c:ser>
          <c:idx val="1"/>
          <c:order val="1"/>
          <c:tx>
            <c:strRef>
              <c:f>Projections!$H$65</c:f>
              <c:strCache>
                <c:ptCount val="1"/>
                <c:pt idx="0">
                  <c:v>2026</c:v>
                </c:pt>
              </c:strCache>
            </c:strRef>
          </c:tx>
          <c:spPr>
            <a:solidFill>
              <a:schemeClr val="accent2"/>
            </a:solidFill>
            <a:ln>
              <a:noFill/>
            </a:ln>
            <a:effectLst/>
          </c:spPr>
          <c:invertIfNegative val="0"/>
          <c:cat>
            <c:strRef>
              <c:f>Projections!$F$66:$F$72</c:f>
              <c:strCache>
                <c:ptCount val="6"/>
                <c:pt idx="0">
                  <c:v>0 to 15</c:v>
                </c:pt>
                <c:pt idx="1">
                  <c:v>16 to 24</c:v>
                </c:pt>
                <c:pt idx="2">
                  <c:v>25 to 44</c:v>
                </c:pt>
                <c:pt idx="3">
                  <c:v>45 to 64</c:v>
                </c:pt>
                <c:pt idx="4">
                  <c:v>65 to 74</c:v>
                </c:pt>
                <c:pt idx="5">
                  <c:v>75 and over</c:v>
                </c:pt>
              </c:strCache>
            </c:strRef>
          </c:cat>
          <c:val>
            <c:numRef>
              <c:f>Projections!$H$66:$H$72</c:f>
              <c:numCache>
                <c:formatCode>General</c:formatCode>
                <c:ptCount val="6"/>
                <c:pt idx="0">
                  <c:v>36474</c:v>
                </c:pt>
                <c:pt idx="1">
                  <c:v>27688</c:v>
                </c:pt>
                <c:pt idx="2">
                  <c:v>79588</c:v>
                </c:pt>
                <c:pt idx="3">
                  <c:v>53819</c:v>
                </c:pt>
                <c:pt idx="4">
                  <c:v>21005</c:v>
                </c:pt>
                <c:pt idx="5">
                  <c:v>18595</c:v>
                </c:pt>
              </c:numCache>
            </c:numRef>
          </c:val>
          <c:extLst>
            <c:ext xmlns:c16="http://schemas.microsoft.com/office/drawing/2014/chart" uri="{C3380CC4-5D6E-409C-BE32-E72D297353CC}">
              <c16:uniqueId val="{00000001-FF27-408D-8242-325C4F36D7ED}"/>
            </c:ext>
          </c:extLst>
        </c:ser>
        <c:dLbls>
          <c:showLegendKey val="0"/>
          <c:showVal val="0"/>
          <c:showCatName val="0"/>
          <c:showSerName val="0"/>
          <c:showPercent val="0"/>
          <c:showBubbleSize val="0"/>
        </c:dLbls>
        <c:gapWidth val="219"/>
        <c:overlap val="-27"/>
        <c:axId val="631340528"/>
        <c:axId val="631336920"/>
      </c:barChart>
      <c:lineChart>
        <c:grouping val="standard"/>
        <c:varyColors val="0"/>
        <c:ser>
          <c:idx val="2"/>
          <c:order val="2"/>
          <c:tx>
            <c:strRef>
              <c:f>Projections!$I$65</c:f>
              <c:strCache>
                <c:ptCount val="1"/>
                <c:pt idx="0">
                  <c:v>% change</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Projections!$F$66:$F$72</c:f>
              <c:strCache>
                <c:ptCount val="6"/>
                <c:pt idx="0">
                  <c:v>0 to 15</c:v>
                </c:pt>
                <c:pt idx="1">
                  <c:v>16 to 24</c:v>
                </c:pt>
                <c:pt idx="2">
                  <c:v>25 to 44</c:v>
                </c:pt>
                <c:pt idx="3">
                  <c:v>45 to 64</c:v>
                </c:pt>
                <c:pt idx="4">
                  <c:v>65 to 74</c:v>
                </c:pt>
                <c:pt idx="5">
                  <c:v>75 and over</c:v>
                </c:pt>
              </c:strCache>
            </c:strRef>
          </c:cat>
          <c:val>
            <c:numRef>
              <c:f>Projections!$I$66:$I$72</c:f>
              <c:numCache>
                <c:formatCode>0.0%</c:formatCode>
                <c:ptCount val="6"/>
                <c:pt idx="0">
                  <c:v>6.7000000000000004E-2</c:v>
                </c:pt>
                <c:pt idx="1">
                  <c:v>-0.107</c:v>
                </c:pt>
                <c:pt idx="2">
                  <c:v>5.7999999999999996E-2</c:v>
                </c:pt>
                <c:pt idx="3">
                  <c:v>-1.4999999999999999E-2</c:v>
                </c:pt>
                <c:pt idx="4">
                  <c:v>0.121</c:v>
                </c:pt>
                <c:pt idx="5">
                  <c:v>0.155</c:v>
                </c:pt>
              </c:numCache>
            </c:numRef>
          </c:val>
          <c:smooth val="0"/>
          <c:extLst>
            <c:ext xmlns:c16="http://schemas.microsoft.com/office/drawing/2014/chart" uri="{C3380CC4-5D6E-409C-BE32-E72D297353CC}">
              <c16:uniqueId val="{00000002-FF27-408D-8242-325C4F36D7ED}"/>
            </c:ext>
          </c:extLst>
        </c:ser>
        <c:dLbls>
          <c:showLegendKey val="0"/>
          <c:showVal val="0"/>
          <c:showCatName val="0"/>
          <c:showSerName val="0"/>
          <c:showPercent val="0"/>
          <c:showBubbleSize val="0"/>
        </c:dLbls>
        <c:marker val="1"/>
        <c:smooth val="0"/>
        <c:axId val="631340856"/>
        <c:axId val="631332328"/>
      </c:lineChart>
      <c:catAx>
        <c:axId val="631340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31336920"/>
        <c:crosses val="autoZero"/>
        <c:auto val="1"/>
        <c:lblAlgn val="ctr"/>
        <c:lblOffset val="100"/>
        <c:noMultiLvlLbl val="0"/>
      </c:catAx>
      <c:valAx>
        <c:axId val="631336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GB"/>
                  <a:t>Number of people</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31340528"/>
        <c:crosses val="autoZero"/>
        <c:crossBetween val="between"/>
      </c:valAx>
      <c:valAx>
        <c:axId val="631332328"/>
        <c:scaling>
          <c:orientation val="minMax"/>
        </c:scaling>
        <c:delete val="0"/>
        <c:axPos val="r"/>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GB"/>
                  <a:t>Percentage change</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31340856"/>
        <c:crosses val="max"/>
        <c:crossBetween val="between"/>
      </c:valAx>
      <c:catAx>
        <c:axId val="631340856"/>
        <c:scaling>
          <c:orientation val="minMax"/>
        </c:scaling>
        <c:delete val="1"/>
        <c:axPos val="b"/>
        <c:numFmt formatCode="General" sourceLinked="1"/>
        <c:majorTickMark val="none"/>
        <c:minorTickMark val="none"/>
        <c:tickLblPos val="nextTo"/>
        <c:crossAx val="631332328"/>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200" b="0"/>
              <a:t>Employment by occupation, Aberdeem City and Scotland, 2017</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bar"/>
        <c:grouping val="clustered"/>
        <c:varyColors val="0"/>
        <c:ser>
          <c:idx val="0"/>
          <c:order val="0"/>
          <c:tx>
            <c:strRef>
              <c:f>Sheet7!$J$2</c:f>
              <c:strCache>
                <c:ptCount val="1"/>
                <c:pt idx="0">
                  <c:v>Aberdeen City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029-47F5-9183-68680DED5EFB}"/>
                </c:ext>
              </c:extLst>
            </c:dLbl>
            <c:dLbl>
              <c:idx val="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029-47F5-9183-68680DED5EFB}"/>
                </c:ext>
              </c:extLst>
            </c:dLbl>
            <c:dLbl>
              <c:idx val="2"/>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029-47F5-9183-68680DED5EFB}"/>
                </c:ext>
              </c:extLst>
            </c:dLbl>
            <c:dLbl>
              <c:idx val="3"/>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029-47F5-9183-68680DED5EFB}"/>
                </c:ext>
              </c:extLst>
            </c:dLbl>
            <c:dLbl>
              <c:idx val="4"/>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029-47F5-9183-68680DED5EFB}"/>
                </c:ext>
              </c:extLst>
            </c:dLbl>
            <c:dLbl>
              <c:idx val="5"/>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029-47F5-9183-68680DED5EFB}"/>
                </c:ext>
              </c:extLst>
            </c:dLbl>
            <c:dLbl>
              <c:idx val="6"/>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029-47F5-9183-68680DED5EFB}"/>
                </c:ext>
              </c:extLst>
            </c:dLbl>
            <c:dLbl>
              <c:idx val="7"/>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029-47F5-9183-68680DED5EFB}"/>
                </c:ext>
              </c:extLst>
            </c:dLbl>
            <c:dLbl>
              <c:idx val="8"/>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029-47F5-9183-68680DED5EF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Sheet7!$I$3:$I$11</c:f>
              <c:strCache>
                <c:ptCount val="9"/>
                <c:pt idx="0">
                  <c:v>Managers, directors and senior officials</c:v>
                </c:pt>
                <c:pt idx="1">
                  <c:v>Professional occupations</c:v>
                </c:pt>
                <c:pt idx="2">
                  <c:v>Associate professional &amp; technical</c:v>
                </c:pt>
                <c:pt idx="3">
                  <c:v>Administrative &amp; secretarial</c:v>
                </c:pt>
                <c:pt idx="4">
                  <c:v>Skilled trades occupations</c:v>
                </c:pt>
                <c:pt idx="5">
                  <c:v>Caring, leisure and Other Service occupations</c:v>
                </c:pt>
                <c:pt idx="6">
                  <c:v>Sales and customer service occs</c:v>
                </c:pt>
                <c:pt idx="7">
                  <c:v>Process plant &amp; machine operatives</c:v>
                </c:pt>
                <c:pt idx="8">
                  <c:v>Elementary occupations</c:v>
                </c:pt>
              </c:strCache>
            </c:strRef>
          </c:cat>
          <c:val>
            <c:numRef>
              <c:f>Sheet7!$J$3:$J$11</c:f>
              <c:numCache>
                <c:formatCode>0.0%</c:formatCode>
                <c:ptCount val="9"/>
                <c:pt idx="0">
                  <c:v>5.9000000000000004E-2</c:v>
                </c:pt>
                <c:pt idx="1">
                  <c:v>0.26899999999999996</c:v>
                </c:pt>
                <c:pt idx="2">
                  <c:v>0.13800000000000001</c:v>
                </c:pt>
                <c:pt idx="3">
                  <c:v>0.128</c:v>
                </c:pt>
                <c:pt idx="4">
                  <c:v>7.8E-2</c:v>
                </c:pt>
                <c:pt idx="5">
                  <c:v>0.114</c:v>
                </c:pt>
                <c:pt idx="6">
                  <c:v>5.5E-2</c:v>
                </c:pt>
                <c:pt idx="7">
                  <c:v>0.05</c:v>
                </c:pt>
                <c:pt idx="8">
                  <c:v>0.10800000000000001</c:v>
                </c:pt>
              </c:numCache>
            </c:numRef>
          </c:val>
          <c:extLst>
            <c:ext xmlns:c16="http://schemas.microsoft.com/office/drawing/2014/chart" uri="{C3380CC4-5D6E-409C-BE32-E72D297353CC}">
              <c16:uniqueId val="{00000000-1029-47F5-9183-68680DED5EFB}"/>
            </c:ext>
          </c:extLst>
        </c:ser>
        <c:ser>
          <c:idx val="1"/>
          <c:order val="1"/>
          <c:tx>
            <c:strRef>
              <c:f>Sheet7!$K$2</c:f>
              <c:strCache>
                <c:ptCount val="1"/>
                <c:pt idx="0">
                  <c:v>Scotland</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Sheet7!$I$3:$I$11</c:f>
              <c:strCache>
                <c:ptCount val="9"/>
                <c:pt idx="0">
                  <c:v>Managers, directors and senior officials</c:v>
                </c:pt>
                <c:pt idx="1">
                  <c:v>Professional occupations</c:v>
                </c:pt>
                <c:pt idx="2">
                  <c:v>Associate professional &amp; technical</c:v>
                </c:pt>
                <c:pt idx="3">
                  <c:v>Administrative &amp; secretarial</c:v>
                </c:pt>
                <c:pt idx="4">
                  <c:v>Skilled trades occupations</c:v>
                </c:pt>
                <c:pt idx="5">
                  <c:v>Caring, leisure and Other Service occupations</c:v>
                </c:pt>
                <c:pt idx="6">
                  <c:v>Sales and customer service occs</c:v>
                </c:pt>
                <c:pt idx="7">
                  <c:v>Process plant &amp; machine operatives</c:v>
                </c:pt>
                <c:pt idx="8">
                  <c:v>Elementary occupations</c:v>
                </c:pt>
              </c:strCache>
            </c:strRef>
          </c:cat>
          <c:val>
            <c:numRef>
              <c:f>Sheet7!$K$3:$K$11</c:f>
              <c:numCache>
                <c:formatCode>0.0%</c:formatCode>
                <c:ptCount val="9"/>
                <c:pt idx="0">
                  <c:v>8.5000000000000006E-2</c:v>
                </c:pt>
                <c:pt idx="1">
                  <c:v>0.20699999999999999</c:v>
                </c:pt>
                <c:pt idx="2">
                  <c:v>0.13600000000000001</c:v>
                </c:pt>
                <c:pt idx="3">
                  <c:v>0.10199999999999999</c:v>
                </c:pt>
                <c:pt idx="4">
                  <c:v>0.109</c:v>
                </c:pt>
                <c:pt idx="5">
                  <c:v>9.8000000000000004E-2</c:v>
                </c:pt>
                <c:pt idx="6">
                  <c:v>8.199999999999999E-2</c:v>
                </c:pt>
                <c:pt idx="7">
                  <c:v>6.6000000000000003E-2</c:v>
                </c:pt>
                <c:pt idx="8">
                  <c:v>0.11</c:v>
                </c:pt>
              </c:numCache>
            </c:numRef>
          </c:val>
          <c:extLst>
            <c:ext xmlns:c16="http://schemas.microsoft.com/office/drawing/2014/chart" uri="{C3380CC4-5D6E-409C-BE32-E72D297353CC}">
              <c16:uniqueId val="{00000001-1029-47F5-9183-68680DED5EFB}"/>
            </c:ext>
          </c:extLst>
        </c:ser>
        <c:dLbls>
          <c:showLegendKey val="0"/>
          <c:showVal val="0"/>
          <c:showCatName val="0"/>
          <c:showSerName val="0"/>
          <c:showPercent val="0"/>
          <c:showBubbleSize val="0"/>
        </c:dLbls>
        <c:gapWidth val="100"/>
        <c:axId val="611836608"/>
        <c:axId val="611837264"/>
      </c:barChart>
      <c:catAx>
        <c:axId val="61183660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crossAx val="611837264"/>
        <c:crosses val="autoZero"/>
        <c:auto val="1"/>
        <c:lblAlgn val="ctr"/>
        <c:lblOffset val="100"/>
        <c:noMultiLvlLbl val="0"/>
      </c:catAx>
      <c:valAx>
        <c:axId val="611837264"/>
        <c:scaling>
          <c:orientation val="minMax"/>
        </c:scaling>
        <c:delete val="0"/>
        <c:axPos val="b"/>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1183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a:t>Qualification</a:t>
            </a:r>
            <a:r>
              <a:rPr lang="en-GB" sz="1200" baseline="0"/>
              <a:t> levels</a:t>
            </a:r>
            <a:r>
              <a:rPr lang="en-GB" sz="1200"/>
              <a:t>, Aberdeen City and Scotland, 2017</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Sheet8!$J$4</c:f>
              <c:strCache>
                <c:ptCount val="1"/>
                <c:pt idx="0">
                  <c:v>Aberdeen City</c:v>
                </c:pt>
              </c:strCache>
            </c:strRef>
          </c:tx>
          <c:spPr>
            <a:solidFill>
              <a:schemeClr val="accent1"/>
            </a:solidFill>
            <a:ln>
              <a:noFill/>
            </a:ln>
            <a:effectLst/>
          </c:spPr>
          <c:invertIfNegative val="0"/>
          <c:dLbls>
            <c:dLbl>
              <c:idx val="2"/>
              <c:layout>
                <c:manualLayout>
                  <c:x val="-1.9444444444444497E-2"/>
                  <c:y val="-2.1218890680033321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DAD-484A-916E-ACC89EB953FB}"/>
                </c:ext>
              </c:extLst>
            </c:dLbl>
            <c:dLbl>
              <c:idx val="3"/>
              <c:layout>
                <c:manualLayout>
                  <c:x val="-1.9444444444444545E-2"/>
                  <c:y val="-1.388888888888891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DAD-484A-916E-ACC89EB953F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Sheet8!$I$5:$I$10</c:f>
              <c:strCache>
                <c:ptCount val="6"/>
                <c:pt idx="0">
                  <c:v>NVQ4 and above</c:v>
                </c:pt>
                <c:pt idx="1">
                  <c:v>NVQ3 and above</c:v>
                </c:pt>
                <c:pt idx="2">
                  <c:v>NVQ2 and above</c:v>
                </c:pt>
                <c:pt idx="3">
                  <c:v>NVQ1 and above</c:v>
                </c:pt>
                <c:pt idx="4">
                  <c:v>Other qualifications</c:v>
                </c:pt>
                <c:pt idx="5">
                  <c:v>No qualifications</c:v>
                </c:pt>
              </c:strCache>
            </c:strRef>
          </c:cat>
          <c:val>
            <c:numRef>
              <c:f>Sheet8!$J$5:$J$10</c:f>
              <c:numCache>
                <c:formatCode>0.0%</c:formatCode>
                <c:ptCount val="6"/>
                <c:pt idx="0">
                  <c:v>0.51700000000000002</c:v>
                </c:pt>
                <c:pt idx="1">
                  <c:v>0.64599999999999991</c:v>
                </c:pt>
                <c:pt idx="2">
                  <c:v>0.752</c:v>
                </c:pt>
                <c:pt idx="3">
                  <c:v>0.84900000000000009</c:v>
                </c:pt>
                <c:pt idx="4">
                  <c:v>8.8000000000000009E-2</c:v>
                </c:pt>
                <c:pt idx="5">
                  <c:v>6.3E-2</c:v>
                </c:pt>
              </c:numCache>
            </c:numRef>
          </c:val>
          <c:extLst>
            <c:ext xmlns:c16="http://schemas.microsoft.com/office/drawing/2014/chart" uri="{C3380CC4-5D6E-409C-BE32-E72D297353CC}">
              <c16:uniqueId val="{00000002-1DAD-484A-916E-ACC89EB953FB}"/>
            </c:ext>
          </c:extLst>
        </c:ser>
        <c:ser>
          <c:idx val="1"/>
          <c:order val="1"/>
          <c:tx>
            <c:strRef>
              <c:f>Sheet8!$K$4</c:f>
              <c:strCache>
                <c:ptCount val="1"/>
                <c:pt idx="0">
                  <c:v>Scotland</c:v>
                </c:pt>
              </c:strCache>
            </c:strRef>
          </c:tx>
          <c:spPr>
            <a:solidFill>
              <a:schemeClr val="accent2"/>
            </a:solidFill>
            <a:ln>
              <a:noFill/>
            </a:ln>
            <a:effectLst/>
          </c:spPr>
          <c:invertIfNegative val="0"/>
          <c:dLbls>
            <c:dLbl>
              <c:idx val="0"/>
              <c:layout>
                <c:manualLayout>
                  <c:x val="1.3888888888888888E-2"/>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DAD-484A-916E-ACC89EB953FB}"/>
                </c:ext>
              </c:extLst>
            </c:dLbl>
            <c:dLbl>
              <c:idx val="1"/>
              <c:layout>
                <c:manualLayout>
                  <c:x val="1.9444444444444445E-2"/>
                  <c:y val="9.259259259259217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DAD-484A-916E-ACC89EB953FB}"/>
                </c:ext>
              </c:extLst>
            </c:dLbl>
            <c:dLbl>
              <c:idx val="2"/>
              <c:layout>
                <c:manualLayout>
                  <c:x val="1.3888888888888888E-2"/>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DAD-484A-916E-ACC89EB953FB}"/>
                </c:ext>
              </c:extLst>
            </c:dLbl>
            <c:dLbl>
              <c:idx val="3"/>
              <c:layout>
                <c:manualLayout>
                  <c:x val="2.5000000000000001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DAD-484A-916E-ACC89EB953FB}"/>
                </c:ext>
              </c:extLst>
            </c:dLbl>
            <c:dLbl>
              <c:idx val="4"/>
              <c:layout>
                <c:manualLayout>
                  <c:x val="1.388888888888899E-2"/>
                  <c:y val="8.487556272013328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DAD-484A-916E-ACC89EB953FB}"/>
                </c:ext>
              </c:extLst>
            </c:dLbl>
            <c:dLbl>
              <c:idx val="5"/>
              <c:layout>
                <c:manualLayout>
                  <c:x val="1.1111111111111112E-2"/>
                  <c:y val="-2.31481481481482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DAD-484A-916E-ACC89EB953F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Sheet8!$I$5:$I$10</c:f>
              <c:strCache>
                <c:ptCount val="6"/>
                <c:pt idx="0">
                  <c:v>NVQ4 and above</c:v>
                </c:pt>
                <c:pt idx="1">
                  <c:v>NVQ3 and above</c:v>
                </c:pt>
                <c:pt idx="2">
                  <c:v>NVQ2 and above</c:v>
                </c:pt>
                <c:pt idx="3">
                  <c:v>NVQ1 and above</c:v>
                </c:pt>
                <c:pt idx="4">
                  <c:v>Other qualifications</c:v>
                </c:pt>
                <c:pt idx="5">
                  <c:v>No qualifications</c:v>
                </c:pt>
              </c:strCache>
            </c:strRef>
          </c:cat>
          <c:val>
            <c:numRef>
              <c:f>Sheet8!$K$5:$K$10</c:f>
              <c:numCache>
                <c:formatCode>0.0%</c:formatCode>
                <c:ptCount val="6"/>
                <c:pt idx="0">
                  <c:v>0.439</c:v>
                </c:pt>
                <c:pt idx="1">
                  <c:v>0.59799999999999998</c:v>
                </c:pt>
                <c:pt idx="2">
                  <c:v>0.75900000000000001</c:v>
                </c:pt>
                <c:pt idx="3">
                  <c:v>0.84900000000000009</c:v>
                </c:pt>
                <c:pt idx="4">
                  <c:v>6.4000000000000001E-2</c:v>
                </c:pt>
                <c:pt idx="5">
                  <c:v>8.6999999999999994E-2</c:v>
                </c:pt>
              </c:numCache>
            </c:numRef>
          </c:val>
          <c:extLst>
            <c:ext xmlns:c16="http://schemas.microsoft.com/office/drawing/2014/chart" uri="{C3380CC4-5D6E-409C-BE32-E72D297353CC}">
              <c16:uniqueId val="{00000009-1DAD-484A-916E-ACC89EB953FB}"/>
            </c:ext>
          </c:extLst>
        </c:ser>
        <c:dLbls>
          <c:dLblPos val="outEnd"/>
          <c:showLegendKey val="0"/>
          <c:showVal val="1"/>
          <c:showCatName val="0"/>
          <c:showSerName val="0"/>
          <c:showPercent val="0"/>
          <c:showBubbleSize val="0"/>
        </c:dLbls>
        <c:gapWidth val="219"/>
        <c:overlap val="-27"/>
        <c:axId val="561106544"/>
        <c:axId val="561103264"/>
      </c:barChart>
      <c:catAx>
        <c:axId val="561106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1103264"/>
        <c:crosses val="autoZero"/>
        <c:auto val="1"/>
        <c:lblAlgn val="ctr"/>
        <c:lblOffset val="100"/>
        <c:noMultiLvlLbl val="0"/>
      </c:catAx>
      <c:valAx>
        <c:axId val="5611032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1106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Sheet2!$A$9</c:f>
              <c:strCache>
                <c:ptCount val="1"/>
                <c:pt idx="0">
                  <c:v>0-20%</c:v>
                </c:pt>
              </c:strCache>
            </c:strRef>
          </c:tx>
          <c:spPr>
            <a:solidFill>
              <a:schemeClr val="accent1"/>
            </a:solidFill>
            <a:ln>
              <a:noFill/>
            </a:ln>
            <a:effectLst/>
          </c:spPr>
          <c:invertIfNegative val="0"/>
          <c:dLbls>
            <c:dLbl>
              <c:idx val="4"/>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4D9-49A3-B15F-73BB01F1B23E}"/>
                </c:ext>
              </c:extLst>
            </c:dLbl>
            <c:dLbl>
              <c:idx val="6"/>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DB9-44F0-9259-6FFA029EA0F0}"/>
                </c:ext>
              </c:extLst>
            </c:dLbl>
            <c:dLbl>
              <c:idx val="7"/>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DB9-44F0-9259-6FFA029EA0F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Sheet2!$B$8:$I$8</c:f>
              <c:strCache>
                <c:ptCount val="8"/>
                <c:pt idx="0">
                  <c:v>All Domains</c:v>
                </c:pt>
                <c:pt idx="1">
                  <c:v>Income</c:v>
                </c:pt>
                <c:pt idx="2">
                  <c:v>Employment</c:v>
                </c:pt>
                <c:pt idx="3">
                  <c:v>Health</c:v>
                </c:pt>
                <c:pt idx="4">
                  <c:v>Education, Skills &amp; Training</c:v>
                </c:pt>
                <c:pt idx="5">
                  <c:v>Access to services</c:v>
                </c:pt>
                <c:pt idx="6">
                  <c:v>Crime</c:v>
                </c:pt>
                <c:pt idx="7">
                  <c:v>Housing</c:v>
                </c:pt>
              </c:strCache>
            </c:strRef>
          </c:cat>
          <c:val>
            <c:numRef>
              <c:f>Sheet2!$B$9:$I$9</c:f>
              <c:numCache>
                <c:formatCode>General</c:formatCode>
                <c:ptCount val="8"/>
                <c:pt idx="0">
                  <c:v>22</c:v>
                </c:pt>
                <c:pt idx="1">
                  <c:v>19</c:v>
                </c:pt>
                <c:pt idx="2">
                  <c:v>8</c:v>
                </c:pt>
                <c:pt idx="3">
                  <c:v>33</c:v>
                </c:pt>
                <c:pt idx="4">
                  <c:v>67</c:v>
                </c:pt>
                <c:pt idx="5">
                  <c:v>21</c:v>
                </c:pt>
                <c:pt idx="6">
                  <c:v>73</c:v>
                </c:pt>
                <c:pt idx="7">
                  <c:v>98</c:v>
                </c:pt>
              </c:numCache>
            </c:numRef>
          </c:val>
          <c:extLst>
            <c:ext xmlns:c16="http://schemas.microsoft.com/office/drawing/2014/chart" uri="{C3380CC4-5D6E-409C-BE32-E72D297353CC}">
              <c16:uniqueId val="{00000000-FDB9-44F0-9259-6FFA029EA0F0}"/>
            </c:ext>
          </c:extLst>
        </c:ser>
        <c:ser>
          <c:idx val="1"/>
          <c:order val="1"/>
          <c:tx>
            <c:strRef>
              <c:f>Sheet2!$A$10</c:f>
              <c:strCache>
                <c:ptCount val="1"/>
                <c:pt idx="0">
                  <c:v>20-40%</c:v>
                </c:pt>
              </c:strCache>
            </c:strRef>
          </c:tx>
          <c:spPr>
            <a:solidFill>
              <a:schemeClr val="accent2"/>
            </a:solidFill>
            <a:ln>
              <a:noFill/>
            </a:ln>
            <a:effectLst/>
          </c:spPr>
          <c:invertIfNegative val="0"/>
          <c:cat>
            <c:strRef>
              <c:f>Sheet2!$B$8:$I$8</c:f>
              <c:strCache>
                <c:ptCount val="8"/>
                <c:pt idx="0">
                  <c:v>All Domains</c:v>
                </c:pt>
                <c:pt idx="1">
                  <c:v>Income</c:v>
                </c:pt>
                <c:pt idx="2">
                  <c:v>Employment</c:v>
                </c:pt>
                <c:pt idx="3">
                  <c:v>Health</c:v>
                </c:pt>
                <c:pt idx="4">
                  <c:v>Education, Skills &amp; Training</c:v>
                </c:pt>
                <c:pt idx="5">
                  <c:v>Access to services</c:v>
                </c:pt>
                <c:pt idx="6">
                  <c:v>Crime</c:v>
                </c:pt>
                <c:pt idx="7">
                  <c:v>Housing</c:v>
                </c:pt>
              </c:strCache>
            </c:strRef>
          </c:cat>
          <c:val>
            <c:numRef>
              <c:f>Sheet2!$B$10:$I$10</c:f>
              <c:numCache>
                <c:formatCode>General</c:formatCode>
                <c:ptCount val="8"/>
                <c:pt idx="0">
                  <c:v>57</c:v>
                </c:pt>
                <c:pt idx="1">
                  <c:v>45</c:v>
                </c:pt>
                <c:pt idx="2">
                  <c:v>46</c:v>
                </c:pt>
                <c:pt idx="3">
                  <c:v>56</c:v>
                </c:pt>
                <c:pt idx="4">
                  <c:v>52</c:v>
                </c:pt>
                <c:pt idx="5">
                  <c:v>51</c:v>
                </c:pt>
                <c:pt idx="6">
                  <c:v>55</c:v>
                </c:pt>
                <c:pt idx="7">
                  <c:v>60</c:v>
                </c:pt>
              </c:numCache>
            </c:numRef>
          </c:val>
          <c:extLst>
            <c:ext xmlns:c16="http://schemas.microsoft.com/office/drawing/2014/chart" uri="{C3380CC4-5D6E-409C-BE32-E72D297353CC}">
              <c16:uniqueId val="{00000001-FDB9-44F0-9259-6FFA029EA0F0}"/>
            </c:ext>
          </c:extLst>
        </c:ser>
        <c:ser>
          <c:idx val="2"/>
          <c:order val="2"/>
          <c:tx>
            <c:strRef>
              <c:f>Sheet2!$A$11</c:f>
              <c:strCache>
                <c:ptCount val="1"/>
                <c:pt idx="0">
                  <c:v>40-60%</c:v>
                </c:pt>
              </c:strCache>
            </c:strRef>
          </c:tx>
          <c:spPr>
            <a:solidFill>
              <a:schemeClr val="accent3"/>
            </a:solidFill>
            <a:ln>
              <a:noFill/>
            </a:ln>
            <a:effectLst/>
          </c:spPr>
          <c:invertIfNegative val="0"/>
          <c:cat>
            <c:strRef>
              <c:f>Sheet2!$B$8:$I$8</c:f>
              <c:strCache>
                <c:ptCount val="8"/>
                <c:pt idx="0">
                  <c:v>All Domains</c:v>
                </c:pt>
                <c:pt idx="1">
                  <c:v>Income</c:v>
                </c:pt>
                <c:pt idx="2">
                  <c:v>Employment</c:v>
                </c:pt>
                <c:pt idx="3">
                  <c:v>Health</c:v>
                </c:pt>
                <c:pt idx="4">
                  <c:v>Education, Skills &amp; Training</c:v>
                </c:pt>
                <c:pt idx="5">
                  <c:v>Access to services</c:v>
                </c:pt>
                <c:pt idx="6">
                  <c:v>Crime</c:v>
                </c:pt>
                <c:pt idx="7">
                  <c:v>Housing</c:v>
                </c:pt>
              </c:strCache>
            </c:strRef>
          </c:cat>
          <c:val>
            <c:numRef>
              <c:f>Sheet2!$B$11:$I$11</c:f>
              <c:numCache>
                <c:formatCode>General</c:formatCode>
                <c:ptCount val="8"/>
                <c:pt idx="0">
                  <c:v>45</c:v>
                </c:pt>
                <c:pt idx="1">
                  <c:v>58</c:v>
                </c:pt>
                <c:pt idx="2">
                  <c:v>63</c:v>
                </c:pt>
                <c:pt idx="3">
                  <c:v>52</c:v>
                </c:pt>
                <c:pt idx="4">
                  <c:v>39</c:v>
                </c:pt>
                <c:pt idx="5">
                  <c:v>48</c:v>
                </c:pt>
                <c:pt idx="6">
                  <c:v>50</c:v>
                </c:pt>
                <c:pt idx="7">
                  <c:v>35</c:v>
                </c:pt>
              </c:numCache>
            </c:numRef>
          </c:val>
          <c:extLst>
            <c:ext xmlns:c16="http://schemas.microsoft.com/office/drawing/2014/chart" uri="{C3380CC4-5D6E-409C-BE32-E72D297353CC}">
              <c16:uniqueId val="{00000002-FDB9-44F0-9259-6FFA029EA0F0}"/>
            </c:ext>
          </c:extLst>
        </c:ser>
        <c:ser>
          <c:idx val="3"/>
          <c:order val="3"/>
          <c:tx>
            <c:strRef>
              <c:f>Sheet2!$A$12</c:f>
              <c:strCache>
                <c:ptCount val="1"/>
                <c:pt idx="0">
                  <c:v>60-80%</c:v>
                </c:pt>
              </c:strCache>
            </c:strRef>
          </c:tx>
          <c:spPr>
            <a:solidFill>
              <a:schemeClr val="accent4"/>
            </a:solidFill>
            <a:ln>
              <a:noFill/>
            </a:ln>
            <a:effectLst/>
          </c:spPr>
          <c:invertIfNegative val="0"/>
          <c:cat>
            <c:strRef>
              <c:f>Sheet2!$B$8:$I$8</c:f>
              <c:strCache>
                <c:ptCount val="8"/>
                <c:pt idx="0">
                  <c:v>All Domains</c:v>
                </c:pt>
                <c:pt idx="1">
                  <c:v>Income</c:v>
                </c:pt>
                <c:pt idx="2">
                  <c:v>Employment</c:v>
                </c:pt>
                <c:pt idx="3">
                  <c:v>Health</c:v>
                </c:pt>
                <c:pt idx="4">
                  <c:v>Education, Skills &amp; Training</c:v>
                </c:pt>
                <c:pt idx="5">
                  <c:v>Access to services</c:v>
                </c:pt>
                <c:pt idx="6">
                  <c:v>Crime</c:v>
                </c:pt>
                <c:pt idx="7">
                  <c:v>Housing</c:v>
                </c:pt>
              </c:strCache>
            </c:strRef>
          </c:cat>
          <c:val>
            <c:numRef>
              <c:f>Sheet2!$B$12:$I$12</c:f>
              <c:numCache>
                <c:formatCode>General</c:formatCode>
                <c:ptCount val="8"/>
                <c:pt idx="0">
                  <c:v>46</c:v>
                </c:pt>
                <c:pt idx="1">
                  <c:v>53</c:v>
                </c:pt>
                <c:pt idx="2">
                  <c:v>45</c:v>
                </c:pt>
                <c:pt idx="3">
                  <c:v>50</c:v>
                </c:pt>
                <c:pt idx="4">
                  <c:v>47</c:v>
                </c:pt>
                <c:pt idx="5">
                  <c:v>71</c:v>
                </c:pt>
                <c:pt idx="6">
                  <c:v>56</c:v>
                </c:pt>
                <c:pt idx="7">
                  <c:v>35</c:v>
                </c:pt>
              </c:numCache>
            </c:numRef>
          </c:val>
          <c:extLst>
            <c:ext xmlns:c16="http://schemas.microsoft.com/office/drawing/2014/chart" uri="{C3380CC4-5D6E-409C-BE32-E72D297353CC}">
              <c16:uniqueId val="{00000003-FDB9-44F0-9259-6FFA029EA0F0}"/>
            </c:ext>
          </c:extLst>
        </c:ser>
        <c:ser>
          <c:idx val="4"/>
          <c:order val="4"/>
          <c:tx>
            <c:strRef>
              <c:f>Sheet2!$A$13</c:f>
              <c:strCache>
                <c:ptCount val="1"/>
                <c:pt idx="0">
                  <c:v>80-100%</c:v>
                </c:pt>
              </c:strCache>
            </c:strRef>
          </c:tx>
          <c:spPr>
            <a:solidFill>
              <a:schemeClr val="accent5"/>
            </a:solidFill>
            <a:ln>
              <a:noFill/>
            </a:ln>
            <a:effectLst/>
          </c:spPr>
          <c:invertIfNegative val="0"/>
          <c:cat>
            <c:strRef>
              <c:f>Sheet2!$B$8:$I$8</c:f>
              <c:strCache>
                <c:ptCount val="8"/>
                <c:pt idx="0">
                  <c:v>All Domains</c:v>
                </c:pt>
                <c:pt idx="1">
                  <c:v>Income</c:v>
                </c:pt>
                <c:pt idx="2">
                  <c:v>Employment</c:v>
                </c:pt>
                <c:pt idx="3">
                  <c:v>Health</c:v>
                </c:pt>
                <c:pt idx="4">
                  <c:v>Education, Skills &amp; Training</c:v>
                </c:pt>
                <c:pt idx="5">
                  <c:v>Access to services</c:v>
                </c:pt>
                <c:pt idx="6">
                  <c:v>Crime</c:v>
                </c:pt>
                <c:pt idx="7">
                  <c:v>Housing</c:v>
                </c:pt>
              </c:strCache>
            </c:strRef>
          </c:cat>
          <c:val>
            <c:numRef>
              <c:f>Sheet2!$B$13:$I$13</c:f>
              <c:numCache>
                <c:formatCode>General</c:formatCode>
                <c:ptCount val="8"/>
                <c:pt idx="0">
                  <c:v>113</c:v>
                </c:pt>
                <c:pt idx="1">
                  <c:v>108</c:v>
                </c:pt>
                <c:pt idx="2">
                  <c:v>121</c:v>
                </c:pt>
                <c:pt idx="3">
                  <c:v>92</c:v>
                </c:pt>
                <c:pt idx="4">
                  <c:v>78</c:v>
                </c:pt>
                <c:pt idx="5">
                  <c:v>92</c:v>
                </c:pt>
                <c:pt idx="6">
                  <c:v>49</c:v>
                </c:pt>
                <c:pt idx="7">
                  <c:v>55</c:v>
                </c:pt>
              </c:numCache>
            </c:numRef>
          </c:val>
          <c:extLst>
            <c:ext xmlns:c16="http://schemas.microsoft.com/office/drawing/2014/chart" uri="{C3380CC4-5D6E-409C-BE32-E72D297353CC}">
              <c16:uniqueId val="{00000004-FDB9-44F0-9259-6FFA029EA0F0}"/>
            </c:ext>
          </c:extLst>
        </c:ser>
        <c:dLbls>
          <c:showLegendKey val="0"/>
          <c:showVal val="0"/>
          <c:showCatName val="0"/>
          <c:showSerName val="0"/>
          <c:showPercent val="0"/>
          <c:showBubbleSize val="0"/>
        </c:dLbls>
        <c:gapWidth val="219"/>
        <c:overlap val="-27"/>
        <c:axId val="415670536"/>
        <c:axId val="700785696"/>
      </c:barChart>
      <c:catAx>
        <c:axId val="415670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00785696"/>
        <c:crosses val="autoZero"/>
        <c:auto val="1"/>
        <c:lblAlgn val="ctr"/>
        <c:lblOffset val="100"/>
        <c:noMultiLvlLbl val="0"/>
      </c:catAx>
      <c:valAx>
        <c:axId val="700785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data zones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5670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People in relative povery in working households by age group, Scotland, 1998-2001 to 2014-17</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'In-work poverty'!$B$27</c:f>
              <c:strCache>
                <c:ptCount val="1"/>
                <c:pt idx="0">
                  <c:v>All</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6"/>
              <c:layout>
                <c:manualLayout>
                  <c:x val="-2.4644070028880798E-2"/>
                  <c:y val="3.34610828513692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507-45E6-B4B4-032E605CF8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'In-work poverty'!$A$28:$A$44</c:f>
              <c:strCache>
                <c:ptCount val="17"/>
                <c:pt idx="0">
                  <c:v>1998-01</c:v>
                </c:pt>
                <c:pt idx="1">
                  <c:v>1999-02</c:v>
                </c:pt>
                <c:pt idx="2">
                  <c:v>2000-03</c:v>
                </c:pt>
                <c:pt idx="3">
                  <c:v>2001-04</c:v>
                </c:pt>
                <c:pt idx="4">
                  <c:v>2002-05</c:v>
                </c:pt>
                <c:pt idx="5">
                  <c:v>2003-06</c:v>
                </c:pt>
                <c:pt idx="6">
                  <c:v>2004-07</c:v>
                </c:pt>
                <c:pt idx="7">
                  <c:v>2005-08</c:v>
                </c:pt>
                <c:pt idx="8">
                  <c:v>2006-09</c:v>
                </c:pt>
                <c:pt idx="9">
                  <c:v>2007-10</c:v>
                </c:pt>
                <c:pt idx="10">
                  <c:v>2008-11</c:v>
                </c:pt>
                <c:pt idx="11">
                  <c:v>2009-12</c:v>
                </c:pt>
                <c:pt idx="12">
                  <c:v>2010-13</c:v>
                </c:pt>
                <c:pt idx="13">
                  <c:v>2011-14</c:v>
                </c:pt>
                <c:pt idx="14">
                  <c:v>2012-15</c:v>
                </c:pt>
                <c:pt idx="15">
                  <c:v>2013-16</c:v>
                </c:pt>
                <c:pt idx="16">
                  <c:v>2014-17</c:v>
                </c:pt>
              </c:strCache>
            </c:strRef>
          </c:cat>
          <c:val>
            <c:numRef>
              <c:f>'In-work poverty'!$B$28:$B$44</c:f>
              <c:numCache>
                <c:formatCode>0%</c:formatCode>
                <c:ptCount val="17"/>
                <c:pt idx="0">
                  <c:v>0.39</c:v>
                </c:pt>
                <c:pt idx="1">
                  <c:v>0.39</c:v>
                </c:pt>
                <c:pt idx="2">
                  <c:v>0.42</c:v>
                </c:pt>
                <c:pt idx="3">
                  <c:v>0.41</c:v>
                </c:pt>
                <c:pt idx="4">
                  <c:v>0.41</c:v>
                </c:pt>
                <c:pt idx="5">
                  <c:v>0.43</c:v>
                </c:pt>
                <c:pt idx="6">
                  <c:v>0.44</c:v>
                </c:pt>
                <c:pt idx="7">
                  <c:v>0.45</c:v>
                </c:pt>
                <c:pt idx="8">
                  <c:v>0.45</c:v>
                </c:pt>
                <c:pt idx="9">
                  <c:v>0.45</c:v>
                </c:pt>
                <c:pt idx="10">
                  <c:v>0.46</c:v>
                </c:pt>
                <c:pt idx="11">
                  <c:v>0.46</c:v>
                </c:pt>
                <c:pt idx="12">
                  <c:v>0.48</c:v>
                </c:pt>
                <c:pt idx="13">
                  <c:v>0.47</c:v>
                </c:pt>
                <c:pt idx="14">
                  <c:v>0.5</c:v>
                </c:pt>
                <c:pt idx="15">
                  <c:v>0.53</c:v>
                </c:pt>
                <c:pt idx="16">
                  <c:v>0.54</c:v>
                </c:pt>
              </c:numCache>
            </c:numRef>
          </c:val>
          <c:smooth val="0"/>
          <c:extLst>
            <c:ext xmlns:c16="http://schemas.microsoft.com/office/drawing/2014/chart" uri="{C3380CC4-5D6E-409C-BE32-E72D297353CC}">
              <c16:uniqueId val="{00000000-9507-45E6-B4B4-032E605CF8CF}"/>
            </c:ext>
          </c:extLst>
        </c:ser>
        <c:ser>
          <c:idx val="1"/>
          <c:order val="1"/>
          <c:tx>
            <c:strRef>
              <c:f>'In-work poverty'!$C$27</c:f>
              <c:strCache>
                <c:ptCount val="1"/>
                <c:pt idx="0">
                  <c:v>Children</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507-45E6-B4B4-032E605CF8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'In-work poverty'!$A$28:$A$44</c:f>
              <c:strCache>
                <c:ptCount val="17"/>
                <c:pt idx="0">
                  <c:v>1998-01</c:v>
                </c:pt>
                <c:pt idx="1">
                  <c:v>1999-02</c:v>
                </c:pt>
                <c:pt idx="2">
                  <c:v>2000-03</c:v>
                </c:pt>
                <c:pt idx="3">
                  <c:v>2001-04</c:v>
                </c:pt>
                <c:pt idx="4">
                  <c:v>2002-05</c:v>
                </c:pt>
                <c:pt idx="5">
                  <c:v>2003-06</c:v>
                </c:pt>
                <c:pt idx="6">
                  <c:v>2004-07</c:v>
                </c:pt>
                <c:pt idx="7">
                  <c:v>2005-08</c:v>
                </c:pt>
                <c:pt idx="8">
                  <c:v>2006-09</c:v>
                </c:pt>
                <c:pt idx="9">
                  <c:v>2007-10</c:v>
                </c:pt>
                <c:pt idx="10">
                  <c:v>2008-11</c:v>
                </c:pt>
                <c:pt idx="11">
                  <c:v>2009-12</c:v>
                </c:pt>
                <c:pt idx="12">
                  <c:v>2010-13</c:v>
                </c:pt>
                <c:pt idx="13">
                  <c:v>2011-14</c:v>
                </c:pt>
                <c:pt idx="14">
                  <c:v>2012-15</c:v>
                </c:pt>
                <c:pt idx="15">
                  <c:v>2013-16</c:v>
                </c:pt>
                <c:pt idx="16">
                  <c:v>2014-17</c:v>
                </c:pt>
              </c:strCache>
            </c:strRef>
          </c:cat>
          <c:val>
            <c:numRef>
              <c:f>'In-work poverty'!$C$28:$C$44</c:f>
              <c:numCache>
                <c:formatCode>0%</c:formatCode>
                <c:ptCount val="17"/>
                <c:pt idx="0">
                  <c:v>0.45</c:v>
                </c:pt>
                <c:pt idx="1">
                  <c:v>0.47</c:v>
                </c:pt>
                <c:pt idx="2">
                  <c:v>0.49</c:v>
                </c:pt>
                <c:pt idx="3">
                  <c:v>0.48</c:v>
                </c:pt>
                <c:pt idx="4">
                  <c:v>0.46</c:v>
                </c:pt>
                <c:pt idx="5">
                  <c:v>0.48</c:v>
                </c:pt>
                <c:pt idx="6">
                  <c:v>0.5</c:v>
                </c:pt>
                <c:pt idx="7">
                  <c:v>0.51</c:v>
                </c:pt>
                <c:pt idx="8">
                  <c:v>0.5</c:v>
                </c:pt>
                <c:pt idx="9">
                  <c:v>0.49</c:v>
                </c:pt>
                <c:pt idx="10">
                  <c:v>0.51</c:v>
                </c:pt>
                <c:pt idx="11">
                  <c:v>0.51</c:v>
                </c:pt>
                <c:pt idx="12">
                  <c:v>0.54</c:v>
                </c:pt>
                <c:pt idx="13">
                  <c:v>0.55000000000000004</c:v>
                </c:pt>
                <c:pt idx="14">
                  <c:v>0.6</c:v>
                </c:pt>
                <c:pt idx="15">
                  <c:v>0.64</c:v>
                </c:pt>
                <c:pt idx="16">
                  <c:v>0.66</c:v>
                </c:pt>
              </c:numCache>
            </c:numRef>
          </c:val>
          <c:smooth val="0"/>
          <c:extLst>
            <c:ext xmlns:c16="http://schemas.microsoft.com/office/drawing/2014/chart" uri="{C3380CC4-5D6E-409C-BE32-E72D297353CC}">
              <c16:uniqueId val="{00000001-9507-45E6-B4B4-032E605CF8CF}"/>
            </c:ext>
          </c:extLst>
        </c:ser>
        <c:ser>
          <c:idx val="2"/>
          <c:order val="2"/>
          <c:tx>
            <c:strRef>
              <c:f>'In-work poverty'!$D$27</c:f>
              <c:strCache>
                <c:ptCount val="1"/>
                <c:pt idx="0">
                  <c:v>Working-age</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507-45E6-B4B4-032E605CF8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'In-work poverty'!$A$28:$A$44</c:f>
              <c:strCache>
                <c:ptCount val="17"/>
                <c:pt idx="0">
                  <c:v>1998-01</c:v>
                </c:pt>
                <c:pt idx="1">
                  <c:v>1999-02</c:v>
                </c:pt>
                <c:pt idx="2">
                  <c:v>2000-03</c:v>
                </c:pt>
                <c:pt idx="3">
                  <c:v>2001-04</c:v>
                </c:pt>
                <c:pt idx="4">
                  <c:v>2002-05</c:v>
                </c:pt>
                <c:pt idx="5">
                  <c:v>2003-06</c:v>
                </c:pt>
                <c:pt idx="6">
                  <c:v>2004-07</c:v>
                </c:pt>
                <c:pt idx="7">
                  <c:v>2005-08</c:v>
                </c:pt>
                <c:pt idx="8">
                  <c:v>2006-09</c:v>
                </c:pt>
                <c:pt idx="9">
                  <c:v>2007-10</c:v>
                </c:pt>
                <c:pt idx="10">
                  <c:v>2008-11</c:v>
                </c:pt>
                <c:pt idx="11">
                  <c:v>2009-12</c:v>
                </c:pt>
                <c:pt idx="12">
                  <c:v>2010-13</c:v>
                </c:pt>
                <c:pt idx="13">
                  <c:v>2011-14</c:v>
                </c:pt>
                <c:pt idx="14">
                  <c:v>2012-15</c:v>
                </c:pt>
                <c:pt idx="15">
                  <c:v>2013-16</c:v>
                </c:pt>
                <c:pt idx="16">
                  <c:v>2014-17</c:v>
                </c:pt>
              </c:strCache>
            </c:strRef>
          </c:cat>
          <c:val>
            <c:numRef>
              <c:f>'In-work poverty'!$D$28:$D$44</c:f>
              <c:numCache>
                <c:formatCode>0%</c:formatCode>
                <c:ptCount val="17"/>
                <c:pt idx="0">
                  <c:v>0.48</c:v>
                </c:pt>
                <c:pt idx="1">
                  <c:v>0.48</c:v>
                </c:pt>
                <c:pt idx="2">
                  <c:v>0.52</c:v>
                </c:pt>
                <c:pt idx="3">
                  <c:v>0.51</c:v>
                </c:pt>
                <c:pt idx="4">
                  <c:v>0.5</c:v>
                </c:pt>
                <c:pt idx="5">
                  <c:v>0.51</c:v>
                </c:pt>
                <c:pt idx="6">
                  <c:v>0.51</c:v>
                </c:pt>
                <c:pt idx="7">
                  <c:v>0.53</c:v>
                </c:pt>
                <c:pt idx="8">
                  <c:v>0.52</c:v>
                </c:pt>
                <c:pt idx="9">
                  <c:v>0.52</c:v>
                </c:pt>
                <c:pt idx="10">
                  <c:v>0.52</c:v>
                </c:pt>
                <c:pt idx="11">
                  <c:v>0.52</c:v>
                </c:pt>
                <c:pt idx="12">
                  <c:v>0.53</c:v>
                </c:pt>
                <c:pt idx="13">
                  <c:v>0.52</c:v>
                </c:pt>
                <c:pt idx="14">
                  <c:v>0.55000000000000004</c:v>
                </c:pt>
                <c:pt idx="15">
                  <c:v>0.57999999999999996</c:v>
                </c:pt>
                <c:pt idx="16">
                  <c:v>0.59</c:v>
                </c:pt>
              </c:numCache>
            </c:numRef>
          </c:val>
          <c:smooth val="0"/>
          <c:extLst>
            <c:ext xmlns:c16="http://schemas.microsoft.com/office/drawing/2014/chart" uri="{C3380CC4-5D6E-409C-BE32-E72D297353CC}">
              <c16:uniqueId val="{00000002-9507-45E6-B4B4-032E605CF8CF}"/>
            </c:ext>
          </c:extLst>
        </c:ser>
        <c:dLbls>
          <c:showLegendKey val="0"/>
          <c:showVal val="0"/>
          <c:showCatName val="0"/>
          <c:showSerName val="0"/>
          <c:showPercent val="0"/>
          <c:showBubbleSize val="0"/>
        </c:dLbls>
        <c:marker val="1"/>
        <c:smooth val="0"/>
        <c:axId val="318805064"/>
        <c:axId val="318805392"/>
      </c:lineChart>
      <c:catAx>
        <c:axId val="318805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8805392"/>
        <c:crosses val="autoZero"/>
        <c:auto val="1"/>
        <c:lblAlgn val="ctr"/>
        <c:lblOffset val="100"/>
        <c:noMultiLvlLbl val="0"/>
      </c:catAx>
      <c:valAx>
        <c:axId val="318805392"/>
        <c:scaling>
          <c:orientation val="minMax"/>
          <c:min val="0.30000000000000004"/>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8805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1"/>
              <a:t>Number of open cases and enquiries, April 2017</a:t>
            </a:r>
            <a:r>
              <a:rPr lang="en-GB" sz="1200" b="1" baseline="0"/>
              <a:t> to March 2018</a:t>
            </a:r>
            <a:endParaRPr lang="en-GB"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patent_applications_2015!$B$35</c:f>
              <c:strCache>
                <c:ptCount val="1"/>
                <c:pt idx="0">
                  <c:v>Debt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patent_applications_2015!$C$34:$D$34</c:f>
              <c:strCache>
                <c:ptCount val="2"/>
                <c:pt idx="0">
                  <c:v>Open cases</c:v>
                </c:pt>
                <c:pt idx="1">
                  <c:v>Enquiries</c:v>
                </c:pt>
              </c:strCache>
            </c:strRef>
          </c:cat>
          <c:val>
            <c:numRef>
              <c:f>patent_applications_2015!$C$35:$D$35</c:f>
              <c:numCache>
                <c:formatCode>General</c:formatCode>
                <c:ptCount val="2"/>
                <c:pt idx="0">
                  <c:v>680</c:v>
                </c:pt>
                <c:pt idx="1">
                  <c:v>322</c:v>
                </c:pt>
              </c:numCache>
            </c:numRef>
          </c:val>
          <c:extLst>
            <c:ext xmlns:c16="http://schemas.microsoft.com/office/drawing/2014/chart" uri="{C3380CC4-5D6E-409C-BE32-E72D297353CC}">
              <c16:uniqueId val="{00000000-61C6-4628-909B-2CB317155062}"/>
            </c:ext>
          </c:extLst>
        </c:ser>
        <c:ser>
          <c:idx val="1"/>
          <c:order val="1"/>
          <c:tx>
            <c:strRef>
              <c:f>patent_applications_2015!$B$36</c:f>
              <c:strCache>
                <c:ptCount val="1"/>
                <c:pt idx="0">
                  <c:v>Money Guidance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patent_applications_2015!$C$34:$D$34</c:f>
              <c:strCache>
                <c:ptCount val="2"/>
                <c:pt idx="0">
                  <c:v>Open cases</c:v>
                </c:pt>
                <c:pt idx="1">
                  <c:v>Enquiries</c:v>
                </c:pt>
              </c:strCache>
            </c:strRef>
          </c:cat>
          <c:val>
            <c:numRef>
              <c:f>patent_applications_2015!$C$36:$D$36</c:f>
              <c:numCache>
                <c:formatCode>General</c:formatCode>
                <c:ptCount val="2"/>
                <c:pt idx="0">
                  <c:v>57</c:v>
                </c:pt>
                <c:pt idx="1">
                  <c:v>323</c:v>
                </c:pt>
              </c:numCache>
            </c:numRef>
          </c:val>
          <c:extLst>
            <c:ext xmlns:c16="http://schemas.microsoft.com/office/drawing/2014/chart" uri="{C3380CC4-5D6E-409C-BE32-E72D297353CC}">
              <c16:uniqueId val="{00000001-61C6-4628-909B-2CB317155062}"/>
            </c:ext>
          </c:extLst>
        </c:ser>
        <c:ser>
          <c:idx val="2"/>
          <c:order val="2"/>
          <c:tx>
            <c:strRef>
              <c:f>patent_applications_2015!$B$37</c:f>
              <c:strCache>
                <c:ptCount val="1"/>
                <c:pt idx="0">
                  <c:v>Welfare Rights</c:v>
                </c:pt>
              </c:strCache>
            </c:strRef>
          </c:tx>
          <c:spPr>
            <a:solidFill>
              <a:schemeClr val="accent3"/>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patent_applications_2015!$C$34:$D$34</c:f>
              <c:strCache>
                <c:ptCount val="2"/>
                <c:pt idx="0">
                  <c:v>Open cases</c:v>
                </c:pt>
                <c:pt idx="1">
                  <c:v>Enquiries</c:v>
                </c:pt>
              </c:strCache>
            </c:strRef>
          </c:cat>
          <c:val>
            <c:numRef>
              <c:f>patent_applications_2015!$C$37:$D$37</c:f>
              <c:numCache>
                <c:formatCode>General</c:formatCode>
                <c:ptCount val="2"/>
                <c:pt idx="0">
                  <c:v>1446</c:v>
                </c:pt>
                <c:pt idx="1">
                  <c:v>1079</c:v>
                </c:pt>
              </c:numCache>
            </c:numRef>
          </c:val>
          <c:extLst>
            <c:ext xmlns:c16="http://schemas.microsoft.com/office/drawing/2014/chart" uri="{C3380CC4-5D6E-409C-BE32-E72D297353CC}">
              <c16:uniqueId val="{00000002-61C6-4628-909B-2CB317155062}"/>
            </c:ext>
          </c:extLst>
        </c:ser>
        <c:dLbls>
          <c:dLblPos val="outEnd"/>
          <c:showLegendKey val="0"/>
          <c:showVal val="1"/>
          <c:showCatName val="0"/>
          <c:showSerName val="0"/>
          <c:showPercent val="0"/>
          <c:showBubbleSize val="0"/>
        </c:dLbls>
        <c:gapWidth val="219"/>
        <c:overlap val="-27"/>
        <c:axId val="405992536"/>
        <c:axId val="405994504"/>
      </c:barChart>
      <c:catAx>
        <c:axId val="405992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5994504"/>
        <c:crosses val="autoZero"/>
        <c:auto val="1"/>
        <c:lblAlgn val="ctr"/>
        <c:lblOffset val="100"/>
        <c:noMultiLvlLbl val="0"/>
      </c:catAx>
      <c:valAx>
        <c:axId val="405994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5992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en-US" sz="1200" b="1"/>
              <a:t>Percentage of households in fuel poverty and extreme fuel poverty, Aberdeen City and Scotland, 2013-2015</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Sheet3!$B$26</c:f>
              <c:strCache>
                <c:ptCount val="1"/>
                <c:pt idx="0">
                  <c:v>Aberdeen City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Sheet3!$C$25:$I$25</c:f>
              <c:strCache>
                <c:ptCount val="7"/>
                <c:pt idx="0">
                  <c:v>Fuel poverty</c:v>
                </c:pt>
                <c:pt idx="1">
                  <c:v>Owner-occupied</c:v>
                </c:pt>
                <c:pt idx="2">
                  <c:v>Social Housing</c:v>
                </c:pt>
                <c:pt idx="4">
                  <c:v>Extreme fuel poverty</c:v>
                </c:pt>
                <c:pt idx="5">
                  <c:v>Owner-occupied</c:v>
                </c:pt>
                <c:pt idx="6">
                  <c:v>Social Housing</c:v>
                </c:pt>
              </c:strCache>
            </c:strRef>
          </c:cat>
          <c:val>
            <c:numRef>
              <c:f>Sheet3!$C$26:$I$26</c:f>
              <c:numCache>
                <c:formatCode>0%</c:formatCode>
                <c:ptCount val="7"/>
                <c:pt idx="0">
                  <c:v>0.27680000000000005</c:v>
                </c:pt>
                <c:pt idx="1">
                  <c:v>0.17904</c:v>
                </c:pt>
                <c:pt idx="2">
                  <c:v>0.43601000000000001</c:v>
                </c:pt>
                <c:pt idx="4">
                  <c:v>8.5980000000000001E-2</c:v>
                </c:pt>
                <c:pt idx="5">
                  <c:v>7.017000000000001E-2</c:v>
                </c:pt>
                <c:pt idx="6">
                  <c:v>9.3700000000000006E-2</c:v>
                </c:pt>
              </c:numCache>
            </c:numRef>
          </c:val>
          <c:extLst>
            <c:ext xmlns:c16="http://schemas.microsoft.com/office/drawing/2014/chart" uri="{C3380CC4-5D6E-409C-BE32-E72D297353CC}">
              <c16:uniqueId val="{00000000-720B-4647-985E-610B5A52908E}"/>
            </c:ext>
          </c:extLst>
        </c:ser>
        <c:ser>
          <c:idx val="1"/>
          <c:order val="1"/>
          <c:tx>
            <c:strRef>
              <c:f>Sheet3!$B$27</c:f>
              <c:strCache>
                <c:ptCount val="1"/>
                <c:pt idx="0">
                  <c:v> Scotland</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Sheet3!$C$25:$I$25</c:f>
              <c:strCache>
                <c:ptCount val="7"/>
                <c:pt idx="0">
                  <c:v>Fuel poverty</c:v>
                </c:pt>
                <c:pt idx="1">
                  <c:v>Owner-occupied</c:v>
                </c:pt>
                <c:pt idx="2">
                  <c:v>Social Housing</c:v>
                </c:pt>
                <c:pt idx="4">
                  <c:v>Extreme fuel poverty</c:v>
                </c:pt>
                <c:pt idx="5">
                  <c:v>Owner-occupied</c:v>
                </c:pt>
                <c:pt idx="6">
                  <c:v>Social Housing</c:v>
                </c:pt>
              </c:strCache>
            </c:strRef>
          </c:cat>
          <c:val>
            <c:numRef>
              <c:f>Sheet3!$C$27:$I$27</c:f>
              <c:numCache>
                <c:formatCode>0%</c:formatCode>
                <c:ptCount val="7"/>
                <c:pt idx="0">
                  <c:v>0.33808000000000005</c:v>
                </c:pt>
                <c:pt idx="1">
                  <c:v>0.31924000000000002</c:v>
                </c:pt>
                <c:pt idx="2">
                  <c:v>0.37305000000000005</c:v>
                </c:pt>
                <c:pt idx="4">
                  <c:v>9.2080000000000009E-2</c:v>
                </c:pt>
                <c:pt idx="5">
                  <c:v>9.845000000000001E-2</c:v>
                </c:pt>
                <c:pt idx="6">
                  <c:v>6.7860000000000004E-2</c:v>
                </c:pt>
              </c:numCache>
            </c:numRef>
          </c:val>
          <c:extLst>
            <c:ext xmlns:c16="http://schemas.microsoft.com/office/drawing/2014/chart" uri="{C3380CC4-5D6E-409C-BE32-E72D297353CC}">
              <c16:uniqueId val="{00000001-720B-4647-985E-610B5A52908E}"/>
            </c:ext>
          </c:extLst>
        </c:ser>
        <c:dLbls>
          <c:dLblPos val="outEnd"/>
          <c:showLegendKey val="0"/>
          <c:showVal val="1"/>
          <c:showCatName val="0"/>
          <c:showSerName val="0"/>
          <c:showPercent val="0"/>
          <c:showBubbleSize val="0"/>
        </c:dLbls>
        <c:gapWidth val="100"/>
        <c:overlap val="-24"/>
        <c:axId val="611679648"/>
        <c:axId val="611682272"/>
      </c:barChart>
      <c:catAx>
        <c:axId val="61167964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crossAx val="611682272"/>
        <c:crosses val="autoZero"/>
        <c:auto val="1"/>
        <c:lblAlgn val="ctr"/>
        <c:lblOffset val="100"/>
        <c:noMultiLvlLbl val="0"/>
      </c:catAx>
      <c:valAx>
        <c:axId val="611682272"/>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11679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r>
              <a:rPr lang="en-US"/>
              <a:t>Percentage change in homelessness applications between 2016 and 2017 by local authority</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'Homless applications'!$B$40</c:f>
              <c:strCache>
                <c:ptCount val="1"/>
                <c:pt idx="0">
                  <c:v>% change in homelessness applications between 2016 and 2017 by local authority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31"/>
            <c:invertIfNegative val="0"/>
            <c:bubble3D val="0"/>
            <c:spPr>
              <a:solidFill>
                <a:schemeClr val="accent2"/>
              </a:solidFill>
              <a:ln>
                <a:noFill/>
              </a:ln>
              <a:effectLst/>
            </c:spPr>
            <c:extLst>
              <c:ext xmlns:c16="http://schemas.microsoft.com/office/drawing/2014/chart" uri="{C3380CC4-5D6E-409C-BE32-E72D297353CC}">
                <c16:uniqueId val="{00000001-43F1-4BB4-AA21-C7B096F2A4B4}"/>
              </c:ext>
            </c:extLst>
          </c:dPt>
          <c:dLbls>
            <c:dLbl>
              <c:idx val="31"/>
              <c:layout>
                <c:manualLayout>
                  <c:x val="-1.111111111111111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F1-4BB4-AA21-C7B096F2A4B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'Homless applications'!$A$41:$A$73</c:f>
              <c:strCache>
                <c:ptCount val="33"/>
                <c:pt idx="0">
                  <c:v>Eilean Siar</c:v>
                </c:pt>
                <c:pt idx="1">
                  <c:v>East Dunbartonshire</c:v>
                </c:pt>
                <c:pt idx="2">
                  <c:v>Angus</c:v>
                </c:pt>
                <c:pt idx="3">
                  <c:v>Edinburgh</c:v>
                </c:pt>
                <c:pt idx="4">
                  <c:v>Aberdeenshire</c:v>
                </c:pt>
                <c:pt idx="5">
                  <c:v>Glasgow City</c:v>
                </c:pt>
                <c:pt idx="6">
                  <c:v>Inverclyde</c:v>
                </c:pt>
                <c:pt idx="7">
                  <c:v>East Ayrshire</c:v>
                </c:pt>
                <c:pt idx="8">
                  <c:v>Highland</c:v>
                </c:pt>
                <c:pt idx="9">
                  <c:v>Dundee City</c:v>
                </c:pt>
                <c:pt idx="10">
                  <c:v>Shetland</c:v>
                </c:pt>
                <c:pt idx="11">
                  <c:v>West Dunbartonshire</c:v>
                </c:pt>
                <c:pt idx="12">
                  <c:v>Fife</c:v>
                </c:pt>
                <c:pt idx="13">
                  <c:v>South Ayrshire</c:v>
                </c:pt>
                <c:pt idx="14">
                  <c:v>Scotland</c:v>
                </c:pt>
                <c:pt idx="15">
                  <c:v>Moray</c:v>
                </c:pt>
                <c:pt idx="16">
                  <c:v>Falkirk</c:v>
                </c:pt>
                <c:pt idx="17">
                  <c:v>Midlothian</c:v>
                </c:pt>
                <c:pt idx="18">
                  <c:v>Stirling</c:v>
                </c:pt>
                <c:pt idx="19">
                  <c:v>North Lanarkshire</c:v>
                </c:pt>
                <c:pt idx="20">
                  <c:v>Scottish Borders</c:v>
                </c:pt>
                <c:pt idx="21">
                  <c:v>Renfrewshire</c:v>
                </c:pt>
                <c:pt idx="22">
                  <c:v>Perth &amp; Kinross</c:v>
                </c:pt>
                <c:pt idx="23">
                  <c:v>East Renfrewshire</c:v>
                </c:pt>
                <c:pt idx="24">
                  <c:v>West Lothian</c:v>
                </c:pt>
                <c:pt idx="25">
                  <c:v>South Lanarkshire</c:v>
                </c:pt>
                <c:pt idx="26">
                  <c:v>East Lothian</c:v>
                </c:pt>
                <c:pt idx="27">
                  <c:v>Clackmannanshire</c:v>
                </c:pt>
                <c:pt idx="28">
                  <c:v>Argyll &amp; Bute</c:v>
                </c:pt>
                <c:pt idx="29">
                  <c:v>North Ayrshire</c:v>
                </c:pt>
                <c:pt idx="30">
                  <c:v>Dumfries &amp; Galloway</c:v>
                </c:pt>
                <c:pt idx="31">
                  <c:v>Aberdeen City</c:v>
                </c:pt>
                <c:pt idx="32">
                  <c:v>Orkney</c:v>
                </c:pt>
              </c:strCache>
            </c:strRef>
          </c:cat>
          <c:val>
            <c:numRef>
              <c:f>'Homless applications'!$B$41:$B$73</c:f>
              <c:numCache>
                <c:formatCode>0.0%</c:formatCode>
                <c:ptCount val="33"/>
                <c:pt idx="0">
                  <c:v>-0.19047619047619047</c:v>
                </c:pt>
                <c:pt idx="1">
                  <c:v>-0.12015503875968993</c:v>
                </c:pt>
                <c:pt idx="2">
                  <c:v>-0.11608222490931076</c:v>
                </c:pt>
                <c:pt idx="3">
                  <c:v>-9.2731829573934832E-2</c:v>
                </c:pt>
                <c:pt idx="4">
                  <c:v>-8.0956761729530813E-2</c:v>
                </c:pt>
                <c:pt idx="5">
                  <c:v>-7.6072157930565015E-2</c:v>
                </c:pt>
                <c:pt idx="6">
                  <c:v>-6.4655172413793108E-2</c:v>
                </c:pt>
                <c:pt idx="7">
                  <c:v>-5.1056338028169015E-2</c:v>
                </c:pt>
                <c:pt idx="8">
                  <c:v>-5.040322580645161E-2</c:v>
                </c:pt>
                <c:pt idx="9">
                  <c:v>-4.2521994134897358E-2</c:v>
                </c:pt>
                <c:pt idx="10">
                  <c:v>-3.3613445378151259E-2</c:v>
                </c:pt>
                <c:pt idx="11">
                  <c:v>-3.2900432900432902E-2</c:v>
                </c:pt>
                <c:pt idx="12">
                  <c:v>-2.4478330658105937E-2</c:v>
                </c:pt>
                <c:pt idx="13">
                  <c:v>-1.2113055181695828E-2</c:v>
                </c:pt>
                <c:pt idx="14">
                  <c:v>3.3960743682726071E-3</c:v>
                </c:pt>
                <c:pt idx="15">
                  <c:v>5.2173913043478265E-3</c:v>
                </c:pt>
                <c:pt idx="16">
                  <c:v>7.1301247771836003E-3</c:v>
                </c:pt>
                <c:pt idx="17">
                  <c:v>7.6481835564053535E-3</c:v>
                </c:pt>
                <c:pt idx="18">
                  <c:v>1.3266998341625208E-2</c:v>
                </c:pt>
                <c:pt idx="19">
                  <c:v>1.4721345951629864E-2</c:v>
                </c:pt>
                <c:pt idx="20">
                  <c:v>3.3182503770739065E-2</c:v>
                </c:pt>
                <c:pt idx="21">
                  <c:v>3.7926675094816689E-2</c:v>
                </c:pt>
                <c:pt idx="22">
                  <c:v>4.8894062863795114E-2</c:v>
                </c:pt>
                <c:pt idx="23">
                  <c:v>5.2631578947368418E-2</c:v>
                </c:pt>
                <c:pt idx="24">
                  <c:v>7.371556217423679E-2</c:v>
                </c:pt>
                <c:pt idx="25">
                  <c:v>8.466701084150749E-2</c:v>
                </c:pt>
                <c:pt idx="26">
                  <c:v>9.6541786743515851E-2</c:v>
                </c:pt>
                <c:pt idx="27">
                  <c:v>0.16891891891891891</c:v>
                </c:pt>
                <c:pt idx="28">
                  <c:v>0.21052631578947367</c:v>
                </c:pt>
                <c:pt idx="29">
                  <c:v>0.21607378129117261</c:v>
                </c:pt>
                <c:pt idx="30">
                  <c:v>0.24055944055944056</c:v>
                </c:pt>
                <c:pt idx="31">
                  <c:v>0.31648522550544322</c:v>
                </c:pt>
                <c:pt idx="32">
                  <c:v>0.39393939393939392</c:v>
                </c:pt>
              </c:numCache>
            </c:numRef>
          </c:val>
          <c:extLst>
            <c:ext xmlns:c16="http://schemas.microsoft.com/office/drawing/2014/chart" uri="{C3380CC4-5D6E-409C-BE32-E72D297353CC}">
              <c16:uniqueId val="{00000002-43F1-4BB4-AA21-C7B096F2A4B4}"/>
            </c:ext>
          </c:extLst>
        </c:ser>
        <c:dLbls>
          <c:showLegendKey val="0"/>
          <c:showVal val="0"/>
          <c:showCatName val="0"/>
          <c:showSerName val="0"/>
          <c:showPercent val="0"/>
          <c:showBubbleSize val="0"/>
        </c:dLbls>
        <c:gapWidth val="100"/>
        <c:overlap val="-24"/>
        <c:axId val="616616256"/>
        <c:axId val="616609696"/>
      </c:barChart>
      <c:catAx>
        <c:axId val="616616256"/>
        <c:scaling>
          <c:orientation val="minMax"/>
        </c:scaling>
        <c:delete val="0"/>
        <c:axPos val="b"/>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crossAx val="616609696"/>
        <c:crosses val="autoZero"/>
        <c:auto val="1"/>
        <c:lblAlgn val="ctr"/>
        <c:lblOffset val="100"/>
        <c:tickLblSkip val="1"/>
        <c:noMultiLvlLbl val="0"/>
      </c:catAx>
      <c:valAx>
        <c:axId val="616609696"/>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166162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200"/>
              <a:t>SFBB availability (% premises), local authorities, Scotland, 2017</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Broadband!$C$40</c:f>
              <c:strCache>
                <c:ptCount val="1"/>
                <c:pt idx="0">
                  <c:v>SFBB availability (% premises)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29"/>
            <c:invertIfNegative val="0"/>
            <c:bubble3D val="0"/>
            <c:spPr>
              <a:solidFill>
                <a:schemeClr val="accent2"/>
              </a:solidFill>
              <a:ln>
                <a:noFill/>
              </a:ln>
              <a:effectLst/>
            </c:spPr>
            <c:extLst>
              <c:ext xmlns:c16="http://schemas.microsoft.com/office/drawing/2014/chart" uri="{C3380CC4-5D6E-409C-BE32-E72D297353CC}">
                <c16:uniqueId val="{00000001-D7C5-41C1-8214-9AF3CA5941B5}"/>
              </c:ext>
            </c:extLst>
          </c:dPt>
          <c:dLbls>
            <c:dLbl>
              <c:idx val="29"/>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C5-41C1-8214-9AF3CA5941B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Broadband!$B$41:$B$72</c:f>
              <c:strCache>
                <c:ptCount val="32"/>
                <c:pt idx="0">
                  <c:v>West Dunbartonshire</c:v>
                </c:pt>
                <c:pt idx="1">
                  <c:v>Dundee City</c:v>
                </c:pt>
                <c:pt idx="2">
                  <c:v>City of Edinburgh</c:v>
                </c:pt>
                <c:pt idx="3">
                  <c:v>North Lanarkshire</c:v>
                </c:pt>
                <c:pt idx="4">
                  <c:v>Inverclyde</c:v>
                </c:pt>
                <c:pt idx="5">
                  <c:v>South Lanarkshire</c:v>
                </c:pt>
                <c:pt idx="6">
                  <c:v>Perth and Kinross</c:v>
                </c:pt>
                <c:pt idx="7">
                  <c:v>Renfrewshire</c:v>
                </c:pt>
                <c:pt idx="8">
                  <c:v>East Renfrewshire</c:v>
                </c:pt>
                <c:pt idx="9">
                  <c:v>South Ayrshire</c:v>
                </c:pt>
                <c:pt idx="10">
                  <c:v>Na h-Eileanan Siar</c:v>
                </c:pt>
                <c:pt idx="11">
                  <c:v>Orkney Islands</c:v>
                </c:pt>
                <c:pt idx="12">
                  <c:v>West Lothian</c:v>
                </c:pt>
                <c:pt idx="13">
                  <c:v>East Ayrshire</c:v>
                </c:pt>
                <c:pt idx="14">
                  <c:v>Shetland Islands</c:v>
                </c:pt>
                <c:pt idx="15">
                  <c:v>Fife</c:v>
                </c:pt>
                <c:pt idx="16">
                  <c:v>Falkirk</c:v>
                </c:pt>
                <c:pt idx="17">
                  <c:v>Angus</c:v>
                </c:pt>
                <c:pt idx="18">
                  <c:v>Argyll and Bute</c:v>
                </c:pt>
                <c:pt idx="19">
                  <c:v>North Ayrshire</c:v>
                </c:pt>
                <c:pt idx="20">
                  <c:v>Highland</c:v>
                </c:pt>
                <c:pt idx="21">
                  <c:v>Aberdeenshire</c:v>
                </c:pt>
                <c:pt idx="22">
                  <c:v>Glasgow City</c:v>
                </c:pt>
                <c:pt idx="23">
                  <c:v>Scottish Borders</c:v>
                </c:pt>
                <c:pt idx="24">
                  <c:v>Dumfries and Galloway</c:v>
                </c:pt>
                <c:pt idx="25">
                  <c:v>Moray</c:v>
                </c:pt>
                <c:pt idx="26">
                  <c:v>East Lothian</c:v>
                </c:pt>
                <c:pt idx="27">
                  <c:v>Midlothian</c:v>
                </c:pt>
                <c:pt idx="28">
                  <c:v>Stirling</c:v>
                </c:pt>
                <c:pt idx="29">
                  <c:v>Aberdeen City</c:v>
                </c:pt>
                <c:pt idx="30">
                  <c:v>Clackmannanshire</c:v>
                </c:pt>
                <c:pt idx="31">
                  <c:v>East Dunbartonshire</c:v>
                </c:pt>
              </c:strCache>
            </c:strRef>
          </c:cat>
          <c:val>
            <c:numRef>
              <c:f>Broadband!$C$41:$C$72</c:f>
              <c:numCache>
                <c:formatCode>0%</c:formatCode>
                <c:ptCount val="32"/>
                <c:pt idx="0">
                  <c:v>0.11</c:v>
                </c:pt>
                <c:pt idx="1">
                  <c:v>0.16</c:v>
                </c:pt>
                <c:pt idx="2">
                  <c:v>0.21</c:v>
                </c:pt>
                <c:pt idx="3">
                  <c:v>0.28999999999999998</c:v>
                </c:pt>
                <c:pt idx="4">
                  <c:v>0.31</c:v>
                </c:pt>
                <c:pt idx="5">
                  <c:v>0.35</c:v>
                </c:pt>
                <c:pt idx="6">
                  <c:v>0.47</c:v>
                </c:pt>
                <c:pt idx="7">
                  <c:v>0.47</c:v>
                </c:pt>
                <c:pt idx="8">
                  <c:v>0.47</c:v>
                </c:pt>
                <c:pt idx="9">
                  <c:v>0.48</c:v>
                </c:pt>
                <c:pt idx="10">
                  <c:v>0.54</c:v>
                </c:pt>
                <c:pt idx="11">
                  <c:v>0.57999999999999996</c:v>
                </c:pt>
                <c:pt idx="12">
                  <c:v>0.62</c:v>
                </c:pt>
                <c:pt idx="13">
                  <c:v>0.63</c:v>
                </c:pt>
                <c:pt idx="14">
                  <c:v>0.64</c:v>
                </c:pt>
                <c:pt idx="15">
                  <c:v>0.64</c:v>
                </c:pt>
                <c:pt idx="16">
                  <c:v>0.65</c:v>
                </c:pt>
                <c:pt idx="17">
                  <c:v>0.68</c:v>
                </c:pt>
                <c:pt idx="18">
                  <c:v>0.69</c:v>
                </c:pt>
                <c:pt idx="19">
                  <c:v>0.69</c:v>
                </c:pt>
                <c:pt idx="20">
                  <c:v>0.7</c:v>
                </c:pt>
                <c:pt idx="21">
                  <c:v>0.72</c:v>
                </c:pt>
                <c:pt idx="22">
                  <c:v>0.72</c:v>
                </c:pt>
                <c:pt idx="23">
                  <c:v>0.74</c:v>
                </c:pt>
                <c:pt idx="24">
                  <c:v>0.76</c:v>
                </c:pt>
                <c:pt idx="25">
                  <c:v>0.8</c:v>
                </c:pt>
                <c:pt idx="26">
                  <c:v>0.83</c:v>
                </c:pt>
                <c:pt idx="27">
                  <c:v>0.84</c:v>
                </c:pt>
                <c:pt idx="28">
                  <c:v>0.84</c:v>
                </c:pt>
                <c:pt idx="29">
                  <c:v>0.9</c:v>
                </c:pt>
                <c:pt idx="30">
                  <c:v>0.91</c:v>
                </c:pt>
                <c:pt idx="31">
                  <c:v>0.91</c:v>
                </c:pt>
              </c:numCache>
            </c:numRef>
          </c:val>
          <c:extLst>
            <c:ext xmlns:c16="http://schemas.microsoft.com/office/drawing/2014/chart" uri="{C3380CC4-5D6E-409C-BE32-E72D297353CC}">
              <c16:uniqueId val="{00000002-D7C5-41C1-8214-9AF3CA5941B5}"/>
            </c:ext>
          </c:extLst>
        </c:ser>
        <c:dLbls>
          <c:showLegendKey val="0"/>
          <c:showVal val="0"/>
          <c:showCatName val="0"/>
          <c:showSerName val="0"/>
          <c:showPercent val="0"/>
          <c:showBubbleSize val="0"/>
        </c:dLbls>
        <c:gapWidth val="100"/>
        <c:overlap val="-24"/>
        <c:axId val="335499344"/>
        <c:axId val="335497376"/>
      </c:barChart>
      <c:catAx>
        <c:axId val="33549934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crossAx val="335497376"/>
        <c:crosses val="autoZero"/>
        <c:auto val="1"/>
        <c:lblAlgn val="ctr"/>
        <c:lblOffset val="100"/>
        <c:noMultiLvlLbl val="0"/>
      </c:catAx>
      <c:valAx>
        <c:axId val="33549737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crossAx val="335499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en-US" sz="1200"/>
              <a:t>Average download speed (Mbit/s), local authorities, Scotland, 2017</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Broadband!$C$76</c:f>
              <c:strCache>
                <c:ptCount val="1"/>
                <c:pt idx="0">
                  <c:v>Average download speed (Mbit/s)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13"/>
            <c:invertIfNegative val="0"/>
            <c:bubble3D val="0"/>
            <c:spPr>
              <a:solidFill>
                <a:schemeClr val="accent2"/>
              </a:solidFill>
              <a:ln>
                <a:noFill/>
              </a:ln>
              <a:effectLst/>
            </c:spPr>
            <c:extLst>
              <c:ext xmlns:c16="http://schemas.microsoft.com/office/drawing/2014/chart" uri="{C3380CC4-5D6E-409C-BE32-E72D297353CC}">
                <c16:uniqueId val="{00000001-8581-4238-A58D-AC0F23410F8D}"/>
              </c:ext>
            </c:extLst>
          </c:dPt>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581-4238-A58D-AC0F23410F8D}"/>
                </c:ext>
              </c:extLst>
            </c:dLbl>
            <c:dLbl>
              <c:idx val="13"/>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581-4238-A58D-AC0F23410F8D}"/>
                </c:ext>
              </c:extLst>
            </c:dLbl>
            <c:dLbl>
              <c:idx val="3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581-4238-A58D-AC0F23410F8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Broadband!$B$77:$B$108</c:f>
              <c:strCache>
                <c:ptCount val="32"/>
                <c:pt idx="0">
                  <c:v>Orkney Islands</c:v>
                </c:pt>
                <c:pt idx="1">
                  <c:v>Argyll and Bute</c:v>
                </c:pt>
                <c:pt idx="2">
                  <c:v>Shetland Islands</c:v>
                </c:pt>
                <c:pt idx="3">
                  <c:v>Na h-Eileanan Siar</c:v>
                </c:pt>
                <c:pt idx="4">
                  <c:v>Highland</c:v>
                </c:pt>
                <c:pt idx="5">
                  <c:v>Dumfries and Galloway</c:v>
                </c:pt>
                <c:pt idx="6">
                  <c:v>Aberdeenshire</c:v>
                </c:pt>
                <c:pt idx="7">
                  <c:v>Scottish Borders</c:v>
                </c:pt>
                <c:pt idx="8">
                  <c:v>East Lothian</c:v>
                </c:pt>
                <c:pt idx="9">
                  <c:v>Midlothian</c:v>
                </c:pt>
                <c:pt idx="10">
                  <c:v>Moray</c:v>
                </c:pt>
                <c:pt idx="11">
                  <c:v>Stirling</c:v>
                </c:pt>
                <c:pt idx="12">
                  <c:v>Clackmannanshire</c:v>
                </c:pt>
                <c:pt idx="13">
                  <c:v>Aberdeen City</c:v>
                </c:pt>
                <c:pt idx="14">
                  <c:v>North Ayrshire</c:v>
                </c:pt>
                <c:pt idx="15">
                  <c:v>Angus</c:v>
                </c:pt>
                <c:pt idx="16">
                  <c:v>East Ayrshire</c:v>
                </c:pt>
                <c:pt idx="17">
                  <c:v>South Ayrshire</c:v>
                </c:pt>
                <c:pt idx="18">
                  <c:v>Perth and Kinross</c:v>
                </c:pt>
                <c:pt idx="19">
                  <c:v>Fife</c:v>
                </c:pt>
                <c:pt idx="20">
                  <c:v>West Lothian</c:v>
                </c:pt>
                <c:pt idx="21">
                  <c:v>Glasgow City</c:v>
                </c:pt>
                <c:pt idx="22">
                  <c:v>South Lanarkshire</c:v>
                </c:pt>
                <c:pt idx="23">
                  <c:v>Renfrewshire</c:v>
                </c:pt>
                <c:pt idx="24">
                  <c:v>East Renfrewshire</c:v>
                </c:pt>
                <c:pt idx="25">
                  <c:v>North Lanarkshire</c:v>
                </c:pt>
                <c:pt idx="26">
                  <c:v>City of Edinburgh</c:v>
                </c:pt>
                <c:pt idx="27">
                  <c:v>East Dunbartonshire</c:v>
                </c:pt>
                <c:pt idx="28">
                  <c:v>Inverclyde</c:v>
                </c:pt>
                <c:pt idx="29">
                  <c:v>Falkirk</c:v>
                </c:pt>
                <c:pt idx="30">
                  <c:v>Dundee City</c:v>
                </c:pt>
                <c:pt idx="31">
                  <c:v>West Dunbartonshire</c:v>
                </c:pt>
              </c:strCache>
            </c:strRef>
          </c:cat>
          <c:val>
            <c:numRef>
              <c:f>Broadband!$C$77:$C$108</c:f>
              <c:numCache>
                <c:formatCode>General</c:formatCode>
                <c:ptCount val="32"/>
                <c:pt idx="0">
                  <c:v>17.600000000000001</c:v>
                </c:pt>
                <c:pt idx="1">
                  <c:v>20.2</c:v>
                </c:pt>
                <c:pt idx="2">
                  <c:v>21</c:v>
                </c:pt>
                <c:pt idx="3">
                  <c:v>21.3</c:v>
                </c:pt>
                <c:pt idx="4">
                  <c:v>21.7</c:v>
                </c:pt>
                <c:pt idx="5">
                  <c:v>22.6</c:v>
                </c:pt>
                <c:pt idx="6">
                  <c:v>23.2</c:v>
                </c:pt>
                <c:pt idx="7">
                  <c:v>23.4</c:v>
                </c:pt>
                <c:pt idx="8">
                  <c:v>23.6</c:v>
                </c:pt>
                <c:pt idx="9">
                  <c:v>23.8</c:v>
                </c:pt>
                <c:pt idx="10">
                  <c:v>24</c:v>
                </c:pt>
                <c:pt idx="11">
                  <c:v>24.3</c:v>
                </c:pt>
                <c:pt idx="12">
                  <c:v>26.3</c:v>
                </c:pt>
                <c:pt idx="13">
                  <c:v>26.4</c:v>
                </c:pt>
                <c:pt idx="14">
                  <c:v>29.4</c:v>
                </c:pt>
                <c:pt idx="15">
                  <c:v>29.6</c:v>
                </c:pt>
                <c:pt idx="16">
                  <c:v>32.200000000000003</c:v>
                </c:pt>
                <c:pt idx="17">
                  <c:v>32.700000000000003</c:v>
                </c:pt>
                <c:pt idx="18">
                  <c:v>36.700000000000003</c:v>
                </c:pt>
                <c:pt idx="19">
                  <c:v>39.4</c:v>
                </c:pt>
                <c:pt idx="20">
                  <c:v>41.7</c:v>
                </c:pt>
                <c:pt idx="21">
                  <c:v>42.3</c:v>
                </c:pt>
                <c:pt idx="22">
                  <c:v>52.4</c:v>
                </c:pt>
                <c:pt idx="23">
                  <c:v>55.5</c:v>
                </c:pt>
                <c:pt idx="24">
                  <c:v>56.4</c:v>
                </c:pt>
                <c:pt idx="25">
                  <c:v>58.9</c:v>
                </c:pt>
                <c:pt idx="26">
                  <c:v>59.6</c:v>
                </c:pt>
                <c:pt idx="27">
                  <c:v>60.9</c:v>
                </c:pt>
                <c:pt idx="28">
                  <c:v>62.1</c:v>
                </c:pt>
                <c:pt idx="29">
                  <c:v>63.2</c:v>
                </c:pt>
                <c:pt idx="30">
                  <c:v>64.3</c:v>
                </c:pt>
                <c:pt idx="31">
                  <c:v>71.2</c:v>
                </c:pt>
              </c:numCache>
            </c:numRef>
          </c:val>
          <c:extLst>
            <c:ext xmlns:c16="http://schemas.microsoft.com/office/drawing/2014/chart" uri="{C3380CC4-5D6E-409C-BE32-E72D297353CC}">
              <c16:uniqueId val="{00000004-8581-4238-A58D-AC0F23410F8D}"/>
            </c:ext>
          </c:extLst>
        </c:ser>
        <c:dLbls>
          <c:showLegendKey val="0"/>
          <c:showVal val="0"/>
          <c:showCatName val="0"/>
          <c:showSerName val="0"/>
          <c:showPercent val="0"/>
          <c:showBubbleSize val="0"/>
        </c:dLbls>
        <c:gapWidth val="100"/>
        <c:overlap val="-24"/>
        <c:axId val="336009944"/>
        <c:axId val="336010272"/>
      </c:barChart>
      <c:catAx>
        <c:axId val="33600994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crossAx val="336010272"/>
        <c:crosses val="autoZero"/>
        <c:auto val="1"/>
        <c:lblAlgn val="ctr"/>
        <c:lblOffset val="100"/>
        <c:noMultiLvlLbl val="0"/>
      </c:catAx>
      <c:valAx>
        <c:axId val="33601027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Mbits/s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36009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200"/>
              <a:t>Access to digital tools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manualLayout>
          <c:layoutTarget val="inner"/>
          <c:xMode val="edge"/>
          <c:yMode val="edge"/>
          <c:x val="7.2046215688115645E-2"/>
          <c:y val="5.0925925925925923E-2"/>
          <c:w val="0.89161079737264526"/>
          <c:h val="0.7376884660250802"/>
        </c:manualLayout>
      </c:layout>
      <c:barChart>
        <c:barDir val="col"/>
        <c:grouping val="clustered"/>
        <c:varyColors val="0"/>
        <c:ser>
          <c:idx val="0"/>
          <c:order val="0"/>
          <c:tx>
            <c:strRef>
              <c:f>'[Chart in Microsoft Word]Sheet4'!$I$4</c:f>
              <c:strCache>
                <c:ptCount val="1"/>
                <c:pt idx="0">
                  <c:v>Smart phone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'[Chart in Microsoft Word]Sheet4'!$J$3</c:f>
              <c:strCache>
                <c:ptCount val="1"/>
                <c:pt idx="0">
                  <c:v>Do you have?</c:v>
                </c:pt>
              </c:strCache>
            </c:strRef>
          </c:cat>
          <c:val>
            <c:numRef>
              <c:f>'[Chart in Microsoft Word]Sheet4'!$J$4</c:f>
              <c:numCache>
                <c:formatCode>0.0%</c:formatCode>
                <c:ptCount val="1"/>
                <c:pt idx="0">
                  <c:v>0.71399999999999997</c:v>
                </c:pt>
              </c:numCache>
            </c:numRef>
          </c:val>
          <c:extLst>
            <c:ext xmlns:c16="http://schemas.microsoft.com/office/drawing/2014/chart" uri="{C3380CC4-5D6E-409C-BE32-E72D297353CC}">
              <c16:uniqueId val="{00000000-A4AC-47ED-A459-F627D8FAD324}"/>
            </c:ext>
          </c:extLst>
        </c:ser>
        <c:ser>
          <c:idx val="1"/>
          <c:order val="1"/>
          <c:tx>
            <c:strRef>
              <c:f>'[Chart in Microsoft Word]Sheet4'!$I$5</c:f>
              <c:strCache>
                <c:ptCount val="1"/>
                <c:pt idx="0">
                  <c:v>Tablet</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'[Chart in Microsoft Word]Sheet4'!$J$3</c:f>
              <c:strCache>
                <c:ptCount val="1"/>
                <c:pt idx="0">
                  <c:v>Do you have?</c:v>
                </c:pt>
              </c:strCache>
            </c:strRef>
          </c:cat>
          <c:val>
            <c:numRef>
              <c:f>'[Chart in Microsoft Word]Sheet4'!$J$5</c:f>
              <c:numCache>
                <c:formatCode>0.0%</c:formatCode>
                <c:ptCount val="1"/>
                <c:pt idx="0">
                  <c:v>0.64300000000000002</c:v>
                </c:pt>
              </c:numCache>
            </c:numRef>
          </c:val>
          <c:extLst>
            <c:ext xmlns:c16="http://schemas.microsoft.com/office/drawing/2014/chart" uri="{C3380CC4-5D6E-409C-BE32-E72D297353CC}">
              <c16:uniqueId val="{00000001-A4AC-47ED-A459-F627D8FAD324}"/>
            </c:ext>
          </c:extLst>
        </c:ser>
        <c:ser>
          <c:idx val="2"/>
          <c:order val="2"/>
          <c:tx>
            <c:strRef>
              <c:f>'[Chart in Microsoft Word]Sheet4'!$I$6</c:f>
              <c:strCache>
                <c:ptCount val="1"/>
                <c:pt idx="0">
                  <c:v>Laptop/PC</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'[Chart in Microsoft Word]Sheet4'!$J$3</c:f>
              <c:strCache>
                <c:ptCount val="1"/>
                <c:pt idx="0">
                  <c:v>Do you have?</c:v>
                </c:pt>
              </c:strCache>
            </c:strRef>
          </c:cat>
          <c:val>
            <c:numRef>
              <c:f>'[Chart in Microsoft Word]Sheet4'!$J$6</c:f>
              <c:numCache>
                <c:formatCode>0.0%</c:formatCode>
                <c:ptCount val="1"/>
                <c:pt idx="0">
                  <c:v>0.78500000000000003</c:v>
                </c:pt>
              </c:numCache>
            </c:numRef>
          </c:val>
          <c:extLst>
            <c:ext xmlns:c16="http://schemas.microsoft.com/office/drawing/2014/chart" uri="{C3380CC4-5D6E-409C-BE32-E72D297353CC}">
              <c16:uniqueId val="{00000002-A4AC-47ED-A459-F627D8FAD324}"/>
            </c:ext>
          </c:extLst>
        </c:ser>
        <c:ser>
          <c:idx val="3"/>
          <c:order val="3"/>
          <c:tx>
            <c:strRef>
              <c:f>'[Chart in Microsoft Word]Sheet4'!$I$7</c:f>
              <c:strCache>
                <c:ptCount val="1"/>
                <c:pt idx="0">
                  <c:v>Phone, tablet and laptop</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'[Chart in Microsoft Word]Sheet4'!$J$3</c:f>
              <c:strCache>
                <c:ptCount val="1"/>
                <c:pt idx="0">
                  <c:v>Do you have?</c:v>
                </c:pt>
              </c:strCache>
            </c:strRef>
          </c:cat>
          <c:val>
            <c:numRef>
              <c:f>'[Chart in Microsoft Word]Sheet4'!$J$7</c:f>
              <c:numCache>
                <c:formatCode>0.00%</c:formatCode>
                <c:ptCount val="1"/>
                <c:pt idx="0">
                  <c:v>0.505</c:v>
                </c:pt>
              </c:numCache>
            </c:numRef>
          </c:val>
          <c:extLst>
            <c:ext xmlns:c16="http://schemas.microsoft.com/office/drawing/2014/chart" uri="{C3380CC4-5D6E-409C-BE32-E72D297353CC}">
              <c16:uniqueId val="{00000003-A4AC-47ED-A459-F627D8FAD324}"/>
            </c:ext>
          </c:extLst>
        </c:ser>
        <c:ser>
          <c:idx val="4"/>
          <c:order val="4"/>
          <c:tx>
            <c:strRef>
              <c:f>'[Chart in Microsoft Word]Sheet4'!$I$8</c:f>
              <c:strCache>
                <c:ptCount val="1"/>
                <c:pt idx="0">
                  <c:v>Phone, tablet or laptop</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'[Chart in Microsoft Word]Sheet4'!$J$3</c:f>
              <c:strCache>
                <c:ptCount val="1"/>
                <c:pt idx="0">
                  <c:v>Do you have?</c:v>
                </c:pt>
              </c:strCache>
            </c:strRef>
          </c:cat>
          <c:val>
            <c:numRef>
              <c:f>'[Chart in Microsoft Word]Sheet4'!$J$8</c:f>
              <c:numCache>
                <c:formatCode>0.00%</c:formatCode>
                <c:ptCount val="1"/>
                <c:pt idx="0">
                  <c:v>0.90200000000000002</c:v>
                </c:pt>
              </c:numCache>
            </c:numRef>
          </c:val>
          <c:extLst>
            <c:ext xmlns:c16="http://schemas.microsoft.com/office/drawing/2014/chart" uri="{C3380CC4-5D6E-409C-BE32-E72D297353CC}">
              <c16:uniqueId val="{00000004-A4AC-47ED-A459-F627D8FAD324}"/>
            </c:ext>
          </c:extLst>
        </c:ser>
        <c:dLbls>
          <c:dLblPos val="outEnd"/>
          <c:showLegendKey val="0"/>
          <c:showVal val="1"/>
          <c:showCatName val="0"/>
          <c:showSerName val="0"/>
          <c:showPercent val="0"/>
          <c:showBubbleSize val="0"/>
        </c:dLbls>
        <c:gapWidth val="100"/>
        <c:overlap val="-24"/>
        <c:axId val="151603840"/>
        <c:axId val="151609728"/>
      </c:barChart>
      <c:catAx>
        <c:axId val="15160384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51609728"/>
        <c:crosses val="autoZero"/>
        <c:auto val="1"/>
        <c:lblAlgn val="ctr"/>
        <c:lblOffset val="100"/>
        <c:noMultiLvlLbl val="0"/>
      </c:catAx>
      <c:valAx>
        <c:axId val="151609728"/>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51603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200" b="0"/>
              <a:t>Crude dependency ratio per 100 working-age population, Aberdeen</a:t>
            </a:r>
            <a:r>
              <a:rPr lang="en-GB" sz="1200" b="0" baseline="0"/>
              <a:t> City and Scotland, 2017</a:t>
            </a:r>
            <a:endParaRPr lang="en-GB" sz="1200" b="0"/>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Sheet3!$O$14</c:f>
              <c:strCache>
                <c:ptCount val="1"/>
                <c:pt idx="0">
                  <c:v>Aberdeen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Sheet3!$N$15:$N$17</c:f>
              <c:strCache>
                <c:ptCount val="3"/>
                <c:pt idx="0">
                  <c:v>All non-working</c:v>
                </c:pt>
                <c:pt idx="1">
                  <c:v>Child (0-15 years)</c:v>
                </c:pt>
                <c:pt idx="2">
                  <c:v>65+ years</c:v>
                </c:pt>
              </c:strCache>
            </c:strRef>
          </c:cat>
          <c:val>
            <c:numRef>
              <c:f>Sheet3!$O$15:$O$17</c:f>
              <c:numCache>
                <c:formatCode>General</c:formatCode>
                <c:ptCount val="3"/>
                <c:pt idx="0">
                  <c:v>44</c:v>
                </c:pt>
                <c:pt idx="1">
                  <c:v>22</c:v>
                </c:pt>
                <c:pt idx="2">
                  <c:v>22</c:v>
                </c:pt>
              </c:numCache>
            </c:numRef>
          </c:val>
          <c:extLst>
            <c:ext xmlns:c16="http://schemas.microsoft.com/office/drawing/2014/chart" uri="{C3380CC4-5D6E-409C-BE32-E72D297353CC}">
              <c16:uniqueId val="{00000000-1898-4303-80B5-6090D09183B1}"/>
            </c:ext>
          </c:extLst>
        </c:ser>
        <c:ser>
          <c:idx val="1"/>
          <c:order val="1"/>
          <c:tx>
            <c:strRef>
              <c:f>Sheet3!$P$14</c:f>
              <c:strCache>
                <c:ptCount val="1"/>
                <c:pt idx="0">
                  <c:v>Scotland</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Sheet3!$N$15:$N$17</c:f>
              <c:strCache>
                <c:ptCount val="3"/>
                <c:pt idx="0">
                  <c:v>All non-working</c:v>
                </c:pt>
                <c:pt idx="1">
                  <c:v>Child (0-15 years)</c:v>
                </c:pt>
                <c:pt idx="2">
                  <c:v>65+ years</c:v>
                </c:pt>
              </c:strCache>
            </c:strRef>
          </c:cat>
          <c:val>
            <c:numRef>
              <c:f>Sheet3!$P$15:$P$17</c:f>
              <c:numCache>
                <c:formatCode>General</c:formatCode>
                <c:ptCount val="3"/>
                <c:pt idx="0">
                  <c:v>55</c:v>
                </c:pt>
                <c:pt idx="1">
                  <c:v>26</c:v>
                </c:pt>
                <c:pt idx="2">
                  <c:v>29</c:v>
                </c:pt>
              </c:numCache>
            </c:numRef>
          </c:val>
          <c:extLst>
            <c:ext xmlns:c16="http://schemas.microsoft.com/office/drawing/2014/chart" uri="{C3380CC4-5D6E-409C-BE32-E72D297353CC}">
              <c16:uniqueId val="{00000001-1898-4303-80B5-6090D09183B1}"/>
            </c:ext>
          </c:extLst>
        </c:ser>
        <c:dLbls>
          <c:dLblPos val="outEnd"/>
          <c:showLegendKey val="0"/>
          <c:showVal val="1"/>
          <c:showCatName val="0"/>
          <c:showSerName val="0"/>
          <c:showPercent val="0"/>
          <c:showBubbleSize val="0"/>
        </c:dLbls>
        <c:gapWidth val="100"/>
        <c:overlap val="-24"/>
        <c:axId val="720299680"/>
        <c:axId val="720303288"/>
      </c:barChart>
      <c:catAx>
        <c:axId val="72029968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20303288"/>
        <c:crosses val="autoZero"/>
        <c:auto val="1"/>
        <c:lblAlgn val="ctr"/>
        <c:lblOffset val="100"/>
        <c:noMultiLvlLbl val="0"/>
      </c:catAx>
      <c:valAx>
        <c:axId val="720303288"/>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Ratio per 100 woking-age population</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20299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en-GB" sz="1200"/>
              <a:t>Proportion of respondents with basic digital skills by age group</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'Digital skills'!$L$17</c:f>
              <c:strCache>
                <c:ptCount val="1"/>
                <c:pt idx="0">
                  <c:v>Yes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'Digital skills'!$K$18:$K$22</c:f>
              <c:strCache>
                <c:ptCount val="5"/>
                <c:pt idx="0">
                  <c:v>16-34 years</c:v>
                </c:pt>
                <c:pt idx="1">
                  <c:v>35-54 years</c:v>
                </c:pt>
                <c:pt idx="2">
                  <c:v>55-65 years</c:v>
                </c:pt>
                <c:pt idx="3">
                  <c:v>65+ years</c:v>
                </c:pt>
                <c:pt idx="4">
                  <c:v>All</c:v>
                </c:pt>
              </c:strCache>
            </c:strRef>
          </c:cat>
          <c:val>
            <c:numRef>
              <c:f>'Digital skills'!$L$18:$L$22</c:f>
              <c:numCache>
                <c:formatCode>0.0%</c:formatCode>
                <c:ptCount val="5"/>
                <c:pt idx="0">
                  <c:v>0.79400000000000004</c:v>
                </c:pt>
                <c:pt idx="1">
                  <c:v>0.85799999999999998</c:v>
                </c:pt>
                <c:pt idx="2">
                  <c:v>0.76400000000000001</c:v>
                </c:pt>
                <c:pt idx="3">
                  <c:v>0.57899999999999996</c:v>
                </c:pt>
                <c:pt idx="4">
                  <c:v>0.70699999999999996</c:v>
                </c:pt>
              </c:numCache>
            </c:numRef>
          </c:val>
          <c:extLst>
            <c:ext xmlns:c16="http://schemas.microsoft.com/office/drawing/2014/chart" uri="{C3380CC4-5D6E-409C-BE32-E72D297353CC}">
              <c16:uniqueId val="{00000000-0534-4403-A95F-7A40C4BC15A8}"/>
            </c:ext>
          </c:extLst>
        </c:ser>
        <c:ser>
          <c:idx val="1"/>
          <c:order val="1"/>
          <c:tx>
            <c:strRef>
              <c:f>'Digital skills'!$M$17</c:f>
              <c:strCache>
                <c:ptCount val="1"/>
                <c:pt idx="0">
                  <c:v>No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'Digital skills'!$K$18:$K$22</c:f>
              <c:strCache>
                <c:ptCount val="5"/>
                <c:pt idx="0">
                  <c:v>16-34 years</c:v>
                </c:pt>
                <c:pt idx="1">
                  <c:v>35-54 years</c:v>
                </c:pt>
                <c:pt idx="2">
                  <c:v>55-65 years</c:v>
                </c:pt>
                <c:pt idx="3">
                  <c:v>65+ years</c:v>
                </c:pt>
                <c:pt idx="4">
                  <c:v>All</c:v>
                </c:pt>
              </c:strCache>
            </c:strRef>
          </c:cat>
          <c:val>
            <c:numRef>
              <c:f>'Digital skills'!$M$18:$M$22</c:f>
              <c:numCache>
                <c:formatCode>0.0%</c:formatCode>
                <c:ptCount val="5"/>
                <c:pt idx="0">
                  <c:v>0.20599999999999999</c:v>
                </c:pt>
                <c:pt idx="1">
                  <c:v>0.14199999999999999</c:v>
                </c:pt>
                <c:pt idx="2">
                  <c:v>0.23599999999999999</c:v>
                </c:pt>
                <c:pt idx="3">
                  <c:v>0.42099999999999999</c:v>
                </c:pt>
                <c:pt idx="4">
                  <c:v>0.29299999999999998</c:v>
                </c:pt>
              </c:numCache>
            </c:numRef>
          </c:val>
          <c:extLst>
            <c:ext xmlns:c16="http://schemas.microsoft.com/office/drawing/2014/chart" uri="{C3380CC4-5D6E-409C-BE32-E72D297353CC}">
              <c16:uniqueId val="{00000001-0534-4403-A95F-7A40C4BC15A8}"/>
            </c:ext>
          </c:extLst>
        </c:ser>
        <c:dLbls>
          <c:dLblPos val="outEnd"/>
          <c:showLegendKey val="0"/>
          <c:showVal val="1"/>
          <c:showCatName val="0"/>
          <c:showSerName val="0"/>
          <c:showPercent val="0"/>
          <c:showBubbleSize val="0"/>
        </c:dLbls>
        <c:gapWidth val="100"/>
        <c:overlap val="-24"/>
        <c:axId val="652864784"/>
        <c:axId val="652865440"/>
      </c:barChart>
      <c:catAx>
        <c:axId val="65286478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52865440"/>
        <c:crosses val="autoZero"/>
        <c:auto val="1"/>
        <c:lblAlgn val="ctr"/>
        <c:lblOffset val="100"/>
        <c:noMultiLvlLbl val="0"/>
      </c:catAx>
      <c:valAx>
        <c:axId val="652865440"/>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52864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GB" sz="1200" b="1"/>
              <a:t>Number and rate of births, Aberdeen City, 1997</a:t>
            </a:r>
            <a:r>
              <a:rPr lang="en-GB" sz="1200" b="1" baseline="0"/>
              <a:t> to 2017</a:t>
            </a:r>
            <a:endParaRPr lang="en-GB" sz="1200" b="1"/>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plotArea>
      <c:layout/>
      <c:lineChart>
        <c:grouping val="standard"/>
        <c:varyColors val="0"/>
        <c:ser>
          <c:idx val="0"/>
          <c:order val="0"/>
          <c:tx>
            <c:strRef>
              <c:f>Births!$K$4</c:f>
              <c:strCache>
                <c:ptCount val="1"/>
                <c:pt idx="0">
                  <c:v>Male</c:v>
                </c:pt>
              </c:strCache>
            </c:strRef>
          </c:tx>
          <c:spPr>
            <a:ln w="38100" cap="rnd">
              <a:solidFill>
                <a:schemeClr val="accent1"/>
              </a:solidFill>
              <a:round/>
            </a:ln>
            <a:effectLst/>
          </c:spPr>
          <c:marker>
            <c:symbol val="none"/>
          </c:marker>
          <c:cat>
            <c:numRef>
              <c:f>Births!$J$6:$J$26</c:f>
              <c:numCache>
                <c:formatCode>General</c:formatCode>
                <c:ptCount val="21"/>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numCache>
            </c:numRef>
          </c:cat>
          <c:val>
            <c:numRef>
              <c:f>Births!$K$6:$K$26</c:f>
              <c:numCache>
                <c:formatCode>General</c:formatCode>
                <c:ptCount val="21"/>
                <c:pt idx="0">
                  <c:v>1242</c:v>
                </c:pt>
                <c:pt idx="1">
                  <c:v>1209</c:v>
                </c:pt>
                <c:pt idx="2">
                  <c:v>1181</c:v>
                </c:pt>
                <c:pt idx="3">
                  <c:v>1090</c:v>
                </c:pt>
                <c:pt idx="4">
                  <c:v>1063</c:v>
                </c:pt>
                <c:pt idx="5">
                  <c:v>1080</c:v>
                </c:pt>
                <c:pt idx="6">
                  <c:v>1037</c:v>
                </c:pt>
                <c:pt idx="7">
                  <c:v>1084</c:v>
                </c:pt>
                <c:pt idx="8">
                  <c:v>1041</c:v>
                </c:pt>
                <c:pt idx="9">
                  <c:v>1110</c:v>
                </c:pt>
                <c:pt idx="10">
                  <c:v>1223</c:v>
                </c:pt>
                <c:pt idx="11">
                  <c:v>1298</c:v>
                </c:pt>
                <c:pt idx="12">
                  <c:v>1365</c:v>
                </c:pt>
                <c:pt idx="13">
                  <c:v>1321</c:v>
                </c:pt>
                <c:pt idx="14">
                  <c:v>1355</c:v>
                </c:pt>
                <c:pt idx="15">
                  <c:v>1354</c:v>
                </c:pt>
                <c:pt idx="16">
                  <c:v>1291</c:v>
                </c:pt>
                <c:pt idx="17">
                  <c:v>1334</c:v>
                </c:pt>
                <c:pt idx="18">
                  <c:v>1344</c:v>
                </c:pt>
                <c:pt idx="19">
                  <c:v>1285</c:v>
                </c:pt>
                <c:pt idx="20">
                  <c:v>1248</c:v>
                </c:pt>
              </c:numCache>
            </c:numRef>
          </c:val>
          <c:smooth val="0"/>
          <c:extLst>
            <c:ext xmlns:c16="http://schemas.microsoft.com/office/drawing/2014/chart" uri="{C3380CC4-5D6E-409C-BE32-E72D297353CC}">
              <c16:uniqueId val="{00000000-ACA2-4B06-8761-BA14A6B8CB7B}"/>
            </c:ext>
          </c:extLst>
        </c:ser>
        <c:ser>
          <c:idx val="1"/>
          <c:order val="1"/>
          <c:tx>
            <c:strRef>
              <c:f>Births!$L$4</c:f>
              <c:strCache>
                <c:ptCount val="1"/>
                <c:pt idx="0">
                  <c:v>Female</c:v>
                </c:pt>
              </c:strCache>
            </c:strRef>
          </c:tx>
          <c:spPr>
            <a:ln w="38100" cap="rnd">
              <a:solidFill>
                <a:schemeClr val="accent2"/>
              </a:solidFill>
              <a:round/>
            </a:ln>
            <a:effectLst/>
          </c:spPr>
          <c:marker>
            <c:symbol val="none"/>
          </c:marker>
          <c:cat>
            <c:numRef>
              <c:f>Births!$J$6:$J$26</c:f>
              <c:numCache>
                <c:formatCode>General</c:formatCode>
                <c:ptCount val="21"/>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numCache>
            </c:numRef>
          </c:cat>
          <c:val>
            <c:numRef>
              <c:f>Births!$L$6:$L$26</c:f>
              <c:numCache>
                <c:formatCode>General</c:formatCode>
                <c:ptCount val="21"/>
                <c:pt idx="0">
                  <c:v>1124</c:v>
                </c:pt>
                <c:pt idx="1">
                  <c:v>1130</c:v>
                </c:pt>
                <c:pt idx="2">
                  <c:v>1130</c:v>
                </c:pt>
                <c:pt idx="3">
                  <c:v>998</c:v>
                </c:pt>
                <c:pt idx="4">
                  <c:v>1034</c:v>
                </c:pt>
                <c:pt idx="5">
                  <c:v>1018</c:v>
                </c:pt>
                <c:pt idx="6">
                  <c:v>966</c:v>
                </c:pt>
                <c:pt idx="7">
                  <c:v>991</c:v>
                </c:pt>
                <c:pt idx="8">
                  <c:v>1020</c:v>
                </c:pt>
                <c:pt idx="9">
                  <c:v>1090</c:v>
                </c:pt>
                <c:pt idx="10">
                  <c:v>1194</c:v>
                </c:pt>
                <c:pt idx="11">
                  <c:v>1298</c:v>
                </c:pt>
                <c:pt idx="12">
                  <c:v>1199</c:v>
                </c:pt>
                <c:pt idx="13">
                  <c:v>1278</c:v>
                </c:pt>
                <c:pt idx="14">
                  <c:v>1253</c:v>
                </c:pt>
                <c:pt idx="15">
                  <c:v>1334</c:v>
                </c:pt>
                <c:pt idx="16">
                  <c:v>1209</c:v>
                </c:pt>
                <c:pt idx="17">
                  <c:v>1231</c:v>
                </c:pt>
                <c:pt idx="18">
                  <c:v>1265</c:v>
                </c:pt>
                <c:pt idx="19">
                  <c:v>1236</c:v>
                </c:pt>
                <c:pt idx="20">
                  <c:v>1154</c:v>
                </c:pt>
              </c:numCache>
            </c:numRef>
          </c:val>
          <c:smooth val="0"/>
          <c:extLst>
            <c:ext xmlns:c16="http://schemas.microsoft.com/office/drawing/2014/chart" uri="{C3380CC4-5D6E-409C-BE32-E72D297353CC}">
              <c16:uniqueId val="{00000001-ACA2-4B06-8761-BA14A6B8CB7B}"/>
            </c:ext>
          </c:extLst>
        </c:ser>
        <c:ser>
          <c:idx val="2"/>
          <c:order val="2"/>
          <c:tx>
            <c:strRef>
              <c:f>Births!$M$4</c:f>
              <c:strCache>
                <c:ptCount val="1"/>
                <c:pt idx="0">
                  <c:v>All births</c:v>
                </c:pt>
              </c:strCache>
            </c:strRef>
          </c:tx>
          <c:spPr>
            <a:ln w="38100" cap="rnd">
              <a:solidFill>
                <a:schemeClr val="accent3"/>
              </a:solidFill>
              <a:round/>
            </a:ln>
            <a:effectLst/>
          </c:spPr>
          <c:marker>
            <c:symbol val="none"/>
          </c:marker>
          <c:cat>
            <c:numRef>
              <c:f>Births!$J$6:$J$26</c:f>
              <c:numCache>
                <c:formatCode>General</c:formatCode>
                <c:ptCount val="21"/>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numCache>
            </c:numRef>
          </c:cat>
          <c:val>
            <c:numRef>
              <c:f>Births!$M$6:$M$26</c:f>
              <c:numCache>
                <c:formatCode>General</c:formatCode>
                <c:ptCount val="21"/>
                <c:pt idx="0">
                  <c:v>2366</c:v>
                </c:pt>
                <c:pt idx="1">
                  <c:v>2339</c:v>
                </c:pt>
                <c:pt idx="2">
                  <c:v>2311</c:v>
                </c:pt>
                <c:pt idx="3">
                  <c:v>2088</c:v>
                </c:pt>
                <c:pt idx="4">
                  <c:v>2097</c:v>
                </c:pt>
                <c:pt idx="5">
                  <c:v>2098</c:v>
                </c:pt>
                <c:pt idx="6">
                  <c:v>2003</c:v>
                </c:pt>
                <c:pt idx="7">
                  <c:v>2075</c:v>
                </c:pt>
                <c:pt idx="8">
                  <c:v>2061</c:v>
                </c:pt>
                <c:pt idx="9">
                  <c:v>2200</c:v>
                </c:pt>
                <c:pt idx="10">
                  <c:v>2417</c:v>
                </c:pt>
                <c:pt idx="11">
                  <c:v>2596</c:v>
                </c:pt>
                <c:pt idx="12">
                  <c:v>2564</c:v>
                </c:pt>
                <c:pt idx="13">
                  <c:v>2599</c:v>
                </c:pt>
                <c:pt idx="14">
                  <c:v>2608</c:v>
                </c:pt>
                <c:pt idx="15">
                  <c:v>2688</c:v>
                </c:pt>
                <c:pt idx="16">
                  <c:v>2500</c:v>
                </c:pt>
                <c:pt idx="17">
                  <c:v>2565</c:v>
                </c:pt>
                <c:pt idx="18">
                  <c:v>2609</c:v>
                </c:pt>
                <c:pt idx="19">
                  <c:v>2521</c:v>
                </c:pt>
                <c:pt idx="20">
                  <c:v>2402</c:v>
                </c:pt>
              </c:numCache>
            </c:numRef>
          </c:val>
          <c:smooth val="0"/>
          <c:extLst>
            <c:ext xmlns:c16="http://schemas.microsoft.com/office/drawing/2014/chart" uri="{C3380CC4-5D6E-409C-BE32-E72D297353CC}">
              <c16:uniqueId val="{00000002-ACA2-4B06-8761-BA14A6B8CB7B}"/>
            </c:ext>
          </c:extLst>
        </c:ser>
        <c:dLbls>
          <c:showLegendKey val="0"/>
          <c:showVal val="0"/>
          <c:showCatName val="0"/>
          <c:showSerName val="0"/>
          <c:showPercent val="0"/>
          <c:showBubbleSize val="0"/>
        </c:dLbls>
        <c:marker val="1"/>
        <c:smooth val="0"/>
        <c:axId val="810387504"/>
        <c:axId val="810387832"/>
      </c:lineChart>
      <c:lineChart>
        <c:grouping val="standard"/>
        <c:varyColors val="0"/>
        <c:ser>
          <c:idx val="3"/>
          <c:order val="3"/>
          <c:tx>
            <c:strRef>
              <c:f>Births!$N$4</c:f>
              <c:strCache>
                <c:ptCount val="1"/>
                <c:pt idx="0">
                  <c:v>Standardised birth rate</c:v>
                </c:pt>
              </c:strCache>
            </c:strRef>
          </c:tx>
          <c:spPr>
            <a:ln w="38100" cap="rnd">
              <a:solidFill>
                <a:schemeClr val="accent4"/>
              </a:solidFill>
              <a:round/>
            </a:ln>
            <a:effectLst/>
          </c:spPr>
          <c:marker>
            <c:symbol val="circle"/>
            <c:size val="8"/>
            <c:spPr>
              <a:solidFill>
                <a:schemeClr val="accent4"/>
              </a:solidFill>
              <a:ln>
                <a:noFill/>
              </a:ln>
              <a:effectLst/>
            </c:spPr>
          </c:marker>
          <c:cat>
            <c:numRef>
              <c:f>Births!$J$6:$J$26</c:f>
              <c:numCache>
                <c:formatCode>General</c:formatCode>
                <c:ptCount val="21"/>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numCache>
            </c:numRef>
          </c:cat>
          <c:val>
            <c:numRef>
              <c:f>Births!$N$6:$N$26</c:f>
              <c:numCache>
                <c:formatCode>General</c:formatCode>
                <c:ptCount val="21"/>
                <c:pt idx="0">
                  <c:v>9.6999999999999993</c:v>
                </c:pt>
                <c:pt idx="1">
                  <c:v>9.6999999999999993</c:v>
                </c:pt>
                <c:pt idx="2">
                  <c:v>9.5</c:v>
                </c:pt>
                <c:pt idx="3">
                  <c:v>8.6999999999999993</c:v>
                </c:pt>
                <c:pt idx="4">
                  <c:v>8.6999999999999993</c:v>
                </c:pt>
                <c:pt idx="5">
                  <c:v>8.8000000000000007</c:v>
                </c:pt>
                <c:pt idx="6">
                  <c:v>8.4</c:v>
                </c:pt>
                <c:pt idx="7">
                  <c:v>8.8000000000000007</c:v>
                </c:pt>
                <c:pt idx="8">
                  <c:v>8.6999999999999993</c:v>
                </c:pt>
                <c:pt idx="9">
                  <c:v>9.1</c:v>
                </c:pt>
                <c:pt idx="10">
                  <c:v>9.6999999999999993</c:v>
                </c:pt>
                <c:pt idx="11">
                  <c:v>10.199999999999999</c:v>
                </c:pt>
                <c:pt idx="12">
                  <c:v>9.6999999999999993</c:v>
                </c:pt>
                <c:pt idx="13">
                  <c:v>9.6</c:v>
                </c:pt>
                <c:pt idx="14">
                  <c:v>9.3000000000000007</c:v>
                </c:pt>
                <c:pt idx="15">
                  <c:v>9.4</c:v>
                </c:pt>
                <c:pt idx="16">
                  <c:v>8.6</c:v>
                </c:pt>
                <c:pt idx="17">
                  <c:v>8.6</c:v>
                </c:pt>
                <c:pt idx="18">
                  <c:v>8.6999999999999993</c:v>
                </c:pt>
                <c:pt idx="19">
                  <c:v>8.5</c:v>
                </c:pt>
                <c:pt idx="20">
                  <c:v>8.3000000000000007</c:v>
                </c:pt>
              </c:numCache>
            </c:numRef>
          </c:val>
          <c:smooth val="0"/>
          <c:extLst>
            <c:ext xmlns:c16="http://schemas.microsoft.com/office/drawing/2014/chart" uri="{C3380CC4-5D6E-409C-BE32-E72D297353CC}">
              <c16:uniqueId val="{00000003-ACA2-4B06-8761-BA14A6B8CB7B}"/>
            </c:ext>
          </c:extLst>
        </c:ser>
        <c:dLbls>
          <c:showLegendKey val="0"/>
          <c:showVal val="0"/>
          <c:showCatName val="0"/>
          <c:showSerName val="0"/>
          <c:showPercent val="0"/>
          <c:showBubbleSize val="0"/>
        </c:dLbls>
        <c:marker val="1"/>
        <c:smooth val="0"/>
        <c:axId val="644503696"/>
        <c:axId val="644501072"/>
      </c:lineChart>
      <c:catAx>
        <c:axId val="81038750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810387832"/>
        <c:crosses val="autoZero"/>
        <c:auto val="1"/>
        <c:lblAlgn val="ctr"/>
        <c:lblOffset val="100"/>
        <c:noMultiLvlLbl val="0"/>
      </c:catAx>
      <c:valAx>
        <c:axId val="81038783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Number of births</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0387504"/>
        <c:crosses val="autoZero"/>
        <c:crossBetween val="between"/>
      </c:valAx>
      <c:valAx>
        <c:axId val="644501072"/>
        <c:scaling>
          <c:orientation val="minMax"/>
        </c:scaling>
        <c:delete val="0"/>
        <c:axPos val="r"/>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Standardised birth rate</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503696"/>
        <c:crosses val="max"/>
        <c:crossBetween val="between"/>
      </c:valAx>
      <c:catAx>
        <c:axId val="644503696"/>
        <c:scaling>
          <c:orientation val="minMax"/>
        </c:scaling>
        <c:delete val="1"/>
        <c:axPos val="b"/>
        <c:numFmt formatCode="General" sourceLinked="1"/>
        <c:majorTickMark val="out"/>
        <c:minorTickMark val="none"/>
        <c:tickLblPos val="nextTo"/>
        <c:crossAx val="644501072"/>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Births by age group of mother, Aberdeen City, 1997 and 2007</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Births!$B$84</c:f>
              <c:strCache>
                <c:ptCount val="1"/>
                <c:pt idx="0">
                  <c:v>1997</c:v>
                </c:pt>
              </c:strCache>
            </c:strRef>
          </c:tx>
          <c:spPr>
            <a:solidFill>
              <a:schemeClr val="accent1"/>
            </a:solidFill>
            <a:ln>
              <a:noFill/>
            </a:ln>
            <a:effectLst/>
          </c:spPr>
          <c:invertIfNegative val="0"/>
          <c:cat>
            <c:strRef>
              <c:f>Births!$A$85:$A$91</c:f>
              <c:strCache>
                <c:ptCount val="6"/>
                <c:pt idx="0">
                  <c:v>0 to 19</c:v>
                </c:pt>
                <c:pt idx="1">
                  <c:v>20 to 24</c:v>
                </c:pt>
                <c:pt idx="2">
                  <c:v>25 to 29</c:v>
                </c:pt>
                <c:pt idx="3">
                  <c:v>30 to 34</c:v>
                </c:pt>
                <c:pt idx="4">
                  <c:v>35 to 39</c:v>
                </c:pt>
                <c:pt idx="5">
                  <c:v>40 and over</c:v>
                </c:pt>
              </c:strCache>
            </c:strRef>
          </c:cat>
          <c:val>
            <c:numRef>
              <c:f>Births!$B$85:$B$91</c:f>
              <c:numCache>
                <c:formatCode>General</c:formatCode>
                <c:ptCount val="6"/>
                <c:pt idx="0">
                  <c:v>187</c:v>
                </c:pt>
                <c:pt idx="1">
                  <c:v>394</c:v>
                </c:pt>
                <c:pt idx="2">
                  <c:v>779</c:v>
                </c:pt>
                <c:pt idx="3">
                  <c:v>688</c:v>
                </c:pt>
                <c:pt idx="4">
                  <c:v>269</c:v>
                </c:pt>
                <c:pt idx="5">
                  <c:v>49</c:v>
                </c:pt>
              </c:numCache>
            </c:numRef>
          </c:val>
          <c:extLst>
            <c:ext xmlns:c16="http://schemas.microsoft.com/office/drawing/2014/chart" uri="{C3380CC4-5D6E-409C-BE32-E72D297353CC}">
              <c16:uniqueId val="{00000000-16F3-4B53-8D45-FB6A291D3708}"/>
            </c:ext>
          </c:extLst>
        </c:ser>
        <c:ser>
          <c:idx val="1"/>
          <c:order val="1"/>
          <c:tx>
            <c:strRef>
              <c:f>Births!$C$84</c:f>
              <c:strCache>
                <c:ptCount val="1"/>
                <c:pt idx="0">
                  <c:v>2017</c:v>
                </c:pt>
              </c:strCache>
            </c:strRef>
          </c:tx>
          <c:spPr>
            <a:solidFill>
              <a:schemeClr val="accent2"/>
            </a:solidFill>
            <a:ln>
              <a:noFill/>
            </a:ln>
            <a:effectLst/>
          </c:spPr>
          <c:invertIfNegative val="0"/>
          <c:cat>
            <c:strRef>
              <c:f>Births!$A$85:$A$91</c:f>
              <c:strCache>
                <c:ptCount val="6"/>
                <c:pt idx="0">
                  <c:v>0 to 19</c:v>
                </c:pt>
                <c:pt idx="1">
                  <c:v>20 to 24</c:v>
                </c:pt>
                <c:pt idx="2">
                  <c:v>25 to 29</c:v>
                </c:pt>
                <c:pt idx="3">
                  <c:v>30 to 34</c:v>
                </c:pt>
                <c:pt idx="4">
                  <c:v>35 to 39</c:v>
                </c:pt>
                <c:pt idx="5">
                  <c:v>40 and over</c:v>
                </c:pt>
              </c:strCache>
            </c:strRef>
          </c:cat>
          <c:val>
            <c:numRef>
              <c:f>Births!$C$85:$C$91</c:f>
              <c:numCache>
                <c:formatCode>General</c:formatCode>
                <c:ptCount val="6"/>
                <c:pt idx="0">
                  <c:v>69</c:v>
                </c:pt>
                <c:pt idx="1">
                  <c:v>311</c:v>
                </c:pt>
                <c:pt idx="2">
                  <c:v>704</c:v>
                </c:pt>
                <c:pt idx="3">
                  <c:v>821</c:v>
                </c:pt>
                <c:pt idx="4">
                  <c:v>420</c:v>
                </c:pt>
                <c:pt idx="5">
                  <c:v>77</c:v>
                </c:pt>
              </c:numCache>
            </c:numRef>
          </c:val>
          <c:extLst>
            <c:ext xmlns:c16="http://schemas.microsoft.com/office/drawing/2014/chart" uri="{C3380CC4-5D6E-409C-BE32-E72D297353CC}">
              <c16:uniqueId val="{00000001-16F3-4B53-8D45-FB6A291D3708}"/>
            </c:ext>
          </c:extLst>
        </c:ser>
        <c:dLbls>
          <c:showLegendKey val="0"/>
          <c:showVal val="0"/>
          <c:showCatName val="0"/>
          <c:showSerName val="0"/>
          <c:showPercent val="0"/>
          <c:showBubbleSize val="0"/>
        </c:dLbls>
        <c:gapWidth val="219"/>
        <c:overlap val="-27"/>
        <c:axId val="265921728"/>
        <c:axId val="265929272"/>
      </c:barChart>
      <c:lineChart>
        <c:grouping val="standard"/>
        <c:varyColors val="0"/>
        <c:ser>
          <c:idx val="2"/>
          <c:order val="2"/>
          <c:tx>
            <c:strRef>
              <c:f>Births!$D$84</c:f>
              <c:strCache>
                <c:ptCount val="1"/>
                <c:pt idx="0">
                  <c:v>% change</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2.5000000000000001E-2"/>
                  <c:y val="-0.11111111111111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6F3-4B53-8D45-FB6A291D3708}"/>
                </c:ext>
              </c:extLst>
            </c:dLbl>
            <c:dLbl>
              <c:idx val="1"/>
              <c:layout>
                <c:manualLayout>
                  <c:x val="0"/>
                  <c:y val="-9.25925925925925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6F3-4B53-8D45-FB6A291D3708}"/>
                </c:ext>
              </c:extLst>
            </c:dLbl>
            <c:dLbl>
              <c:idx val="2"/>
              <c:layout>
                <c:manualLayout>
                  <c:x val="1.9444444444444445E-2"/>
                  <c:y val="2.3148148148148147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6.7527777777777784E-2"/>
                      <c:h val="5.5486293379994167E-2"/>
                    </c:manualLayout>
                  </c15:layout>
                </c:ext>
                <c:ext xmlns:c16="http://schemas.microsoft.com/office/drawing/2014/chart" uri="{C3380CC4-5D6E-409C-BE32-E72D297353CC}">
                  <c16:uniqueId val="{00000004-16F3-4B53-8D45-FB6A291D3708}"/>
                </c:ext>
              </c:extLst>
            </c:dLbl>
            <c:dLbl>
              <c:idx val="3"/>
              <c:layout>
                <c:manualLayout>
                  <c:x val="5.555555555555545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6F3-4B53-8D45-FB6A291D3708}"/>
                </c:ext>
              </c:extLst>
            </c:dLbl>
            <c:dLbl>
              <c:idx val="4"/>
              <c:layout>
                <c:manualLayout>
                  <c:x val="-3.888888888888889E-2"/>
                  <c:y val="-0.1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6F3-4B53-8D45-FB6A291D370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Births!$A$85:$A$91</c:f>
              <c:strCache>
                <c:ptCount val="6"/>
                <c:pt idx="0">
                  <c:v>0 to 19</c:v>
                </c:pt>
                <c:pt idx="1">
                  <c:v>20 to 24</c:v>
                </c:pt>
                <c:pt idx="2">
                  <c:v>25 to 29</c:v>
                </c:pt>
                <c:pt idx="3">
                  <c:v>30 to 34</c:v>
                </c:pt>
                <c:pt idx="4">
                  <c:v>35 to 39</c:v>
                </c:pt>
                <c:pt idx="5">
                  <c:v>40 and over</c:v>
                </c:pt>
              </c:strCache>
            </c:strRef>
          </c:cat>
          <c:val>
            <c:numRef>
              <c:f>Births!$D$85:$D$91</c:f>
              <c:numCache>
                <c:formatCode>0%</c:formatCode>
                <c:ptCount val="6"/>
                <c:pt idx="0">
                  <c:v>-0.63100000000000001</c:v>
                </c:pt>
                <c:pt idx="1">
                  <c:v>-0.21100000000000002</c:v>
                </c:pt>
                <c:pt idx="2">
                  <c:v>-9.6000000000000002E-2</c:v>
                </c:pt>
                <c:pt idx="3">
                  <c:v>0.193</c:v>
                </c:pt>
                <c:pt idx="4">
                  <c:v>0.56100000000000005</c:v>
                </c:pt>
                <c:pt idx="5">
                  <c:v>0.57100000000000006</c:v>
                </c:pt>
              </c:numCache>
            </c:numRef>
          </c:val>
          <c:smooth val="0"/>
          <c:extLst>
            <c:ext xmlns:c16="http://schemas.microsoft.com/office/drawing/2014/chart" uri="{C3380CC4-5D6E-409C-BE32-E72D297353CC}">
              <c16:uniqueId val="{00000007-16F3-4B53-8D45-FB6A291D3708}"/>
            </c:ext>
          </c:extLst>
        </c:ser>
        <c:dLbls>
          <c:showLegendKey val="0"/>
          <c:showVal val="0"/>
          <c:showCatName val="0"/>
          <c:showSerName val="0"/>
          <c:showPercent val="0"/>
          <c:showBubbleSize val="0"/>
        </c:dLbls>
        <c:marker val="1"/>
        <c:smooth val="0"/>
        <c:axId val="620019384"/>
        <c:axId val="620017744"/>
      </c:lineChart>
      <c:catAx>
        <c:axId val="265921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5929272"/>
        <c:crosses val="autoZero"/>
        <c:auto val="1"/>
        <c:lblAlgn val="ctr"/>
        <c:lblOffset val="100"/>
        <c:noMultiLvlLbl val="0"/>
      </c:catAx>
      <c:valAx>
        <c:axId val="265929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5921728"/>
        <c:crosses val="autoZero"/>
        <c:crossBetween val="between"/>
      </c:valAx>
      <c:valAx>
        <c:axId val="620017744"/>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0019384"/>
        <c:crosses val="max"/>
        <c:crossBetween val="between"/>
      </c:valAx>
      <c:catAx>
        <c:axId val="620019384"/>
        <c:scaling>
          <c:orientation val="minMax"/>
        </c:scaling>
        <c:delete val="1"/>
        <c:axPos val="b"/>
        <c:numFmt formatCode="General" sourceLinked="1"/>
        <c:majorTickMark val="out"/>
        <c:minorTickMark val="none"/>
        <c:tickLblPos val="nextTo"/>
        <c:crossAx val="6200177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sz="1200" b="1"/>
              <a:t>Number of deaths and standardised death rate, Aberdeen City, 1997 to 2007</a:t>
            </a: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plotArea>
      <c:layout/>
      <c:lineChart>
        <c:grouping val="standard"/>
        <c:varyColors val="0"/>
        <c:ser>
          <c:idx val="0"/>
          <c:order val="0"/>
          <c:tx>
            <c:strRef>
              <c:f>deaths!$L$5</c:f>
              <c:strCache>
                <c:ptCount val="1"/>
                <c:pt idx="0">
                  <c:v>Male</c:v>
                </c:pt>
              </c:strCache>
            </c:strRef>
          </c:tx>
          <c:spPr>
            <a:ln w="38100" cap="rnd">
              <a:solidFill>
                <a:schemeClr val="accent1"/>
              </a:solidFill>
              <a:round/>
            </a:ln>
            <a:effectLst/>
          </c:spPr>
          <c:marker>
            <c:symbol val="none"/>
          </c:marker>
          <c:cat>
            <c:numRef>
              <c:f>deaths!$K$7:$K$27</c:f>
              <c:numCache>
                <c:formatCode>General</c:formatCode>
                <c:ptCount val="21"/>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numCache>
            </c:numRef>
          </c:cat>
          <c:val>
            <c:numRef>
              <c:f>deaths!$L$7:$L$27</c:f>
              <c:numCache>
                <c:formatCode>General</c:formatCode>
                <c:ptCount val="21"/>
                <c:pt idx="0">
                  <c:v>1044</c:v>
                </c:pt>
                <c:pt idx="1">
                  <c:v>1011</c:v>
                </c:pt>
                <c:pt idx="2">
                  <c:v>1099</c:v>
                </c:pt>
                <c:pt idx="3">
                  <c:v>1043</c:v>
                </c:pt>
                <c:pt idx="4">
                  <c:v>1075</c:v>
                </c:pt>
                <c:pt idx="5">
                  <c:v>1084</c:v>
                </c:pt>
                <c:pt idx="6">
                  <c:v>994</c:v>
                </c:pt>
                <c:pt idx="7">
                  <c:v>1012</c:v>
                </c:pt>
                <c:pt idx="8">
                  <c:v>1023</c:v>
                </c:pt>
                <c:pt idx="9">
                  <c:v>1022</c:v>
                </c:pt>
                <c:pt idx="10">
                  <c:v>1047</c:v>
                </c:pt>
                <c:pt idx="11">
                  <c:v>1010</c:v>
                </c:pt>
                <c:pt idx="12">
                  <c:v>996</c:v>
                </c:pt>
                <c:pt idx="13">
                  <c:v>928</c:v>
                </c:pt>
                <c:pt idx="14">
                  <c:v>957</c:v>
                </c:pt>
                <c:pt idx="15">
                  <c:v>989</c:v>
                </c:pt>
                <c:pt idx="16">
                  <c:v>980</c:v>
                </c:pt>
                <c:pt idx="17">
                  <c:v>1068</c:v>
                </c:pt>
                <c:pt idx="18">
                  <c:v>1077</c:v>
                </c:pt>
                <c:pt idx="19">
                  <c:v>1024</c:v>
                </c:pt>
                <c:pt idx="20">
                  <c:v>1028</c:v>
                </c:pt>
              </c:numCache>
            </c:numRef>
          </c:val>
          <c:smooth val="0"/>
          <c:extLst>
            <c:ext xmlns:c16="http://schemas.microsoft.com/office/drawing/2014/chart" uri="{C3380CC4-5D6E-409C-BE32-E72D297353CC}">
              <c16:uniqueId val="{00000000-E2A7-4787-A4BD-40BC386E2D1B}"/>
            </c:ext>
          </c:extLst>
        </c:ser>
        <c:ser>
          <c:idx val="1"/>
          <c:order val="1"/>
          <c:tx>
            <c:strRef>
              <c:f>deaths!$M$5</c:f>
              <c:strCache>
                <c:ptCount val="1"/>
                <c:pt idx="0">
                  <c:v>Female</c:v>
                </c:pt>
              </c:strCache>
            </c:strRef>
          </c:tx>
          <c:spPr>
            <a:ln w="38100" cap="rnd">
              <a:solidFill>
                <a:schemeClr val="accent2"/>
              </a:solidFill>
              <a:round/>
            </a:ln>
            <a:effectLst/>
          </c:spPr>
          <c:marker>
            <c:symbol val="none"/>
          </c:marker>
          <c:cat>
            <c:numRef>
              <c:f>deaths!$K$7:$K$27</c:f>
              <c:numCache>
                <c:formatCode>General</c:formatCode>
                <c:ptCount val="21"/>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numCache>
            </c:numRef>
          </c:cat>
          <c:val>
            <c:numRef>
              <c:f>deaths!$M$7:$M$27</c:f>
              <c:numCache>
                <c:formatCode>General</c:formatCode>
                <c:ptCount val="21"/>
                <c:pt idx="0">
                  <c:v>1205</c:v>
                </c:pt>
                <c:pt idx="1">
                  <c:v>1197</c:v>
                </c:pt>
                <c:pt idx="2">
                  <c:v>1223</c:v>
                </c:pt>
                <c:pt idx="3">
                  <c:v>1246</c:v>
                </c:pt>
                <c:pt idx="4">
                  <c:v>1115</c:v>
                </c:pt>
                <c:pt idx="5">
                  <c:v>1124</c:v>
                </c:pt>
                <c:pt idx="6">
                  <c:v>1182</c:v>
                </c:pt>
                <c:pt idx="7">
                  <c:v>1131</c:v>
                </c:pt>
                <c:pt idx="8">
                  <c:v>1098</c:v>
                </c:pt>
                <c:pt idx="9">
                  <c:v>1067</c:v>
                </c:pt>
                <c:pt idx="10">
                  <c:v>1133</c:v>
                </c:pt>
                <c:pt idx="11">
                  <c:v>1125</c:v>
                </c:pt>
                <c:pt idx="12">
                  <c:v>1060</c:v>
                </c:pt>
                <c:pt idx="13">
                  <c:v>1093</c:v>
                </c:pt>
                <c:pt idx="14">
                  <c:v>1016</c:v>
                </c:pt>
                <c:pt idx="15">
                  <c:v>1089</c:v>
                </c:pt>
                <c:pt idx="16">
                  <c:v>1067</c:v>
                </c:pt>
                <c:pt idx="17">
                  <c:v>1119</c:v>
                </c:pt>
                <c:pt idx="18">
                  <c:v>1110</c:v>
                </c:pt>
                <c:pt idx="19">
                  <c:v>1105</c:v>
                </c:pt>
                <c:pt idx="20">
                  <c:v>1102</c:v>
                </c:pt>
              </c:numCache>
            </c:numRef>
          </c:val>
          <c:smooth val="0"/>
          <c:extLst>
            <c:ext xmlns:c16="http://schemas.microsoft.com/office/drawing/2014/chart" uri="{C3380CC4-5D6E-409C-BE32-E72D297353CC}">
              <c16:uniqueId val="{00000001-E2A7-4787-A4BD-40BC386E2D1B}"/>
            </c:ext>
          </c:extLst>
        </c:ser>
        <c:ser>
          <c:idx val="2"/>
          <c:order val="2"/>
          <c:tx>
            <c:strRef>
              <c:f>deaths!$N$5</c:f>
              <c:strCache>
                <c:ptCount val="1"/>
                <c:pt idx="0">
                  <c:v>All people</c:v>
                </c:pt>
              </c:strCache>
            </c:strRef>
          </c:tx>
          <c:spPr>
            <a:ln w="38100" cap="rnd">
              <a:solidFill>
                <a:schemeClr val="accent3"/>
              </a:solidFill>
              <a:round/>
            </a:ln>
            <a:effectLst/>
          </c:spPr>
          <c:marker>
            <c:symbol val="none"/>
          </c:marker>
          <c:cat>
            <c:numRef>
              <c:f>deaths!$K$7:$K$27</c:f>
              <c:numCache>
                <c:formatCode>General</c:formatCode>
                <c:ptCount val="21"/>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numCache>
            </c:numRef>
          </c:cat>
          <c:val>
            <c:numRef>
              <c:f>deaths!$N$7:$N$27</c:f>
              <c:numCache>
                <c:formatCode>General</c:formatCode>
                <c:ptCount val="21"/>
                <c:pt idx="0">
                  <c:v>2249</c:v>
                </c:pt>
                <c:pt idx="1">
                  <c:v>2208</c:v>
                </c:pt>
                <c:pt idx="2">
                  <c:v>2322</c:v>
                </c:pt>
                <c:pt idx="3">
                  <c:v>2289</c:v>
                </c:pt>
                <c:pt idx="4">
                  <c:v>2190</c:v>
                </c:pt>
                <c:pt idx="5">
                  <c:v>2208</c:v>
                </c:pt>
                <c:pt idx="6">
                  <c:v>2176</c:v>
                </c:pt>
                <c:pt idx="7">
                  <c:v>2143</c:v>
                </c:pt>
                <c:pt idx="8">
                  <c:v>2121</c:v>
                </c:pt>
                <c:pt idx="9">
                  <c:v>2089</c:v>
                </c:pt>
                <c:pt idx="10">
                  <c:v>2180</c:v>
                </c:pt>
                <c:pt idx="11">
                  <c:v>2135</c:v>
                </c:pt>
                <c:pt idx="12">
                  <c:v>2056</c:v>
                </c:pt>
                <c:pt idx="13">
                  <c:v>2021</c:v>
                </c:pt>
                <c:pt idx="14">
                  <c:v>1973</c:v>
                </c:pt>
                <c:pt idx="15">
                  <c:v>2078</c:v>
                </c:pt>
                <c:pt idx="16">
                  <c:v>2047</c:v>
                </c:pt>
                <c:pt idx="17">
                  <c:v>2187</c:v>
                </c:pt>
                <c:pt idx="18">
                  <c:v>2187</c:v>
                </c:pt>
                <c:pt idx="19">
                  <c:v>2129</c:v>
                </c:pt>
                <c:pt idx="20">
                  <c:v>2130</c:v>
                </c:pt>
              </c:numCache>
            </c:numRef>
          </c:val>
          <c:smooth val="0"/>
          <c:extLst>
            <c:ext xmlns:c16="http://schemas.microsoft.com/office/drawing/2014/chart" uri="{C3380CC4-5D6E-409C-BE32-E72D297353CC}">
              <c16:uniqueId val="{00000002-E2A7-4787-A4BD-40BC386E2D1B}"/>
            </c:ext>
          </c:extLst>
        </c:ser>
        <c:dLbls>
          <c:showLegendKey val="0"/>
          <c:showVal val="0"/>
          <c:showCatName val="0"/>
          <c:showSerName val="0"/>
          <c:showPercent val="0"/>
          <c:showBubbleSize val="0"/>
        </c:dLbls>
        <c:marker val="1"/>
        <c:smooth val="0"/>
        <c:axId val="417856432"/>
        <c:axId val="417854136"/>
      </c:lineChart>
      <c:lineChart>
        <c:grouping val="standard"/>
        <c:varyColors val="0"/>
        <c:ser>
          <c:idx val="3"/>
          <c:order val="3"/>
          <c:tx>
            <c:strRef>
              <c:f>deaths!$O$5</c:f>
              <c:strCache>
                <c:ptCount val="1"/>
                <c:pt idx="0">
                  <c:v>Standardised death rate</c:v>
                </c:pt>
              </c:strCache>
            </c:strRef>
          </c:tx>
          <c:spPr>
            <a:ln w="38100" cap="rnd">
              <a:solidFill>
                <a:schemeClr val="accent4"/>
              </a:solidFill>
              <a:round/>
            </a:ln>
            <a:effectLst/>
          </c:spPr>
          <c:marker>
            <c:symbol val="circle"/>
            <c:size val="8"/>
            <c:spPr>
              <a:solidFill>
                <a:schemeClr val="accent4"/>
              </a:solidFill>
              <a:ln>
                <a:noFill/>
              </a:ln>
              <a:effectLst/>
            </c:spPr>
          </c:marker>
          <c:cat>
            <c:numRef>
              <c:f>deaths!$K$7:$K$27</c:f>
              <c:numCache>
                <c:formatCode>General</c:formatCode>
                <c:ptCount val="21"/>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numCache>
            </c:numRef>
          </c:cat>
          <c:val>
            <c:numRef>
              <c:f>deaths!$O$7:$O$27</c:f>
              <c:numCache>
                <c:formatCode>General</c:formatCode>
                <c:ptCount val="21"/>
                <c:pt idx="0">
                  <c:v>10.8</c:v>
                </c:pt>
                <c:pt idx="1">
                  <c:v>10.6</c:v>
                </c:pt>
                <c:pt idx="2">
                  <c:v>11.2</c:v>
                </c:pt>
                <c:pt idx="3">
                  <c:v>11.1</c:v>
                </c:pt>
                <c:pt idx="4">
                  <c:v>10.7</c:v>
                </c:pt>
                <c:pt idx="5">
                  <c:v>10.8</c:v>
                </c:pt>
                <c:pt idx="6">
                  <c:v>10.7</c:v>
                </c:pt>
                <c:pt idx="7">
                  <c:v>10.6</c:v>
                </c:pt>
                <c:pt idx="8">
                  <c:v>10.5</c:v>
                </c:pt>
                <c:pt idx="9">
                  <c:v>10.3</c:v>
                </c:pt>
                <c:pt idx="10">
                  <c:v>10.8</c:v>
                </c:pt>
                <c:pt idx="11">
                  <c:v>10.6</c:v>
                </c:pt>
                <c:pt idx="12">
                  <c:v>10.199999999999999</c:v>
                </c:pt>
                <c:pt idx="13">
                  <c:v>10</c:v>
                </c:pt>
                <c:pt idx="14">
                  <c:v>9.8000000000000007</c:v>
                </c:pt>
                <c:pt idx="15">
                  <c:v>10.3</c:v>
                </c:pt>
                <c:pt idx="16">
                  <c:v>10.1</c:v>
                </c:pt>
                <c:pt idx="17">
                  <c:v>10.9</c:v>
                </c:pt>
                <c:pt idx="18">
                  <c:v>10.9</c:v>
                </c:pt>
                <c:pt idx="19">
                  <c:v>10.6</c:v>
                </c:pt>
                <c:pt idx="20">
                  <c:v>10.6</c:v>
                </c:pt>
              </c:numCache>
            </c:numRef>
          </c:val>
          <c:smooth val="0"/>
          <c:extLst>
            <c:ext xmlns:c16="http://schemas.microsoft.com/office/drawing/2014/chart" uri="{C3380CC4-5D6E-409C-BE32-E72D297353CC}">
              <c16:uniqueId val="{00000003-E2A7-4787-A4BD-40BC386E2D1B}"/>
            </c:ext>
          </c:extLst>
        </c:ser>
        <c:dLbls>
          <c:showLegendKey val="0"/>
          <c:showVal val="0"/>
          <c:showCatName val="0"/>
          <c:showSerName val="0"/>
          <c:showPercent val="0"/>
          <c:showBubbleSize val="0"/>
        </c:dLbls>
        <c:marker val="1"/>
        <c:smooth val="0"/>
        <c:axId val="630894920"/>
        <c:axId val="630904104"/>
      </c:lineChart>
      <c:catAx>
        <c:axId val="4178564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none" spc="0" normalizeH="0" baseline="0">
                <a:solidFill>
                  <a:schemeClr val="tx1">
                    <a:lumMod val="65000"/>
                    <a:lumOff val="35000"/>
                  </a:schemeClr>
                </a:solidFill>
                <a:latin typeface="+mn-lt"/>
                <a:ea typeface="+mn-ea"/>
                <a:cs typeface="+mn-cs"/>
              </a:defRPr>
            </a:pPr>
            <a:endParaRPr lang="en-US"/>
          </a:p>
        </c:txPr>
        <c:crossAx val="417854136"/>
        <c:crosses val="autoZero"/>
        <c:auto val="1"/>
        <c:lblAlgn val="ctr"/>
        <c:lblOffset val="100"/>
        <c:noMultiLvlLbl val="0"/>
      </c:catAx>
      <c:valAx>
        <c:axId val="41785413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r>
                  <a:rPr lang="en-US" sz="800"/>
                  <a:t>number of deaths</a:t>
                </a:r>
              </a:p>
            </c:rich>
          </c:tx>
          <c:overlay val="0"/>
          <c:spPr>
            <a:noFill/>
            <a:ln>
              <a:noFill/>
            </a:ln>
            <a:effectLst/>
          </c:spPr>
          <c:txPr>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17856432"/>
        <c:crosses val="autoZero"/>
        <c:crossBetween val="between"/>
      </c:valAx>
      <c:valAx>
        <c:axId val="630904104"/>
        <c:scaling>
          <c:orientation val="minMax"/>
          <c:max val="12"/>
          <c:min val="7"/>
        </c:scaling>
        <c:delete val="0"/>
        <c:axPos val="r"/>
        <c:title>
          <c:tx>
            <c:rich>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r>
                  <a:rPr lang="en-US" sz="800"/>
                  <a:t>standardised death rate</a:t>
                </a:r>
              </a:p>
            </c:rich>
          </c:tx>
          <c:overlay val="0"/>
          <c:spPr>
            <a:noFill/>
            <a:ln>
              <a:noFill/>
            </a:ln>
            <a:effectLst/>
          </c:spPr>
          <c:txPr>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30894920"/>
        <c:crosses val="max"/>
        <c:crossBetween val="between"/>
      </c:valAx>
      <c:catAx>
        <c:axId val="630894920"/>
        <c:scaling>
          <c:orientation val="minMax"/>
        </c:scaling>
        <c:delete val="1"/>
        <c:axPos val="b"/>
        <c:numFmt formatCode="General" sourceLinked="1"/>
        <c:majorTickMark val="out"/>
        <c:minorTickMark val="none"/>
        <c:tickLblPos val="nextTo"/>
        <c:crossAx val="630904104"/>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100" b="0"/>
              <a:t>Mortality rate by Intermediate Zone, Aberdeen City, 2014-2016</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Sheet1!$C$57</c:f>
              <c:strCache>
                <c:ptCount val="1"/>
                <c:pt idx="0">
                  <c:v>Rate per 1,000 population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23"/>
            <c:invertIfNegative val="0"/>
            <c:bubble3D val="0"/>
            <c:spPr>
              <a:solidFill>
                <a:schemeClr val="accent2"/>
              </a:solidFill>
              <a:ln>
                <a:noFill/>
              </a:ln>
              <a:effectLst/>
            </c:spPr>
            <c:extLst>
              <c:ext xmlns:c16="http://schemas.microsoft.com/office/drawing/2014/chart" uri="{C3380CC4-5D6E-409C-BE32-E72D297353CC}">
                <c16:uniqueId val="{00000001-805B-4DB5-B5F3-BCFA24D774AF}"/>
              </c:ext>
            </c:extLst>
          </c:dPt>
          <c:dLbls>
            <c:dLbl>
              <c:idx val="23"/>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05B-4DB5-B5F3-BCFA24D774AF}"/>
                </c:ext>
              </c:extLst>
            </c:dLbl>
            <c:dLbl>
              <c:idx val="49"/>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05B-4DB5-B5F3-BCFA24D774A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Sheet1!$B$58:$B$107</c:f>
              <c:strCache>
                <c:ptCount val="50"/>
                <c:pt idx="0">
                  <c:v>West End North</c:v>
                </c:pt>
                <c:pt idx="1">
                  <c:v>Cults, Bieldside and Milltimber East</c:v>
                </c:pt>
                <c:pt idx="2">
                  <c:v>Braeside, Mannofield, Broomhill and Seafield East</c:v>
                </c:pt>
                <c:pt idx="3">
                  <c:v>Braeside, Mannofield, Broomhill and Seafield South</c:v>
                </c:pt>
                <c:pt idx="4">
                  <c:v>Hanover North</c:v>
                </c:pt>
                <c:pt idx="5">
                  <c:v>Braeside, Mannofield, Broomhill and Seafield North</c:v>
                </c:pt>
                <c:pt idx="6">
                  <c:v>West End South</c:v>
                </c:pt>
                <c:pt idx="7">
                  <c:v>Cove South</c:v>
                </c:pt>
                <c:pt idx="8">
                  <c:v>Hazlehead</c:v>
                </c:pt>
                <c:pt idx="9">
                  <c:v>Cults, Bieldside and Milltimber West</c:v>
                </c:pt>
                <c:pt idx="10">
                  <c:v>Kincorth, Leggart and Nigg South</c:v>
                </c:pt>
                <c:pt idx="11">
                  <c:v>Rosemount</c:v>
                </c:pt>
                <c:pt idx="12">
                  <c:v>Midstocket</c:v>
                </c:pt>
                <c:pt idx="13">
                  <c:v>Bucksburn South</c:v>
                </c:pt>
                <c:pt idx="14">
                  <c:v>Culter</c:v>
                </c:pt>
                <c:pt idx="15">
                  <c:v>Oldmachar East</c:v>
                </c:pt>
                <c:pt idx="16">
                  <c:v>Balgownie and Donmouth West</c:v>
                </c:pt>
                <c:pt idx="17">
                  <c:v>Bucksburn North</c:v>
                </c:pt>
                <c:pt idx="18">
                  <c:v>Hilton</c:v>
                </c:pt>
                <c:pt idx="19">
                  <c:v>Denmore</c:v>
                </c:pt>
                <c:pt idx="20">
                  <c:v>Kingswells</c:v>
                </c:pt>
                <c:pt idx="21">
                  <c:v>Oldmachar West</c:v>
                </c:pt>
                <c:pt idx="22">
                  <c:v>Dyce</c:v>
                </c:pt>
                <c:pt idx="23">
                  <c:v>Aberdeen City</c:v>
                </c:pt>
                <c:pt idx="24">
                  <c:v>Ferryhill North</c:v>
                </c:pt>
                <c:pt idx="25">
                  <c:v>Balgownie and Donmouth East</c:v>
                </c:pt>
                <c:pt idx="26">
                  <c:v>Froghall, Powis and Sunnybank</c:v>
                </c:pt>
                <c:pt idx="27">
                  <c:v>Mastrick</c:v>
                </c:pt>
                <c:pt idx="28">
                  <c:v>Ferryhill South</c:v>
                </c:pt>
                <c:pt idx="29">
                  <c:v>Cummings Park</c:v>
                </c:pt>
                <c:pt idx="30">
                  <c:v>City Centre East (Aberdeen City)</c:v>
                </c:pt>
                <c:pt idx="31">
                  <c:v>Tillydrone</c:v>
                </c:pt>
                <c:pt idx="32">
                  <c:v>Old Aberdeen</c:v>
                </c:pt>
                <c:pt idx="33">
                  <c:v>Stockethill</c:v>
                </c:pt>
                <c:pt idx="34">
                  <c:v>City Centre West (Aberdeen City)</c:v>
                </c:pt>
                <c:pt idx="35">
                  <c:v>Sheddocksley</c:v>
                </c:pt>
                <c:pt idx="36">
                  <c:v>Summerhill</c:v>
                </c:pt>
                <c:pt idx="37">
                  <c:v>Danestone</c:v>
                </c:pt>
                <c:pt idx="38">
                  <c:v>Northfield</c:v>
                </c:pt>
                <c:pt idx="39">
                  <c:v>George Street</c:v>
                </c:pt>
                <c:pt idx="40">
                  <c:v>Kincorth, Leggart and Nigg North</c:v>
                </c:pt>
                <c:pt idx="41">
                  <c:v>Garthdee</c:v>
                </c:pt>
                <c:pt idx="42">
                  <c:v>Cove North</c:v>
                </c:pt>
                <c:pt idx="43">
                  <c:v>Heathryfold and Middlefield</c:v>
                </c:pt>
                <c:pt idx="44">
                  <c:v>Torry East</c:v>
                </c:pt>
                <c:pt idx="45">
                  <c:v>Torry West</c:v>
                </c:pt>
                <c:pt idx="46">
                  <c:v>Woodside (Aberdeen City)</c:v>
                </c:pt>
                <c:pt idx="47">
                  <c:v>Ashgrove</c:v>
                </c:pt>
                <c:pt idx="48">
                  <c:v>Seaton</c:v>
                </c:pt>
                <c:pt idx="49">
                  <c:v>Hanover South</c:v>
                </c:pt>
              </c:strCache>
            </c:strRef>
          </c:cat>
          <c:val>
            <c:numRef>
              <c:f>Sheet1!$C$58:$C$107</c:f>
              <c:numCache>
                <c:formatCode>0.0</c:formatCode>
                <c:ptCount val="50"/>
                <c:pt idx="0">
                  <c:v>6.8359336190706594</c:v>
                </c:pt>
                <c:pt idx="1">
                  <c:v>8.5112301529264798</c:v>
                </c:pt>
                <c:pt idx="2">
                  <c:v>8.5504240099549307</c:v>
                </c:pt>
                <c:pt idx="3">
                  <c:v>8.5793227943332404</c:v>
                </c:pt>
                <c:pt idx="4">
                  <c:v>9.1825727005356104</c:v>
                </c:pt>
                <c:pt idx="5">
                  <c:v>9.2588995657095001</c:v>
                </c:pt>
                <c:pt idx="6">
                  <c:v>9.3729499307675397</c:v>
                </c:pt>
                <c:pt idx="7">
                  <c:v>9.5384684273544593</c:v>
                </c:pt>
                <c:pt idx="8">
                  <c:v>9.7047823625957594</c:v>
                </c:pt>
                <c:pt idx="9">
                  <c:v>10.0955985302855</c:v>
                </c:pt>
                <c:pt idx="10">
                  <c:v>10.3060978252217</c:v>
                </c:pt>
                <c:pt idx="11">
                  <c:v>10.519790502958799</c:v>
                </c:pt>
                <c:pt idx="12">
                  <c:v>10.783796133993802</c:v>
                </c:pt>
                <c:pt idx="13">
                  <c:v>10.8069177316008</c:v>
                </c:pt>
                <c:pt idx="14">
                  <c:v>10.9031158369573</c:v>
                </c:pt>
                <c:pt idx="15">
                  <c:v>10.941124874255999</c:v>
                </c:pt>
                <c:pt idx="16">
                  <c:v>11.0186485336353</c:v>
                </c:pt>
                <c:pt idx="17">
                  <c:v>11.0401900047498</c:v>
                </c:pt>
                <c:pt idx="18">
                  <c:v>11.130244359095499</c:v>
                </c:pt>
                <c:pt idx="19">
                  <c:v>11.132915310996999</c:v>
                </c:pt>
                <c:pt idx="20">
                  <c:v>11.200688760713298</c:v>
                </c:pt>
                <c:pt idx="21">
                  <c:v>11.362495933441901</c:v>
                </c:pt>
                <c:pt idx="22">
                  <c:v>11.786947956522599</c:v>
                </c:pt>
                <c:pt idx="23">
                  <c:v>11.9</c:v>
                </c:pt>
                <c:pt idx="24">
                  <c:v>12.163614724415799</c:v>
                </c:pt>
                <c:pt idx="25">
                  <c:v>12.202247908795801</c:v>
                </c:pt>
                <c:pt idx="26">
                  <c:v>12.222301591103701</c:v>
                </c:pt>
                <c:pt idx="27">
                  <c:v>12.232862188678</c:v>
                </c:pt>
                <c:pt idx="28">
                  <c:v>12.361900531498</c:v>
                </c:pt>
                <c:pt idx="29">
                  <c:v>12.5057833046839</c:v>
                </c:pt>
                <c:pt idx="30">
                  <c:v>12.613969791553499</c:v>
                </c:pt>
                <c:pt idx="31">
                  <c:v>13.011374684681501</c:v>
                </c:pt>
                <c:pt idx="32">
                  <c:v>13.1215920657375</c:v>
                </c:pt>
                <c:pt idx="33">
                  <c:v>13.3461055615138</c:v>
                </c:pt>
                <c:pt idx="34">
                  <c:v>13.603995034222601</c:v>
                </c:pt>
                <c:pt idx="35">
                  <c:v>13.649440326014101</c:v>
                </c:pt>
                <c:pt idx="36">
                  <c:v>13.928974004551002</c:v>
                </c:pt>
                <c:pt idx="37">
                  <c:v>13.960401251715099</c:v>
                </c:pt>
                <c:pt idx="38">
                  <c:v>14.009553165484899</c:v>
                </c:pt>
                <c:pt idx="39">
                  <c:v>14.0215114563836</c:v>
                </c:pt>
                <c:pt idx="40">
                  <c:v>14.7462676894095</c:v>
                </c:pt>
                <c:pt idx="41">
                  <c:v>15.3966616442434</c:v>
                </c:pt>
                <c:pt idx="42">
                  <c:v>15.808047250846801</c:v>
                </c:pt>
                <c:pt idx="43">
                  <c:v>16.883476608320201</c:v>
                </c:pt>
                <c:pt idx="44">
                  <c:v>16.9988819885643</c:v>
                </c:pt>
                <c:pt idx="45">
                  <c:v>17.000263158613201</c:v>
                </c:pt>
                <c:pt idx="46">
                  <c:v>17.255840215793</c:v>
                </c:pt>
                <c:pt idx="47">
                  <c:v>17.460804381027398</c:v>
                </c:pt>
                <c:pt idx="48">
                  <c:v>18.065560899468302</c:v>
                </c:pt>
                <c:pt idx="49">
                  <c:v>36.032155100505705</c:v>
                </c:pt>
              </c:numCache>
            </c:numRef>
          </c:val>
          <c:extLst>
            <c:ext xmlns:c16="http://schemas.microsoft.com/office/drawing/2014/chart" uri="{C3380CC4-5D6E-409C-BE32-E72D297353CC}">
              <c16:uniqueId val="{00000003-805B-4DB5-B5F3-BCFA24D774AF}"/>
            </c:ext>
          </c:extLst>
        </c:ser>
        <c:dLbls>
          <c:showLegendKey val="0"/>
          <c:showVal val="0"/>
          <c:showCatName val="0"/>
          <c:showSerName val="0"/>
          <c:showPercent val="0"/>
          <c:showBubbleSize val="0"/>
        </c:dLbls>
        <c:gapWidth val="100"/>
        <c:overlap val="-24"/>
        <c:axId val="645029400"/>
        <c:axId val="645030384"/>
      </c:barChart>
      <c:catAx>
        <c:axId val="64502940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crossAx val="645030384"/>
        <c:crosses val="autoZero"/>
        <c:auto val="1"/>
        <c:lblAlgn val="ctr"/>
        <c:lblOffset val="100"/>
        <c:tickLblSkip val="1"/>
        <c:noMultiLvlLbl val="0"/>
      </c:catAx>
      <c:valAx>
        <c:axId val="64503038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Mortality rate per 1,000 popultion</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crossAx val="645029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'rank_chart (1)'!$M$4</c:f>
              <c:strCache>
                <c:ptCount val="1"/>
                <c:pt idx="0">
                  <c:v>Rate of all cause mortality, 15-44 year olds, Intermediate Zones, Aberdeen City, 2014-2016</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28"/>
            <c:invertIfNegative val="0"/>
            <c:bubble3D val="0"/>
            <c:spPr>
              <a:solidFill>
                <a:schemeClr val="accent2"/>
              </a:solidFill>
              <a:ln>
                <a:noFill/>
              </a:ln>
              <a:effectLst/>
            </c:spPr>
            <c:extLst>
              <c:ext xmlns:c16="http://schemas.microsoft.com/office/drawing/2014/chart" uri="{C3380CC4-5D6E-409C-BE32-E72D297353CC}">
                <c16:uniqueId val="{00000001-94D2-413A-8663-88A19D140DF8}"/>
              </c:ext>
            </c:extLst>
          </c:dPt>
          <c:dLbls>
            <c:dLbl>
              <c:idx val="28"/>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4D2-413A-8663-88A19D140DF8}"/>
                </c:ext>
              </c:extLst>
            </c:dLbl>
            <c:dLbl>
              <c:idx val="49"/>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4D2-413A-8663-88A19D140D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'rank_chart (1)'!$L$5:$L$54</c:f>
              <c:strCache>
                <c:ptCount val="50"/>
                <c:pt idx="0">
                  <c:v>Braeside, Mannofield, Broomhill and Seafield South</c:v>
                </c:pt>
                <c:pt idx="1">
                  <c:v>Braeside, Mannofield, Broomhill and Seafield North</c:v>
                </c:pt>
                <c:pt idx="2">
                  <c:v>Oldmachar East</c:v>
                </c:pt>
                <c:pt idx="3">
                  <c:v>Dyce</c:v>
                </c:pt>
                <c:pt idx="4">
                  <c:v>Hazlehead</c:v>
                </c:pt>
                <c:pt idx="5">
                  <c:v>Oldmachar West</c:v>
                </c:pt>
                <c:pt idx="6">
                  <c:v>West End South</c:v>
                </c:pt>
                <c:pt idx="7">
                  <c:v>Cults, Bieldside and Milltimber East</c:v>
                </c:pt>
                <c:pt idx="8">
                  <c:v>Kingswells</c:v>
                </c:pt>
                <c:pt idx="9">
                  <c:v>Balgownie and Donmouth East</c:v>
                </c:pt>
                <c:pt idx="10">
                  <c:v>West End North</c:v>
                </c:pt>
                <c:pt idx="11">
                  <c:v>Rosemount</c:v>
                </c:pt>
                <c:pt idx="12">
                  <c:v>Cults, Bieldside and Milltimber West</c:v>
                </c:pt>
                <c:pt idx="13">
                  <c:v>Denmore</c:v>
                </c:pt>
                <c:pt idx="14">
                  <c:v>Midstocket</c:v>
                </c:pt>
                <c:pt idx="15">
                  <c:v>Ferryhill North</c:v>
                </c:pt>
                <c:pt idx="16">
                  <c:v>Bucksburn South</c:v>
                </c:pt>
                <c:pt idx="17">
                  <c:v>Danestone</c:v>
                </c:pt>
                <c:pt idx="18">
                  <c:v>Braeside, Mannofield, Broomhill and Seafield East</c:v>
                </c:pt>
                <c:pt idx="19">
                  <c:v>Ashgrove</c:v>
                </c:pt>
                <c:pt idx="20">
                  <c:v>City Centre West </c:v>
                </c:pt>
                <c:pt idx="21">
                  <c:v>Summerhill</c:v>
                </c:pt>
                <c:pt idx="22">
                  <c:v>Ferryhill South</c:v>
                </c:pt>
                <c:pt idx="23">
                  <c:v>Cove South</c:v>
                </c:pt>
                <c:pt idx="24">
                  <c:v>Balgownie and Donmouth West</c:v>
                </c:pt>
                <c:pt idx="25">
                  <c:v>City Centre East </c:v>
                </c:pt>
                <c:pt idx="26">
                  <c:v>Froghall, Powis and Sunnybank</c:v>
                </c:pt>
                <c:pt idx="27">
                  <c:v>Aberdeen City</c:v>
                </c:pt>
                <c:pt idx="28">
                  <c:v>Bucksburn North</c:v>
                </c:pt>
                <c:pt idx="29">
                  <c:v>Culter</c:v>
                </c:pt>
                <c:pt idx="30">
                  <c:v>Cove North</c:v>
                </c:pt>
                <c:pt idx="31">
                  <c:v>Stockethill</c:v>
                </c:pt>
                <c:pt idx="32">
                  <c:v>Hilton</c:v>
                </c:pt>
                <c:pt idx="33">
                  <c:v>Heathryfold and Middlefield</c:v>
                </c:pt>
                <c:pt idx="34">
                  <c:v>Old Aberdeen</c:v>
                </c:pt>
                <c:pt idx="35">
                  <c:v>Kincorth, Leggart and Nigg North</c:v>
                </c:pt>
                <c:pt idx="36">
                  <c:v>Garthdee</c:v>
                </c:pt>
                <c:pt idx="37">
                  <c:v>Torry West</c:v>
                </c:pt>
                <c:pt idx="38">
                  <c:v>Cummings Park</c:v>
                </c:pt>
                <c:pt idx="39">
                  <c:v>Northfield</c:v>
                </c:pt>
                <c:pt idx="40">
                  <c:v>Sheddocksley</c:v>
                </c:pt>
                <c:pt idx="41">
                  <c:v>Hanover North</c:v>
                </c:pt>
                <c:pt idx="42">
                  <c:v>Tillydrone</c:v>
                </c:pt>
                <c:pt idx="43">
                  <c:v>Hanover South</c:v>
                </c:pt>
                <c:pt idx="44">
                  <c:v>Kincorth, Leggart and Nigg South</c:v>
                </c:pt>
                <c:pt idx="45">
                  <c:v>George Street</c:v>
                </c:pt>
                <c:pt idx="46">
                  <c:v>Mastrick</c:v>
                </c:pt>
                <c:pt idx="47">
                  <c:v>Woodside</c:v>
                </c:pt>
                <c:pt idx="48">
                  <c:v>Torry East</c:v>
                </c:pt>
                <c:pt idx="49">
                  <c:v>Seaton</c:v>
                </c:pt>
              </c:strCache>
            </c:strRef>
          </c:cat>
          <c:val>
            <c:numRef>
              <c:f>'rank_chart (1)'!$M$5:$M$54</c:f>
              <c:numCache>
                <c:formatCode>0.0</c:formatCode>
                <c:ptCount val="50"/>
                <c:pt idx="0">
                  <c:v>0</c:v>
                </c:pt>
                <c:pt idx="1">
                  <c:v>17.2481766213286</c:v>
                </c:pt>
                <c:pt idx="2">
                  <c:v>18.130957314546201</c:v>
                </c:pt>
                <c:pt idx="3">
                  <c:v>18.951700238249899</c:v>
                </c:pt>
                <c:pt idx="4">
                  <c:v>19.571239311092398</c:v>
                </c:pt>
                <c:pt idx="5">
                  <c:v>21.9298245614035</c:v>
                </c:pt>
                <c:pt idx="6">
                  <c:v>28.8400098127976</c:v>
                </c:pt>
                <c:pt idx="7">
                  <c:v>31.2262056139935</c:v>
                </c:pt>
                <c:pt idx="8">
                  <c:v>36.383971838563497</c:v>
                </c:pt>
                <c:pt idx="9">
                  <c:v>38.537767011671399</c:v>
                </c:pt>
                <c:pt idx="10">
                  <c:v>46.8016668813463</c:v>
                </c:pt>
                <c:pt idx="11">
                  <c:v>47.531674685035398</c:v>
                </c:pt>
                <c:pt idx="12">
                  <c:v>47.680930241675902</c:v>
                </c:pt>
                <c:pt idx="13">
                  <c:v>47.8184183408842</c:v>
                </c:pt>
                <c:pt idx="14">
                  <c:v>52.118719292512701</c:v>
                </c:pt>
                <c:pt idx="15">
                  <c:v>53.318116445930499</c:v>
                </c:pt>
                <c:pt idx="16">
                  <c:v>54.800611761979297</c:v>
                </c:pt>
                <c:pt idx="17">
                  <c:v>69.256097475050396</c:v>
                </c:pt>
                <c:pt idx="18">
                  <c:v>78.067540537382399</c:v>
                </c:pt>
                <c:pt idx="19">
                  <c:v>82.930322549938296</c:v>
                </c:pt>
                <c:pt idx="20">
                  <c:v>83.390121622515096</c:v>
                </c:pt>
                <c:pt idx="21">
                  <c:v>89.459309279060307</c:v>
                </c:pt>
                <c:pt idx="22">
                  <c:v>92.412040489278198</c:v>
                </c:pt>
                <c:pt idx="23">
                  <c:v>96.525565008929107</c:v>
                </c:pt>
                <c:pt idx="24">
                  <c:v>98.614728233967</c:v>
                </c:pt>
                <c:pt idx="25">
                  <c:v>98.6321206817519</c:v>
                </c:pt>
                <c:pt idx="26">
                  <c:v>98.818208325101693</c:v>
                </c:pt>
                <c:pt idx="27">
                  <c:v>105.20816374163699</c:v>
                </c:pt>
                <c:pt idx="28">
                  <c:v>107.653091090787</c:v>
                </c:pt>
                <c:pt idx="29">
                  <c:v>110.202708137922</c:v>
                </c:pt>
                <c:pt idx="30">
                  <c:v>111.310108495961</c:v>
                </c:pt>
                <c:pt idx="31">
                  <c:v>118.24721859680599</c:v>
                </c:pt>
                <c:pt idx="32">
                  <c:v>123.684764338693</c:v>
                </c:pt>
                <c:pt idx="33">
                  <c:v>127.037048962678</c:v>
                </c:pt>
                <c:pt idx="34">
                  <c:v>129.64177911692099</c:v>
                </c:pt>
                <c:pt idx="35">
                  <c:v>136.846051279893</c:v>
                </c:pt>
                <c:pt idx="36">
                  <c:v>141.07409029099301</c:v>
                </c:pt>
                <c:pt idx="37">
                  <c:v>148.36079144669301</c:v>
                </c:pt>
                <c:pt idx="38">
                  <c:v>156.015628425708</c:v>
                </c:pt>
                <c:pt idx="39">
                  <c:v>168.51172184462601</c:v>
                </c:pt>
                <c:pt idx="40">
                  <c:v>169.37989669108299</c:v>
                </c:pt>
                <c:pt idx="41">
                  <c:v>185.88522097070199</c:v>
                </c:pt>
                <c:pt idx="42">
                  <c:v>192.83970658204501</c:v>
                </c:pt>
                <c:pt idx="43">
                  <c:v>194.68406372434299</c:v>
                </c:pt>
                <c:pt idx="44">
                  <c:v>206.03361391567799</c:v>
                </c:pt>
                <c:pt idx="45">
                  <c:v>226.405137591331</c:v>
                </c:pt>
                <c:pt idx="46">
                  <c:v>232.60343492579099</c:v>
                </c:pt>
                <c:pt idx="47">
                  <c:v>261.653584863638</c:v>
                </c:pt>
                <c:pt idx="48">
                  <c:v>264.92805790650499</c:v>
                </c:pt>
                <c:pt idx="49">
                  <c:v>322.94683220569999</c:v>
                </c:pt>
              </c:numCache>
            </c:numRef>
          </c:val>
          <c:extLst>
            <c:ext xmlns:c16="http://schemas.microsoft.com/office/drawing/2014/chart" uri="{C3380CC4-5D6E-409C-BE32-E72D297353CC}">
              <c16:uniqueId val="{00000002-94D2-413A-8663-88A19D140DF8}"/>
            </c:ext>
          </c:extLst>
        </c:ser>
        <c:dLbls>
          <c:showLegendKey val="0"/>
          <c:showVal val="0"/>
          <c:showCatName val="0"/>
          <c:showSerName val="0"/>
          <c:showPercent val="0"/>
          <c:showBubbleSize val="0"/>
        </c:dLbls>
        <c:gapWidth val="100"/>
        <c:overlap val="-24"/>
        <c:axId val="728423728"/>
        <c:axId val="728432912"/>
      </c:barChart>
      <c:catAx>
        <c:axId val="72842372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crossAx val="728432912"/>
        <c:crosses val="autoZero"/>
        <c:auto val="1"/>
        <c:lblAlgn val="ctr"/>
        <c:lblOffset val="100"/>
        <c:tickLblSkip val="1"/>
        <c:noMultiLvlLbl val="0"/>
      </c:catAx>
      <c:valAx>
        <c:axId val="72843291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Rate per 100,000 population</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284237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cap="none" spc="120" normalizeH="0" baseline="0">
                <a:solidFill>
                  <a:schemeClr val="tx1">
                    <a:lumMod val="65000"/>
                    <a:lumOff val="35000"/>
                  </a:schemeClr>
                </a:solidFill>
                <a:latin typeface="+mn-lt"/>
                <a:ea typeface="+mn-ea"/>
                <a:cs typeface="+mn-cs"/>
              </a:defRPr>
            </a:pPr>
            <a:r>
              <a:rPr lang="en-GB" sz="1050" b="0" cap="none"/>
              <a:t>Life Expectancy At Birth For Males And Females, Aberdeen City And Scotland, 2001-2003 To 2014-2016</a:t>
            </a:r>
          </a:p>
        </c:rich>
      </c:tx>
      <c:overlay val="0"/>
      <c:spPr>
        <a:noFill/>
        <a:ln>
          <a:noFill/>
        </a:ln>
        <a:effectLst/>
      </c:spPr>
      <c:txPr>
        <a:bodyPr rot="0" spcFirstLastPara="1" vertOverflow="ellipsis" vert="horz" wrap="square" anchor="ctr" anchorCtr="1"/>
        <a:lstStyle/>
        <a:p>
          <a:pPr>
            <a:defRPr sz="1100" b="0" i="0" u="none" strike="noStrike" kern="1200" cap="none" spc="120" normalizeH="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'Life expectancy'!$B$2</c:f>
              <c:strCache>
                <c:ptCount val="1"/>
                <c:pt idx="0">
                  <c:v>Males - Aberdeen</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'Life expectancy'!$A$3:$A$16</c:f>
              <c:strCache>
                <c:ptCount val="14"/>
                <c:pt idx="0">
                  <c:v>2001-2003</c:v>
                </c:pt>
                <c:pt idx="1">
                  <c:v>2002-2004</c:v>
                </c:pt>
                <c:pt idx="2">
                  <c:v>2003-2005</c:v>
                </c:pt>
                <c:pt idx="3">
                  <c:v>2004-2006</c:v>
                </c:pt>
                <c:pt idx="4">
                  <c:v>2005-2007</c:v>
                </c:pt>
                <c:pt idx="5">
                  <c:v>2006-2008</c:v>
                </c:pt>
                <c:pt idx="6">
                  <c:v>2007-2009</c:v>
                </c:pt>
                <c:pt idx="7">
                  <c:v>2008-2010</c:v>
                </c:pt>
                <c:pt idx="8">
                  <c:v>2009-2011</c:v>
                </c:pt>
                <c:pt idx="9">
                  <c:v>2010-2012</c:v>
                </c:pt>
                <c:pt idx="10">
                  <c:v>2011-2013</c:v>
                </c:pt>
                <c:pt idx="11">
                  <c:v>2012-2014</c:v>
                </c:pt>
                <c:pt idx="12">
                  <c:v>2013-2015</c:v>
                </c:pt>
                <c:pt idx="13">
                  <c:v>2014-2016</c:v>
                </c:pt>
              </c:strCache>
            </c:strRef>
          </c:cat>
          <c:val>
            <c:numRef>
              <c:f>'Life expectancy'!$B$3:$B$16</c:f>
              <c:numCache>
                <c:formatCode>0.0</c:formatCode>
                <c:ptCount val="14"/>
                <c:pt idx="0">
                  <c:v>74.129490000000004</c:v>
                </c:pt>
                <c:pt idx="1">
                  <c:v>74.390919999999994</c:v>
                </c:pt>
                <c:pt idx="2">
                  <c:v>74.894090000000006</c:v>
                </c:pt>
                <c:pt idx="3">
                  <c:v>74.841809999999995</c:v>
                </c:pt>
                <c:pt idx="4">
                  <c:v>75.119299999999996</c:v>
                </c:pt>
                <c:pt idx="5">
                  <c:v>75.289609999999996</c:v>
                </c:pt>
                <c:pt idx="6">
                  <c:v>75.598320000000001</c:v>
                </c:pt>
                <c:pt idx="7">
                  <c:v>76.132339999999999</c:v>
                </c:pt>
                <c:pt idx="8">
                  <c:v>76.546090000000007</c:v>
                </c:pt>
                <c:pt idx="9">
                  <c:v>77.004980000000003</c:v>
                </c:pt>
                <c:pt idx="10">
                  <c:v>77.029150000000001</c:v>
                </c:pt>
                <c:pt idx="11">
                  <c:v>76.729534122330691</c:v>
                </c:pt>
                <c:pt idx="12">
                  <c:v>76.572591124754311</c:v>
                </c:pt>
                <c:pt idx="13" formatCode="0.0\ \ \ \ ">
                  <c:v>76.403066059757364</c:v>
                </c:pt>
              </c:numCache>
            </c:numRef>
          </c:val>
          <c:smooth val="0"/>
          <c:extLst>
            <c:ext xmlns:c16="http://schemas.microsoft.com/office/drawing/2014/chart" uri="{C3380CC4-5D6E-409C-BE32-E72D297353CC}">
              <c16:uniqueId val="{00000000-BFFB-43D8-9BF7-515A74424631}"/>
            </c:ext>
          </c:extLst>
        </c:ser>
        <c:ser>
          <c:idx val="1"/>
          <c:order val="1"/>
          <c:tx>
            <c:strRef>
              <c:f>'Life expectancy'!$C$2</c:f>
              <c:strCache>
                <c:ptCount val="1"/>
                <c:pt idx="0">
                  <c:v>Females - Aberdeen</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'Life expectancy'!$A$3:$A$16</c:f>
              <c:strCache>
                <c:ptCount val="14"/>
                <c:pt idx="0">
                  <c:v>2001-2003</c:v>
                </c:pt>
                <c:pt idx="1">
                  <c:v>2002-2004</c:v>
                </c:pt>
                <c:pt idx="2">
                  <c:v>2003-2005</c:v>
                </c:pt>
                <c:pt idx="3">
                  <c:v>2004-2006</c:v>
                </c:pt>
                <c:pt idx="4">
                  <c:v>2005-2007</c:v>
                </c:pt>
                <c:pt idx="5">
                  <c:v>2006-2008</c:v>
                </c:pt>
                <c:pt idx="6">
                  <c:v>2007-2009</c:v>
                </c:pt>
                <c:pt idx="7">
                  <c:v>2008-2010</c:v>
                </c:pt>
                <c:pt idx="8">
                  <c:v>2009-2011</c:v>
                </c:pt>
                <c:pt idx="9">
                  <c:v>2010-2012</c:v>
                </c:pt>
                <c:pt idx="10">
                  <c:v>2011-2013</c:v>
                </c:pt>
                <c:pt idx="11">
                  <c:v>2012-2014</c:v>
                </c:pt>
                <c:pt idx="12">
                  <c:v>2013-2015</c:v>
                </c:pt>
                <c:pt idx="13">
                  <c:v>2014-2016</c:v>
                </c:pt>
              </c:strCache>
            </c:strRef>
          </c:cat>
          <c:val>
            <c:numRef>
              <c:f>'Life expectancy'!$C$3:$C$16</c:f>
              <c:numCache>
                <c:formatCode>0.0</c:formatCode>
                <c:ptCount val="14"/>
                <c:pt idx="0">
                  <c:v>79.966899999999995</c:v>
                </c:pt>
                <c:pt idx="1">
                  <c:v>79.957809999999995</c:v>
                </c:pt>
                <c:pt idx="2">
                  <c:v>79.985159999999993</c:v>
                </c:pt>
                <c:pt idx="3">
                  <c:v>80.117739999999998</c:v>
                </c:pt>
                <c:pt idx="4">
                  <c:v>80.162649999999999</c:v>
                </c:pt>
                <c:pt idx="5">
                  <c:v>80.287790000000001</c:v>
                </c:pt>
                <c:pt idx="6">
                  <c:v>80.541700000000006</c:v>
                </c:pt>
                <c:pt idx="7">
                  <c:v>80.791719999999998</c:v>
                </c:pt>
                <c:pt idx="8">
                  <c:v>81.068830000000005</c:v>
                </c:pt>
                <c:pt idx="9">
                  <c:v>81.071569999999994</c:v>
                </c:pt>
                <c:pt idx="10">
                  <c:v>81.241320000000002</c:v>
                </c:pt>
                <c:pt idx="11">
                  <c:v>81.002530074432357</c:v>
                </c:pt>
                <c:pt idx="12">
                  <c:v>80.949989089684536</c:v>
                </c:pt>
                <c:pt idx="13" formatCode="0.0\ \ \ \ ">
                  <c:v>80.841087764490169</c:v>
                </c:pt>
              </c:numCache>
            </c:numRef>
          </c:val>
          <c:smooth val="0"/>
          <c:extLst>
            <c:ext xmlns:c16="http://schemas.microsoft.com/office/drawing/2014/chart" uri="{C3380CC4-5D6E-409C-BE32-E72D297353CC}">
              <c16:uniqueId val="{00000001-BFFB-43D8-9BF7-515A74424631}"/>
            </c:ext>
          </c:extLst>
        </c:ser>
        <c:ser>
          <c:idx val="2"/>
          <c:order val="2"/>
          <c:tx>
            <c:strRef>
              <c:f>'Life expectancy'!$D$2</c:f>
              <c:strCache>
                <c:ptCount val="1"/>
                <c:pt idx="0">
                  <c:v>Males - Scotland</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'Life expectancy'!$A$3:$A$16</c:f>
              <c:strCache>
                <c:ptCount val="14"/>
                <c:pt idx="0">
                  <c:v>2001-2003</c:v>
                </c:pt>
                <c:pt idx="1">
                  <c:v>2002-2004</c:v>
                </c:pt>
                <c:pt idx="2">
                  <c:v>2003-2005</c:v>
                </c:pt>
                <c:pt idx="3">
                  <c:v>2004-2006</c:v>
                </c:pt>
                <c:pt idx="4">
                  <c:v>2005-2007</c:v>
                </c:pt>
                <c:pt idx="5">
                  <c:v>2006-2008</c:v>
                </c:pt>
                <c:pt idx="6">
                  <c:v>2007-2009</c:v>
                </c:pt>
                <c:pt idx="7">
                  <c:v>2008-2010</c:v>
                </c:pt>
                <c:pt idx="8">
                  <c:v>2009-2011</c:v>
                </c:pt>
                <c:pt idx="9">
                  <c:v>2010-2012</c:v>
                </c:pt>
                <c:pt idx="10">
                  <c:v>2011-2013</c:v>
                </c:pt>
                <c:pt idx="11">
                  <c:v>2012-2014</c:v>
                </c:pt>
                <c:pt idx="12">
                  <c:v>2013-2015</c:v>
                </c:pt>
                <c:pt idx="13">
                  <c:v>2014-2016</c:v>
                </c:pt>
              </c:strCache>
            </c:strRef>
          </c:cat>
          <c:val>
            <c:numRef>
              <c:f>'Life expectancy'!$D$3:$D$16</c:f>
              <c:numCache>
                <c:formatCode>0.0\ \ \ \ </c:formatCode>
                <c:ptCount val="14"/>
                <c:pt idx="0">
                  <c:v>73.489829999999998</c:v>
                </c:pt>
                <c:pt idx="1">
                  <c:v>73.764420000000001</c:v>
                </c:pt>
                <c:pt idx="2">
                  <c:v>74.210099999999997</c:v>
                </c:pt>
                <c:pt idx="3">
                  <c:v>74.586489999999998</c:v>
                </c:pt>
                <c:pt idx="4">
                  <c:v>74.793300000000002</c:v>
                </c:pt>
                <c:pt idx="5">
                  <c:v>74.989670000000004</c:v>
                </c:pt>
                <c:pt idx="6">
                  <c:v>75.343459999999993</c:v>
                </c:pt>
                <c:pt idx="7">
                  <c:v>75.796769999999995</c:v>
                </c:pt>
                <c:pt idx="8">
                  <c:v>76.222830000000002</c:v>
                </c:pt>
                <c:pt idx="9">
                  <c:v>76.528919999999999</c:v>
                </c:pt>
                <c:pt idx="10">
                  <c:v>76.804839999999999</c:v>
                </c:pt>
                <c:pt idx="11">
                  <c:v>77.081477242886379</c:v>
                </c:pt>
                <c:pt idx="12">
                  <c:v>77.116362329423694</c:v>
                </c:pt>
                <c:pt idx="13">
                  <c:v>77.089146333104949</c:v>
                </c:pt>
              </c:numCache>
            </c:numRef>
          </c:val>
          <c:smooth val="0"/>
          <c:extLst>
            <c:ext xmlns:c16="http://schemas.microsoft.com/office/drawing/2014/chart" uri="{C3380CC4-5D6E-409C-BE32-E72D297353CC}">
              <c16:uniqueId val="{00000002-BFFB-43D8-9BF7-515A74424631}"/>
            </c:ext>
          </c:extLst>
        </c:ser>
        <c:ser>
          <c:idx val="3"/>
          <c:order val="3"/>
          <c:tx>
            <c:strRef>
              <c:f>'Life expectancy'!$E$2</c:f>
              <c:strCache>
                <c:ptCount val="1"/>
                <c:pt idx="0">
                  <c:v>Females - Scotland</c:v>
                </c:pt>
              </c:strCache>
            </c:strRef>
          </c:tx>
          <c:spPr>
            <a:ln w="22225" cap="rnd">
              <a:solidFill>
                <a:schemeClr val="accent4"/>
              </a:solidFill>
              <a:round/>
            </a:ln>
            <a:effectLst/>
          </c:spPr>
          <c:marker>
            <c:symbol val="x"/>
            <c:size val="6"/>
            <c:spPr>
              <a:noFill/>
              <a:ln w="9525">
                <a:solidFill>
                  <a:schemeClr val="accent4"/>
                </a:solidFill>
                <a:round/>
              </a:ln>
              <a:effectLst/>
            </c:spPr>
          </c:marker>
          <c:cat>
            <c:strRef>
              <c:f>'Life expectancy'!$A$3:$A$16</c:f>
              <c:strCache>
                <c:ptCount val="14"/>
                <c:pt idx="0">
                  <c:v>2001-2003</c:v>
                </c:pt>
                <c:pt idx="1">
                  <c:v>2002-2004</c:v>
                </c:pt>
                <c:pt idx="2">
                  <c:v>2003-2005</c:v>
                </c:pt>
                <c:pt idx="3">
                  <c:v>2004-2006</c:v>
                </c:pt>
                <c:pt idx="4">
                  <c:v>2005-2007</c:v>
                </c:pt>
                <c:pt idx="5">
                  <c:v>2006-2008</c:v>
                </c:pt>
                <c:pt idx="6">
                  <c:v>2007-2009</c:v>
                </c:pt>
                <c:pt idx="7">
                  <c:v>2008-2010</c:v>
                </c:pt>
                <c:pt idx="8">
                  <c:v>2009-2011</c:v>
                </c:pt>
                <c:pt idx="9">
                  <c:v>2010-2012</c:v>
                </c:pt>
                <c:pt idx="10">
                  <c:v>2011-2013</c:v>
                </c:pt>
                <c:pt idx="11">
                  <c:v>2012-2014</c:v>
                </c:pt>
                <c:pt idx="12">
                  <c:v>2013-2015</c:v>
                </c:pt>
                <c:pt idx="13">
                  <c:v>2014-2016</c:v>
                </c:pt>
              </c:strCache>
            </c:strRef>
          </c:cat>
          <c:val>
            <c:numRef>
              <c:f>'Life expectancy'!$E$3:$E$16</c:f>
              <c:numCache>
                <c:formatCode>0.0\ \ \ \ </c:formatCode>
                <c:ptCount val="14"/>
                <c:pt idx="0">
                  <c:v>78.835740000000001</c:v>
                </c:pt>
                <c:pt idx="1">
                  <c:v>78.997600000000006</c:v>
                </c:pt>
                <c:pt idx="2">
                  <c:v>79.192970000000003</c:v>
                </c:pt>
                <c:pt idx="3">
                  <c:v>79.502120000000005</c:v>
                </c:pt>
                <c:pt idx="4">
                  <c:v>79.647999999999996</c:v>
                </c:pt>
                <c:pt idx="5">
                  <c:v>79.79795</c:v>
                </c:pt>
                <c:pt idx="6">
                  <c:v>80.006349999999998</c:v>
                </c:pt>
                <c:pt idx="7">
                  <c:v>80.276359999999997</c:v>
                </c:pt>
                <c:pt idx="8">
                  <c:v>80.598050000000001</c:v>
                </c:pt>
                <c:pt idx="9">
                  <c:v>80.741799999999998</c:v>
                </c:pt>
                <c:pt idx="10">
                  <c:v>80.896010000000004</c:v>
                </c:pt>
                <c:pt idx="11">
                  <c:v>81.073027251605552</c:v>
                </c:pt>
                <c:pt idx="12">
                  <c:v>81.1326411655822</c:v>
                </c:pt>
                <c:pt idx="13">
                  <c:v>81.140952427779396</c:v>
                </c:pt>
              </c:numCache>
            </c:numRef>
          </c:val>
          <c:smooth val="0"/>
          <c:extLst>
            <c:ext xmlns:c16="http://schemas.microsoft.com/office/drawing/2014/chart" uri="{C3380CC4-5D6E-409C-BE32-E72D297353CC}">
              <c16:uniqueId val="{00000003-BFFB-43D8-9BF7-515A74424631}"/>
            </c:ext>
          </c:extLst>
        </c:ser>
        <c:dLbls>
          <c:showLegendKey val="0"/>
          <c:showVal val="0"/>
          <c:showCatName val="0"/>
          <c:showSerName val="0"/>
          <c:showPercent val="0"/>
          <c:showBubbleSize val="0"/>
        </c:dLbls>
        <c:marker val="1"/>
        <c:smooth val="0"/>
        <c:axId val="407697440"/>
        <c:axId val="407702032"/>
      </c:lineChart>
      <c:catAx>
        <c:axId val="4076974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cap="all" spc="120" normalizeH="0" baseline="0">
                <a:solidFill>
                  <a:schemeClr val="tx1">
                    <a:lumMod val="65000"/>
                    <a:lumOff val="35000"/>
                  </a:schemeClr>
                </a:solidFill>
                <a:latin typeface="+mn-lt"/>
                <a:ea typeface="+mn-ea"/>
                <a:cs typeface="+mn-cs"/>
              </a:defRPr>
            </a:pPr>
            <a:endParaRPr lang="en-US"/>
          </a:p>
        </c:txPr>
        <c:crossAx val="407702032"/>
        <c:crosses val="autoZero"/>
        <c:auto val="1"/>
        <c:lblAlgn val="ctr"/>
        <c:lblOffset val="100"/>
        <c:noMultiLvlLbl val="0"/>
      </c:catAx>
      <c:valAx>
        <c:axId val="407702032"/>
        <c:scaling>
          <c:orientation val="minMax"/>
          <c:min val="70"/>
        </c:scaling>
        <c:delete val="0"/>
        <c:axPos val="l"/>
        <c:title>
          <c:tx>
            <c:rich>
              <a:bodyPr rot="-5400000" spcFirstLastPara="1" vertOverflow="ellipsis" vert="horz" wrap="square" anchor="ctr" anchorCtr="1"/>
              <a:lstStyle/>
              <a:p>
                <a:pPr>
                  <a:defRPr sz="900" b="0" i="0" u="none" strike="noStrike" kern="1200" cap="none" baseline="0">
                    <a:solidFill>
                      <a:schemeClr val="tx1">
                        <a:lumMod val="65000"/>
                        <a:lumOff val="35000"/>
                      </a:schemeClr>
                    </a:solidFill>
                    <a:latin typeface="+mn-lt"/>
                    <a:ea typeface="+mn-ea"/>
                    <a:cs typeface="+mn-cs"/>
                  </a:defRPr>
                </a:pPr>
                <a:r>
                  <a:rPr lang="en-GB" cap="none"/>
                  <a:t>Age In Years</a:t>
                </a:r>
              </a:p>
            </c:rich>
          </c:tx>
          <c:overlay val="0"/>
          <c:spPr>
            <a:noFill/>
            <a:ln>
              <a:noFill/>
            </a:ln>
            <a:effectLst/>
          </c:spPr>
          <c:txPr>
            <a:bodyPr rot="-5400000" spcFirstLastPara="1" vertOverflow="ellipsis" vert="horz" wrap="square" anchor="ctr" anchorCtr="1"/>
            <a:lstStyle/>
            <a:p>
              <a:pPr>
                <a:defRPr sz="900" b="0" i="0" u="none" strike="noStrike" kern="1200" cap="none"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769744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baseline="0">
                <a:solidFill>
                  <a:schemeClr val="tx2"/>
                </a:solidFill>
                <a:latin typeface="+mn-lt"/>
                <a:ea typeface="+mn-ea"/>
                <a:cs typeface="+mn-cs"/>
              </a:defRPr>
            </a:pPr>
            <a:r>
              <a:rPr lang="en-GB"/>
              <a:t>Estimated life expectancy at birth by SIMD quintiles, Aberdeen  City, 2011-2015</a:t>
            </a:r>
          </a:p>
        </c:rich>
      </c:tx>
      <c:overlay val="0"/>
      <c:spPr>
        <a:noFill/>
        <a:ln>
          <a:noFill/>
        </a:ln>
        <a:effectLst/>
      </c:spPr>
      <c:txPr>
        <a:bodyPr rot="0" spcFirstLastPara="1" vertOverflow="ellipsis" vert="horz" wrap="square" anchor="ctr" anchorCtr="1"/>
        <a:lstStyle/>
        <a:p>
          <a:pPr>
            <a:defRPr sz="96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'Life expectancy'!$C$32</c:f>
              <c:strCache>
                <c:ptCount val="1"/>
                <c:pt idx="0">
                  <c:v>Years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'Life expectancy'!$A$33:$B$45</c:f>
              <c:multiLvlStrCache>
                <c:ptCount val="13"/>
                <c:lvl>
                  <c:pt idx="0">
                    <c:v>Overall</c:v>
                  </c:pt>
                  <c:pt idx="1">
                    <c:v>1 (most deprived) </c:v>
                  </c:pt>
                  <c:pt idx="2">
                    <c:v>2</c:v>
                  </c:pt>
                  <c:pt idx="3">
                    <c:v>3</c:v>
                  </c:pt>
                  <c:pt idx="4">
                    <c:v>4</c:v>
                  </c:pt>
                  <c:pt idx="5">
                    <c:v>5 (least deprived)</c:v>
                  </c:pt>
                  <c:pt idx="7">
                    <c:v>Overall</c:v>
                  </c:pt>
                  <c:pt idx="8">
                    <c:v>1 (most deprived)</c:v>
                  </c:pt>
                  <c:pt idx="9">
                    <c:v>2</c:v>
                  </c:pt>
                  <c:pt idx="10">
                    <c:v>3</c:v>
                  </c:pt>
                  <c:pt idx="11">
                    <c:v>4</c:v>
                  </c:pt>
                  <c:pt idx="12">
                    <c:v>5 (least deprived)</c:v>
                  </c:pt>
                </c:lvl>
                <c:lvl>
                  <c:pt idx="0">
                    <c:v>Males</c:v>
                  </c:pt>
                  <c:pt idx="7">
                    <c:v>Females</c:v>
                  </c:pt>
                </c:lvl>
              </c:multiLvlStrCache>
            </c:multiLvlStrRef>
          </c:cat>
          <c:val>
            <c:numRef>
              <c:f>'Life expectancy'!$C$33:$C$45</c:f>
              <c:numCache>
                <c:formatCode>General</c:formatCode>
                <c:ptCount val="13"/>
                <c:pt idx="0">
                  <c:v>76.400000000000006</c:v>
                </c:pt>
                <c:pt idx="1">
                  <c:v>72</c:v>
                </c:pt>
                <c:pt idx="2">
                  <c:v>74.8</c:v>
                </c:pt>
                <c:pt idx="3">
                  <c:v>75.599999999999994</c:v>
                </c:pt>
                <c:pt idx="4">
                  <c:v>80.400000000000006</c:v>
                </c:pt>
                <c:pt idx="5">
                  <c:v>81</c:v>
                </c:pt>
                <c:pt idx="7">
                  <c:v>80.8</c:v>
                </c:pt>
                <c:pt idx="8">
                  <c:v>77.7</c:v>
                </c:pt>
                <c:pt idx="9">
                  <c:v>79.2</c:v>
                </c:pt>
                <c:pt idx="10">
                  <c:v>80.400000000000006</c:v>
                </c:pt>
                <c:pt idx="11">
                  <c:v>82.8</c:v>
                </c:pt>
                <c:pt idx="12">
                  <c:v>84.1</c:v>
                </c:pt>
              </c:numCache>
            </c:numRef>
          </c:val>
          <c:extLst>
            <c:ext xmlns:c16="http://schemas.microsoft.com/office/drawing/2014/chart" uri="{C3380CC4-5D6E-409C-BE32-E72D297353CC}">
              <c16:uniqueId val="{00000000-591A-438D-B467-D0C8F52AB33A}"/>
            </c:ext>
          </c:extLst>
        </c:ser>
        <c:dLbls>
          <c:dLblPos val="outEnd"/>
          <c:showLegendKey val="0"/>
          <c:showVal val="1"/>
          <c:showCatName val="0"/>
          <c:showSerName val="0"/>
          <c:showPercent val="0"/>
          <c:showBubbleSize val="0"/>
        </c:dLbls>
        <c:gapWidth val="100"/>
        <c:overlap val="-24"/>
        <c:axId val="546734984"/>
        <c:axId val="546704480"/>
      </c:barChart>
      <c:catAx>
        <c:axId val="54673498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crossAx val="546704480"/>
        <c:crosses val="autoZero"/>
        <c:auto val="1"/>
        <c:lblAlgn val="ctr"/>
        <c:lblOffset val="100"/>
        <c:noMultiLvlLbl val="0"/>
      </c:catAx>
      <c:valAx>
        <c:axId val="54670448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2"/>
                    </a:solidFill>
                    <a:latin typeface="+mn-lt"/>
                    <a:ea typeface="+mn-ea"/>
                    <a:cs typeface="+mn-cs"/>
                  </a:defRPr>
                </a:pPr>
                <a:r>
                  <a:rPr lang="en-US"/>
                  <a:t>Years</a:t>
                </a:r>
              </a:p>
            </c:rich>
          </c:tx>
          <c:overlay val="0"/>
          <c:spPr>
            <a:noFill/>
            <a:ln>
              <a:noFill/>
            </a:ln>
            <a:effectLst/>
          </c:spPr>
          <c:txPr>
            <a:bodyPr rot="-5400000" spcFirstLastPara="1" vertOverflow="ellipsis" vert="horz" wrap="square" anchor="ctr" anchorCtr="1"/>
            <a:lstStyle/>
            <a:p>
              <a:pPr>
                <a:defRPr sz="8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crossAx val="5467349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sz="800"/>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200" b="0"/>
              <a:t>Broad age structure, Aberdeen City and Scotland, 2017</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'Age and gender structure'!$C$58</c:f>
              <c:strCache>
                <c:ptCount val="1"/>
                <c:pt idx="0">
                  <c:v>Aberdeen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'Age and gender structure'!$D$57:$F$57</c:f>
              <c:strCache>
                <c:ptCount val="3"/>
                <c:pt idx="0">
                  <c:v>% under 16</c:v>
                </c:pt>
                <c:pt idx="1">
                  <c:v>% working age</c:v>
                </c:pt>
                <c:pt idx="2">
                  <c:v>% pensionable age</c:v>
                </c:pt>
              </c:strCache>
            </c:strRef>
          </c:cat>
          <c:val>
            <c:numRef>
              <c:f>'Age and gender structure'!$D$58:$F$58</c:f>
              <c:numCache>
                <c:formatCode>0%</c:formatCode>
                <c:ptCount val="3"/>
                <c:pt idx="0">
                  <c:v>0.15</c:v>
                </c:pt>
                <c:pt idx="1">
                  <c:v>0.69</c:v>
                </c:pt>
                <c:pt idx="2">
                  <c:v>0.16</c:v>
                </c:pt>
              </c:numCache>
            </c:numRef>
          </c:val>
          <c:extLst>
            <c:ext xmlns:c16="http://schemas.microsoft.com/office/drawing/2014/chart" uri="{C3380CC4-5D6E-409C-BE32-E72D297353CC}">
              <c16:uniqueId val="{00000000-92DD-4D33-8A6F-76F333EA7E8B}"/>
            </c:ext>
          </c:extLst>
        </c:ser>
        <c:ser>
          <c:idx val="1"/>
          <c:order val="1"/>
          <c:tx>
            <c:strRef>
              <c:f>'Age and gender structure'!$C$59</c:f>
              <c:strCache>
                <c:ptCount val="1"/>
                <c:pt idx="0">
                  <c:v>Scotland</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'Age and gender structure'!$D$57:$F$57</c:f>
              <c:strCache>
                <c:ptCount val="3"/>
                <c:pt idx="0">
                  <c:v>% under 16</c:v>
                </c:pt>
                <c:pt idx="1">
                  <c:v>% working age</c:v>
                </c:pt>
                <c:pt idx="2">
                  <c:v>% pensionable age</c:v>
                </c:pt>
              </c:strCache>
            </c:strRef>
          </c:cat>
          <c:val>
            <c:numRef>
              <c:f>'Age and gender structure'!$D$59:$F$59</c:f>
              <c:numCache>
                <c:formatCode>0%</c:formatCode>
                <c:ptCount val="3"/>
                <c:pt idx="0">
                  <c:v>0.17</c:v>
                </c:pt>
                <c:pt idx="1">
                  <c:v>0.64</c:v>
                </c:pt>
                <c:pt idx="2">
                  <c:v>0.19</c:v>
                </c:pt>
              </c:numCache>
            </c:numRef>
          </c:val>
          <c:extLst>
            <c:ext xmlns:c16="http://schemas.microsoft.com/office/drawing/2014/chart" uri="{C3380CC4-5D6E-409C-BE32-E72D297353CC}">
              <c16:uniqueId val="{00000001-92DD-4D33-8A6F-76F333EA7E8B}"/>
            </c:ext>
          </c:extLst>
        </c:ser>
        <c:dLbls>
          <c:dLblPos val="outEnd"/>
          <c:showLegendKey val="0"/>
          <c:showVal val="1"/>
          <c:showCatName val="0"/>
          <c:showSerName val="0"/>
          <c:showPercent val="0"/>
          <c:showBubbleSize val="0"/>
        </c:dLbls>
        <c:gapWidth val="100"/>
        <c:overlap val="-24"/>
        <c:axId val="566107224"/>
        <c:axId val="566111816"/>
      </c:barChart>
      <c:catAx>
        <c:axId val="5661072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66111816"/>
        <c:crosses val="autoZero"/>
        <c:auto val="1"/>
        <c:lblAlgn val="ctr"/>
        <c:lblOffset val="100"/>
        <c:noMultiLvlLbl val="0"/>
      </c:catAx>
      <c:valAx>
        <c:axId val="56611181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66107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baseline="0">
                <a:solidFill>
                  <a:schemeClr val="tx2"/>
                </a:solidFill>
                <a:latin typeface="+mn-lt"/>
                <a:ea typeface="+mn-ea"/>
                <a:cs typeface="+mn-cs"/>
              </a:defRPr>
            </a:pPr>
            <a:r>
              <a:rPr lang="en-US" sz="1200" b="0"/>
              <a:t>Life expectancy at birth, males and females, Intermediate Zones, Aberdeen City, 2011-2015</a:t>
            </a:r>
          </a:p>
        </c:rich>
      </c:tx>
      <c:overlay val="0"/>
      <c:spPr>
        <a:noFill/>
        <a:ln>
          <a:noFill/>
        </a:ln>
        <a:effectLst/>
      </c:spPr>
      <c:txPr>
        <a:bodyPr rot="0" spcFirstLastPara="1" vertOverflow="ellipsis" vert="horz" wrap="square" anchor="ctr" anchorCtr="1"/>
        <a:lstStyle/>
        <a:p>
          <a:pPr>
            <a:defRPr sz="1600" b="0"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'LE by IZ'!$J$2</c:f>
              <c:strCache>
                <c:ptCount val="1"/>
                <c:pt idx="0">
                  <c:v>Males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'LE by IZ'!$I$3:$I$50</c:f>
              <c:strCache>
                <c:ptCount val="48"/>
                <c:pt idx="0">
                  <c:v>Midstocket</c:v>
                </c:pt>
                <c:pt idx="1">
                  <c:v>Seaton</c:v>
                </c:pt>
                <c:pt idx="2">
                  <c:v>Torry West</c:v>
                </c:pt>
                <c:pt idx="3">
                  <c:v>Woodside </c:v>
                </c:pt>
                <c:pt idx="4">
                  <c:v>Ashgrove</c:v>
                </c:pt>
                <c:pt idx="5">
                  <c:v>Hanover South</c:v>
                </c:pt>
                <c:pt idx="6">
                  <c:v>Cove North</c:v>
                </c:pt>
                <c:pt idx="7">
                  <c:v>Torry East</c:v>
                </c:pt>
                <c:pt idx="8">
                  <c:v>Tillydrone</c:v>
                </c:pt>
                <c:pt idx="9">
                  <c:v>Heathryfold and Middlefield</c:v>
                </c:pt>
                <c:pt idx="10">
                  <c:v>Danestone</c:v>
                </c:pt>
                <c:pt idx="11">
                  <c:v>Dyce</c:v>
                </c:pt>
                <c:pt idx="12">
                  <c:v>Garthdee</c:v>
                </c:pt>
                <c:pt idx="13">
                  <c:v>Kincorth, Leggart and Nigg North</c:v>
                </c:pt>
                <c:pt idx="14">
                  <c:v>Summerhill</c:v>
                </c:pt>
                <c:pt idx="15">
                  <c:v>Balgownie and Donmouth West</c:v>
                </c:pt>
                <c:pt idx="16">
                  <c:v>Sheddocksley</c:v>
                </c:pt>
                <c:pt idx="17">
                  <c:v>Old Aberdeen</c:v>
                </c:pt>
                <c:pt idx="18">
                  <c:v>Northfield</c:v>
                </c:pt>
                <c:pt idx="19">
                  <c:v>Kincorth, Leggart and Nigg South</c:v>
                </c:pt>
                <c:pt idx="20">
                  <c:v>George Street</c:v>
                </c:pt>
                <c:pt idx="21">
                  <c:v>Ferryhill North</c:v>
                </c:pt>
                <c:pt idx="22">
                  <c:v>Cummings Park</c:v>
                </c:pt>
                <c:pt idx="23">
                  <c:v>Ferryhill South</c:v>
                </c:pt>
                <c:pt idx="24">
                  <c:v>Stockethill</c:v>
                </c:pt>
                <c:pt idx="25">
                  <c:v>Kingswells</c:v>
                </c:pt>
                <c:pt idx="26">
                  <c:v>Mastrick</c:v>
                </c:pt>
                <c:pt idx="27">
                  <c:v>Bucksburn South</c:v>
                </c:pt>
                <c:pt idx="28">
                  <c:v>Oldmachar West</c:v>
                </c:pt>
                <c:pt idx="29">
                  <c:v>Cove South</c:v>
                </c:pt>
                <c:pt idx="30">
                  <c:v>Bucksburn North</c:v>
                </c:pt>
                <c:pt idx="31">
                  <c:v>Rosemount</c:v>
                </c:pt>
                <c:pt idx="32">
                  <c:v>Hazlehead</c:v>
                </c:pt>
                <c:pt idx="33">
                  <c:v>Hilton</c:v>
                </c:pt>
                <c:pt idx="34">
                  <c:v>Froghall, Powis and Sunnybank</c:v>
                </c:pt>
                <c:pt idx="35">
                  <c:v>Cults, Bieldside and Milltimber West</c:v>
                </c:pt>
                <c:pt idx="36">
                  <c:v>Culter</c:v>
                </c:pt>
                <c:pt idx="37">
                  <c:v>West End South</c:v>
                </c:pt>
                <c:pt idx="38">
                  <c:v>Braeside, Mannofield, Broomhill and Seafield South</c:v>
                </c:pt>
                <c:pt idx="39">
                  <c:v>Denmore</c:v>
                </c:pt>
                <c:pt idx="40">
                  <c:v>Oldmachar East</c:v>
                </c:pt>
                <c:pt idx="41">
                  <c:v>City Centre West </c:v>
                </c:pt>
                <c:pt idx="42">
                  <c:v>West End North</c:v>
                </c:pt>
                <c:pt idx="43">
                  <c:v>Braeside, Mannofield, Broomhill and Seafield North</c:v>
                </c:pt>
                <c:pt idx="44">
                  <c:v>Cults, Bieldside and Milltimber East</c:v>
                </c:pt>
                <c:pt idx="45">
                  <c:v>Balgownie and Donmouth East</c:v>
                </c:pt>
                <c:pt idx="46">
                  <c:v>Braeside, Mannofield, Broomhill and Seafield East</c:v>
                </c:pt>
                <c:pt idx="47">
                  <c:v>Hanover North</c:v>
                </c:pt>
              </c:strCache>
            </c:strRef>
          </c:cat>
          <c:val>
            <c:numRef>
              <c:f>'LE by IZ'!$J$3:$J$50</c:f>
              <c:numCache>
                <c:formatCode>General</c:formatCode>
                <c:ptCount val="48"/>
                <c:pt idx="0">
                  <c:v>70.819999999999993</c:v>
                </c:pt>
                <c:pt idx="1">
                  <c:v>69.650000000000006</c:v>
                </c:pt>
                <c:pt idx="2">
                  <c:v>71.430000000000007</c:v>
                </c:pt>
                <c:pt idx="3">
                  <c:v>70.430000000000007</c:v>
                </c:pt>
                <c:pt idx="4">
                  <c:v>73.97</c:v>
                </c:pt>
                <c:pt idx="5">
                  <c:v>71</c:v>
                </c:pt>
                <c:pt idx="6">
                  <c:v>76.09</c:v>
                </c:pt>
                <c:pt idx="7">
                  <c:v>71.14</c:v>
                </c:pt>
                <c:pt idx="8">
                  <c:v>73.650000000000006</c:v>
                </c:pt>
                <c:pt idx="9">
                  <c:v>72.06</c:v>
                </c:pt>
                <c:pt idx="10">
                  <c:v>77.8</c:v>
                </c:pt>
                <c:pt idx="11">
                  <c:v>77.489999999999995</c:v>
                </c:pt>
                <c:pt idx="12">
                  <c:v>74.03</c:v>
                </c:pt>
                <c:pt idx="13">
                  <c:v>76.260000000000005</c:v>
                </c:pt>
                <c:pt idx="14">
                  <c:v>77.11</c:v>
                </c:pt>
                <c:pt idx="15">
                  <c:v>79.72</c:v>
                </c:pt>
                <c:pt idx="16">
                  <c:v>75.75</c:v>
                </c:pt>
                <c:pt idx="17">
                  <c:v>73.44</c:v>
                </c:pt>
                <c:pt idx="18">
                  <c:v>76.38</c:v>
                </c:pt>
                <c:pt idx="19">
                  <c:v>78.150000000000006</c:v>
                </c:pt>
                <c:pt idx="20">
                  <c:v>73.27</c:v>
                </c:pt>
                <c:pt idx="21">
                  <c:v>76.28</c:v>
                </c:pt>
                <c:pt idx="22">
                  <c:v>77.540000000000006</c:v>
                </c:pt>
                <c:pt idx="23">
                  <c:v>79.12</c:v>
                </c:pt>
                <c:pt idx="24">
                  <c:v>75.98</c:v>
                </c:pt>
                <c:pt idx="25">
                  <c:v>78.430000000000007</c:v>
                </c:pt>
                <c:pt idx="26">
                  <c:v>76.540000000000006</c:v>
                </c:pt>
                <c:pt idx="27">
                  <c:v>79.47</c:v>
                </c:pt>
                <c:pt idx="28">
                  <c:v>79.77</c:v>
                </c:pt>
                <c:pt idx="29">
                  <c:v>79.760000000000005</c:v>
                </c:pt>
                <c:pt idx="30">
                  <c:v>79.83</c:v>
                </c:pt>
                <c:pt idx="31">
                  <c:v>74.900000000000006</c:v>
                </c:pt>
                <c:pt idx="32">
                  <c:v>81.260000000000005</c:v>
                </c:pt>
                <c:pt idx="33">
                  <c:v>77.48</c:v>
                </c:pt>
                <c:pt idx="34">
                  <c:v>77.97</c:v>
                </c:pt>
                <c:pt idx="35">
                  <c:v>79.900000000000006</c:v>
                </c:pt>
                <c:pt idx="37">
                  <c:v>80.36</c:v>
                </c:pt>
                <c:pt idx="38">
                  <c:v>81.64</c:v>
                </c:pt>
                <c:pt idx="39">
                  <c:v>78.900000000000006</c:v>
                </c:pt>
                <c:pt idx="40">
                  <c:v>80.66</c:v>
                </c:pt>
                <c:pt idx="41">
                  <c:v>72.33</c:v>
                </c:pt>
                <c:pt idx="43">
                  <c:v>84.53</c:v>
                </c:pt>
                <c:pt idx="44">
                  <c:v>82.71</c:v>
                </c:pt>
                <c:pt idx="45">
                  <c:v>79.44</c:v>
                </c:pt>
                <c:pt idx="46">
                  <c:v>81.52</c:v>
                </c:pt>
                <c:pt idx="47">
                  <c:v>70.7</c:v>
                </c:pt>
              </c:numCache>
            </c:numRef>
          </c:val>
          <c:extLst>
            <c:ext xmlns:c16="http://schemas.microsoft.com/office/drawing/2014/chart" uri="{C3380CC4-5D6E-409C-BE32-E72D297353CC}">
              <c16:uniqueId val="{00000000-84B7-4207-9B91-4E651F47E37A}"/>
            </c:ext>
          </c:extLst>
        </c:ser>
        <c:ser>
          <c:idx val="1"/>
          <c:order val="1"/>
          <c:tx>
            <c:strRef>
              <c:f>'LE by IZ'!$K$2</c:f>
              <c:strCache>
                <c:ptCount val="1"/>
                <c:pt idx="0">
                  <c:v>Females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'LE by IZ'!$I$3:$I$50</c:f>
              <c:strCache>
                <c:ptCount val="48"/>
                <c:pt idx="0">
                  <c:v>Midstocket</c:v>
                </c:pt>
                <c:pt idx="1">
                  <c:v>Seaton</c:v>
                </c:pt>
                <c:pt idx="2">
                  <c:v>Torry West</c:v>
                </c:pt>
                <c:pt idx="3">
                  <c:v>Woodside </c:v>
                </c:pt>
                <c:pt idx="4">
                  <c:v>Ashgrove</c:v>
                </c:pt>
                <c:pt idx="5">
                  <c:v>Hanover South</c:v>
                </c:pt>
                <c:pt idx="6">
                  <c:v>Cove North</c:v>
                </c:pt>
                <c:pt idx="7">
                  <c:v>Torry East</c:v>
                </c:pt>
                <c:pt idx="8">
                  <c:v>Tillydrone</c:v>
                </c:pt>
                <c:pt idx="9">
                  <c:v>Heathryfold and Middlefield</c:v>
                </c:pt>
                <c:pt idx="10">
                  <c:v>Danestone</c:v>
                </c:pt>
                <c:pt idx="11">
                  <c:v>Dyce</c:v>
                </c:pt>
                <c:pt idx="12">
                  <c:v>Garthdee</c:v>
                </c:pt>
                <c:pt idx="13">
                  <c:v>Kincorth, Leggart and Nigg North</c:v>
                </c:pt>
                <c:pt idx="14">
                  <c:v>Summerhill</c:v>
                </c:pt>
                <c:pt idx="15">
                  <c:v>Balgownie and Donmouth West</c:v>
                </c:pt>
                <c:pt idx="16">
                  <c:v>Sheddocksley</c:v>
                </c:pt>
                <c:pt idx="17">
                  <c:v>Old Aberdeen</c:v>
                </c:pt>
                <c:pt idx="18">
                  <c:v>Northfield</c:v>
                </c:pt>
                <c:pt idx="19">
                  <c:v>Kincorth, Leggart and Nigg South</c:v>
                </c:pt>
                <c:pt idx="20">
                  <c:v>George Street</c:v>
                </c:pt>
                <c:pt idx="21">
                  <c:v>Ferryhill North</c:v>
                </c:pt>
                <c:pt idx="22">
                  <c:v>Cummings Park</c:v>
                </c:pt>
                <c:pt idx="23">
                  <c:v>Ferryhill South</c:v>
                </c:pt>
                <c:pt idx="24">
                  <c:v>Stockethill</c:v>
                </c:pt>
                <c:pt idx="25">
                  <c:v>Kingswells</c:v>
                </c:pt>
                <c:pt idx="26">
                  <c:v>Mastrick</c:v>
                </c:pt>
                <c:pt idx="27">
                  <c:v>Bucksburn South</c:v>
                </c:pt>
                <c:pt idx="28">
                  <c:v>Oldmachar West</c:v>
                </c:pt>
                <c:pt idx="29">
                  <c:v>Cove South</c:v>
                </c:pt>
                <c:pt idx="30">
                  <c:v>Bucksburn North</c:v>
                </c:pt>
                <c:pt idx="31">
                  <c:v>Rosemount</c:v>
                </c:pt>
                <c:pt idx="32">
                  <c:v>Hazlehead</c:v>
                </c:pt>
                <c:pt idx="33">
                  <c:v>Hilton</c:v>
                </c:pt>
                <c:pt idx="34">
                  <c:v>Froghall, Powis and Sunnybank</c:v>
                </c:pt>
                <c:pt idx="35">
                  <c:v>Cults, Bieldside and Milltimber West</c:v>
                </c:pt>
                <c:pt idx="36">
                  <c:v>Culter</c:v>
                </c:pt>
                <c:pt idx="37">
                  <c:v>West End South</c:v>
                </c:pt>
                <c:pt idx="38">
                  <c:v>Braeside, Mannofield, Broomhill and Seafield South</c:v>
                </c:pt>
                <c:pt idx="39">
                  <c:v>Denmore</c:v>
                </c:pt>
                <c:pt idx="40">
                  <c:v>Oldmachar East</c:v>
                </c:pt>
                <c:pt idx="41">
                  <c:v>City Centre West </c:v>
                </c:pt>
                <c:pt idx="42">
                  <c:v>West End North</c:v>
                </c:pt>
                <c:pt idx="43">
                  <c:v>Braeside, Mannofield, Broomhill and Seafield North</c:v>
                </c:pt>
                <c:pt idx="44">
                  <c:v>Cults, Bieldside and Milltimber East</c:v>
                </c:pt>
                <c:pt idx="45">
                  <c:v>Balgownie and Donmouth East</c:v>
                </c:pt>
                <c:pt idx="46">
                  <c:v>Braeside, Mannofield, Broomhill and Seafield East</c:v>
                </c:pt>
                <c:pt idx="47">
                  <c:v>Hanover North</c:v>
                </c:pt>
              </c:strCache>
            </c:strRef>
          </c:cat>
          <c:val>
            <c:numRef>
              <c:f>'LE by IZ'!$K$3:$K$50</c:f>
              <c:numCache>
                <c:formatCode>General</c:formatCode>
                <c:ptCount val="48"/>
                <c:pt idx="0">
                  <c:v>74.930000000000007</c:v>
                </c:pt>
                <c:pt idx="1">
                  <c:v>76.010000000000005</c:v>
                </c:pt>
                <c:pt idx="2">
                  <c:v>76.05</c:v>
                </c:pt>
                <c:pt idx="3">
                  <c:v>76.150000000000006</c:v>
                </c:pt>
                <c:pt idx="4">
                  <c:v>77.33</c:v>
                </c:pt>
                <c:pt idx="5">
                  <c:v>77.459999999999994</c:v>
                </c:pt>
                <c:pt idx="6">
                  <c:v>77.7</c:v>
                </c:pt>
                <c:pt idx="7">
                  <c:v>78.12</c:v>
                </c:pt>
                <c:pt idx="8">
                  <c:v>78.66</c:v>
                </c:pt>
                <c:pt idx="9">
                  <c:v>78.7</c:v>
                </c:pt>
                <c:pt idx="10">
                  <c:v>78.95</c:v>
                </c:pt>
                <c:pt idx="11">
                  <c:v>79.069999999999993</c:v>
                </c:pt>
                <c:pt idx="12">
                  <c:v>79.45</c:v>
                </c:pt>
                <c:pt idx="13">
                  <c:v>79.739999999999995</c:v>
                </c:pt>
                <c:pt idx="14">
                  <c:v>79.78</c:v>
                </c:pt>
                <c:pt idx="15">
                  <c:v>80.040000000000006</c:v>
                </c:pt>
                <c:pt idx="16">
                  <c:v>80.13</c:v>
                </c:pt>
                <c:pt idx="17">
                  <c:v>80.290000000000006</c:v>
                </c:pt>
                <c:pt idx="18">
                  <c:v>80.36</c:v>
                </c:pt>
                <c:pt idx="19">
                  <c:v>80.41</c:v>
                </c:pt>
                <c:pt idx="20">
                  <c:v>80.430000000000007</c:v>
                </c:pt>
                <c:pt idx="21">
                  <c:v>80.81</c:v>
                </c:pt>
                <c:pt idx="22">
                  <c:v>80.84</c:v>
                </c:pt>
                <c:pt idx="23">
                  <c:v>81.069999999999993</c:v>
                </c:pt>
                <c:pt idx="24">
                  <c:v>81.72</c:v>
                </c:pt>
                <c:pt idx="25">
                  <c:v>82.11</c:v>
                </c:pt>
                <c:pt idx="26">
                  <c:v>82.21</c:v>
                </c:pt>
                <c:pt idx="27">
                  <c:v>82.31</c:v>
                </c:pt>
                <c:pt idx="28">
                  <c:v>82.46</c:v>
                </c:pt>
                <c:pt idx="29">
                  <c:v>82.67</c:v>
                </c:pt>
                <c:pt idx="30">
                  <c:v>82.77</c:v>
                </c:pt>
                <c:pt idx="31">
                  <c:v>82.77</c:v>
                </c:pt>
                <c:pt idx="32">
                  <c:v>82.84</c:v>
                </c:pt>
                <c:pt idx="33">
                  <c:v>83.16</c:v>
                </c:pt>
                <c:pt idx="34">
                  <c:v>83.17</c:v>
                </c:pt>
                <c:pt idx="35">
                  <c:v>83.49</c:v>
                </c:pt>
                <c:pt idx="36">
                  <c:v>83.53</c:v>
                </c:pt>
                <c:pt idx="37">
                  <c:v>83.63</c:v>
                </c:pt>
                <c:pt idx="38">
                  <c:v>83.88</c:v>
                </c:pt>
                <c:pt idx="39">
                  <c:v>84.46</c:v>
                </c:pt>
                <c:pt idx="40">
                  <c:v>84.46</c:v>
                </c:pt>
                <c:pt idx="41">
                  <c:v>84.5</c:v>
                </c:pt>
                <c:pt idx="42">
                  <c:v>84.66</c:v>
                </c:pt>
                <c:pt idx="43">
                  <c:v>84.9</c:v>
                </c:pt>
                <c:pt idx="44">
                  <c:v>85.12</c:v>
                </c:pt>
                <c:pt idx="45">
                  <c:v>85.98</c:v>
                </c:pt>
                <c:pt idx="46">
                  <c:v>86.28</c:v>
                </c:pt>
              </c:numCache>
            </c:numRef>
          </c:val>
          <c:extLst>
            <c:ext xmlns:c16="http://schemas.microsoft.com/office/drawing/2014/chart" uri="{C3380CC4-5D6E-409C-BE32-E72D297353CC}">
              <c16:uniqueId val="{00000001-84B7-4207-9B91-4E651F47E37A}"/>
            </c:ext>
          </c:extLst>
        </c:ser>
        <c:dLbls>
          <c:showLegendKey val="0"/>
          <c:showVal val="0"/>
          <c:showCatName val="0"/>
          <c:showSerName val="0"/>
          <c:showPercent val="0"/>
          <c:showBubbleSize val="0"/>
        </c:dLbls>
        <c:gapWidth val="100"/>
        <c:overlap val="-24"/>
        <c:axId val="729943488"/>
        <c:axId val="729939224"/>
      </c:barChart>
      <c:catAx>
        <c:axId val="72994348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crossAx val="729939224"/>
        <c:crosses val="autoZero"/>
        <c:auto val="1"/>
        <c:lblAlgn val="ctr"/>
        <c:lblOffset val="100"/>
        <c:tickLblSkip val="1"/>
        <c:noMultiLvlLbl val="0"/>
      </c:catAx>
      <c:valAx>
        <c:axId val="729939224"/>
        <c:scaling>
          <c:orientation val="minMax"/>
          <c:min val="4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Years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29943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a:t>Healthy life expectancy, Aberdeen City, 2009-2013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'Life expectancy'!$D$89</c:f>
              <c:strCache>
                <c:ptCount val="1"/>
                <c:pt idx="0">
                  <c:v>Life expectancy</c:v>
                </c:pt>
              </c:strCache>
            </c:strRef>
          </c:tx>
          <c:spPr>
            <a:solidFill>
              <a:schemeClr val="accent1"/>
            </a:solidFill>
            <a:ln>
              <a:noFill/>
            </a:ln>
            <a:effectLst/>
          </c:spPr>
          <c:invertIfNegative val="0"/>
          <c:cat>
            <c:strRef>
              <c:f>'Life expectancy'!$C$90:$C$91</c:f>
              <c:strCache>
                <c:ptCount val="2"/>
                <c:pt idx="0">
                  <c:v>Males</c:v>
                </c:pt>
                <c:pt idx="1">
                  <c:v>Females</c:v>
                </c:pt>
              </c:strCache>
            </c:strRef>
          </c:cat>
          <c:val>
            <c:numRef>
              <c:f>'Life expectancy'!$D$90:$D$91</c:f>
              <c:numCache>
                <c:formatCode>General</c:formatCode>
                <c:ptCount val="2"/>
                <c:pt idx="0">
                  <c:v>76.900000000000006</c:v>
                </c:pt>
                <c:pt idx="1">
                  <c:v>81.2</c:v>
                </c:pt>
              </c:numCache>
            </c:numRef>
          </c:val>
          <c:extLst>
            <c:ext xmlns:c16="http://schemas.microsoft.com/office/drawing/2014/chart" uri="{C3380CC4-5D6E-409C-BE32-E72D297353CC}">
              <c16:uniqueId val="{00000000-6182-4097-B6A6-A5F7153EA0AD}"/>
            </c:ext>
          </c:extLst>
        </c:ser>
        <c:ser>
          <c:idx val="1"/>
          <c:order val="1"/>
          <c:tx>
            <c:strRef>
              <c:f>'Life expectancy'!$E$89</c:f>
              <c:strCache>
                <c:ptCount val="1"/>
                <c:pt idx="0">
                  <c:v>Healthy life expectancy</c:v>
                </c:pt>
              </c:strCache>
            </c:strRef>
          </c:tx>
          <c:spPr>
            <a:solidFill>
              <a:schemeClr val="accent2"/>
            </a:solidFill>
            <a:ln>
              <a:noFill/>
            </a:ln>
            <a:effectLst/>
          </c:spPr>
          <c:invertIfNegative val="0"/>
          <c:cat>
            <c:strRef>
              <c:f>'Life expectancy'!$C$90:$C$91</c:f>
              <c:strCache>
                <c:ptCount val="2"/>
                <c:pt idx="0">
                  <c:v>Males</c:v>
                </c:pt>
                <c:pt idx="1">
                  <c:v>Females</c:v>
                </c:pt>
              </c:strCache>
            </c:strRef>
          </c:cat>
          <c:val>
            <c:numRef>
              <c:f>'Life expectancy'!$E$90:$E$91</c:f>
              <c:numCache>
                <c:formatCode>General</c:formatCode>
                <c:ptCount val="2"/>
                <c:pt idx="0">
                  <c:v>65</c:v>
                </c:pt>
                <c:pt idx="1">
                  <c:v>67.400000000000006</c:v>
                </c:pt>
              </c:numCache>
            </c:numRef>
          </c:val>
          <c:extLst>
            <c:ext xmlns:c16="http://schemas.microsoft.com/office/drawing/2014/chart" uri="{C3380CC4-5D6E-409C-BE32-E72D297353CC}">
              <c16:uniqueId val="{00000001-6182-4097-B6A6-A5F7153EA0AD}"/>
            </c:ext>
          </c:extLst>
        </c:ser>
        <c:dLbls>
          <c:showLegendKey val="0"/>
          <c:showVal val="0"/>
          <c:showCatName val="0"/>
          <c:showSerName val="0"/>
          <c:showPercent val="0"/>
          <c:showBubbleSize val="0"/>
        </c:dLbls>
        <c:gapWidth val="219"/>
        <c:overlap val="57"/>
        <c:axId val="599970928"/>
        <c:axId val="600994928"/>
      </c:barChart>
      <c:catAx>
        <c:axId val="599970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00994928"/>
        <c:crosses val="autoZero"/>
        <c:auto val="1"/>
        <c:lblAlgn val="ctr"/>
        <c:lblOffset val="100"/>
        <c:noMultiLvlLbl val="0"/>
      </c:catAx>
      <c:valAx>
        <c:axId val="600994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970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GB" sz="1200" b="1" cap="none"/>
              <a:t>Number Of Households</a:t>
            </a:r>
            <a:r>
              <a:rPr lang="en-GB" sz="1200" b="1" cap="none" baseline="0"/>
              <a:t> And Average Household Size, Aberdeen City And Scotland, 2007-2017</a:t>
            </a:r>
            <a:endParaRPr lang="en-GB" sz="1200" b="1" cap="none"/>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lineChart>
        <c:grouping val="standard"/>
        <c:varyColors val="0"/>
        <c:ser>
          <c:idx val="0"/>
          <c:order val="0"/>
          <c:tx>
            <c:strRef>
              <c:f>'Household size'!$A$74</c:f>
              <c:strCache>
                <c:ptCount val="1"/>
                <c:pt idx="0">
                  <c:v>Scotland average household size</c:v>
                </c:pt>
              </c:strCache>
            </c:strRef>
          </c:tx>
          <c:spPr>
            <a:ln w="28575" cap="rnd">
              <a:solidFill>
                <a:schemeClr val="accent1"/>
              </a:solidFill>
              <a:round/>
            </a:ln>
            <a:effectLst/>
          </c:spPr>
          <c:marker>
            <c:symbol val="circle"/>
            <c:size val="6"/>
            <c:spPr>
              <a:solidFill>
                <a:schemeClr val="accent1"/>
              </a:solidFill>
              <a:ln>
                <a:noFill/>
              </a:ln>
              <a:effectLst/>
            </c:spPr>
          </c:marker>
          <c:cat>
            <c:numRef>
              <c:f>'Household size'!$B$73:$R$73</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'Household size'!$B$74:$R$74</c:f>
              <c:numCache>
                <c:formatCode>General</c:formatCode>
                <c:ptCount val="11"/>
                <c:pt idx="0">
                  <c:v>2.19</c:v>
                </c:pt>
                <c:pt idx="1">
                  <c:v>2.1800000000000002</c:v>
                </c:pt>
                <c:pt idx="2">
                  <c:v>2.1800000000000002</c:v>
                </c:pt>
                <c:pt idx="3">
                  <c:v>2.1800000000000002</c:v>
                </c:pt>
                <c:pt idx="4">
                  <c:v>2.19</c:v>
                </c:pt>
                <c:pt idx="5">
                  <c:v>2.1800000000000002</c:v>
                </c:pt>
                <c:pt idx="6">
                  <c:v>2.1800000000000002</c:v>
                </c:pt>
                <c:pt idx="7">
                  <c:v>2.17</c:v>
                </c:pt>
                <c:pt idx="8">
                  <c:v>2.17</c:v>
                </c:pt>
                <c:pt idx="9">
                  <c:v>2.17</c:v>
                </c:pt>
                <c:pt idx="10">
                  <c:v>2.16</c:v>
                </c:pt>
              </c:numCache>
            </c:numRef>
          </c:val>
          <c:smooth val="0"/>
          <c:extLst>
            <c:ext xmlns:c16="http://schemas.microsoft.com/office/drawing/2014/chart" uri="{C3380CC4-5D6E-409C-BE32-E72D297353CC}">
              <c16:uniqueId val="{00000000-D789-432A-A792-2A53FE26495D}"/>
            </c:ext>
          </c:extLst>
        </c:ser>
        <c:ser>
          <c:idx val="1"/>
          <c:order val="1"/>
          <c:tx>
            <c:strRef>
              <c:f>'Household size'!$A$75</c:f>
              <c:strCache>
                <c:ptCount val="1"/>
                <c:pt idx="0">
                  <c:v>Aberdeen City average household size</c:v>
                </c:pt>
              </c:strCache>
            </c:strRef>
          </c:tx>
          <c:spPr>
            <a:ln w="28575" cap="rnd">
              <a:solidFill>
                <a:schemeClr val="accent2"/>
              </a:solidFill>
              <a:round/>
            </a:ln>
            <a:effectLst/>
          </c:spPr>
          <c:marker>
            <c:symbol val="circle"/>
            <c:size val="6"/>
            <c:spPr>
              <a:solidFill>
                <a:schemeClr val="accent2"/>
              </a:solidFill>
              <a:ln>
                <a:noFill/>
              </a:ln>
              <a:effectLst/>
            </c:spPr>
          </c:marker>
          <c:cat>
            <c:numRef>
              <c:f>'Household size'!$B$73:$R$73</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'Household size'!$B$75:$R$75</c:f>
              <c:numCache>
                <c:formatCode>General</c:formatCode>
                <c:ptCount val="11"/>
                <c:pt idx="0">
                  <c:v>2.0099999999999998</c:v>
                </c:pt>
                <c:pt idx="1">
                  <c:v>2.0099999999999998</c:v>
                </c:pt>
                <c:pt idx="2">
                  <c:v>2.0299999999999998</c:v>
                </c:pt>
                <c:pt idx="3">
                  <c:v>2.0499999999999998</c:v>
                </c:pt>
                <c:pt idx="4">
                  <c:v>2.0699999999999998</c:v>
                </c:pt>
                <c:pt idx="5">
                  <c:v>2.08</c:v>
                </c:pt>
                <c:pt idx="6">
                  <c:v>2.08</c:v>
                </c:pt>
                <c:pt idx="7">
                  <c:v>2.09</c:v>
                </c:pt>
                <c:pt idx="8">
                  <c:v>2.1</c:v>
                </c:pt>
                <c:pt idx="9">
                  <c:v>2.0699999999999998</c:v>
                </c:pt>
                <c:pt idx="10">
                  <c:v>2.04</c:v>
                </c:pt>
              </c:numCache>
            </c:numRef>
          </c:val>
          <c:smooth val="0"/>
          <c:extLst>
            <c:ext xmlns:c16="http://schemas.microsoft.com/office/drawing/2014/chart" uri="{C3380CC4-5D6E-409C-BE32-E72D297353CC}">
              <c16:uniqueId val="{00000001-D789-432A-A792-2A53FE26495D}"/>
            </c:ext>
          </c:extLst>
        </c:ser>
        <c:dLbls>
          <c:showLegendKey val="0"/>
          <c:showVal val="0"/>
          <c:showCatName val="0"/>
          <c:showSerName val="0"/>
          <c:showPercent val="0"/>
          <c:showBubbleSize val="0"/>
        </c:dLbls>
        <c:marker val="1"/>
        <c:smooth val="0"/>
        <c:axId val="718188856"/>
        <c:axId val="718190168"/>
      </c:lineChart>
      <c:lineChart>
        <c:grouping val="standard"/>
        <c:varyColors val="0"/>
        <c:ser>
          <c:idx val="2"/>
          <c:order val="2"/>
          <c:tx>
            <c:strRef>
              <c:f>'Household size'!$A$76</c:f>
              <c:strCache>
                <c:ptCount val="1"/>
                <c:pt idx="0">
                  <c:v>Aberdeen City number of households</c:v>
                </c:pt>
              </c:strCache>
            </c:strRef>
          </c:tx>
          <c:spPr>
            <a:ln w="28575" cap="rnd">
              <a:solidFill>
                <a:schemeClr val="accent3"/>
              </a:solidFill>
              <a:round/>
            </a:ln>
            <a:effectLst/>
          </c:spPr>
          <c:marker>
            <c:symbol val="circle"/>
            <c:size val="6"/>
            <c:spPr>
              <a:solidFill>
                <a:schemeClr val="accent3"/>
              </a:solidFill>
              <a:ln>
                <a:noFill/>
              </a:ln>
              <a:effectLst/>
            </c:spPr>
          </c:marker>
          <c:cat>
            <c:numRef>
              <c:f>'Household size'!$B$73:$R$73</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'Household size'!$B$76:$R$76</c:f>
              <c:numCache>
                <c:formatCode>General</c:formatCode>
                <c:ptCount val="11"/>
                <c:pt idx="0">
                  <c:v>101916</c:v>
                </c:pt>
                <c:pt idx="1">
                  <c:v>102577</c:v>
                </c:pt>
                <c:pt idx="2">
                  <c:v>103077</c:v>
                </c:pt>
                <c:pt idx="3">
                  <c:v>103285</c:v>
                </c:pt>
                <c:pt idx="4">
                  <c:v>103423</c:v>
                </c:pt>
                <c:pt idx="5">
                  <c:v>103934</c:v>
                </c:pt>
                <c:pt idx="6">
                  <c:v>105047</c:v>
                </c:pt>
                <c:pt idx="7">
                  <c:v>105287</c:v>
                </c:pt>
                <c:pt idx="8">
                  <c:v>105311</c:v>
                </c:pt>
                <c:pt idx="9">
                  <c:v>106749</c:v>
                </c:pt>
                <c:pt idx="10">
                  <c:v>107635</c:v>
                </c:pt>
              </c:numCache>
            </c:numRef>
          </c:val>
          <c:smooth val="0"/>
          <c:extLst>
            <c:ext xmlns:c16="http://schemas.microsoft.com/office/drawing/2014/chart" uri="{C3380CC4-5D6E-409C-BE32-E72D297353CC}">
              <c16:uniqueId val="{00000002-D789-432A-A792-2A53FE26495D}"/>
            </c:ext>
          </c:extLst>
        </c:ser>
        <c:dLbls>
          <c:showLegendKey val="0"/>
          <c:showVal val="0"/>
          <c:showCatName val="0"/>
          <c:showSerName val="0"/>
          <c:showPercent val="0"/>
          <c:showBubbleSize val="0"/>
        </c:dLbls>
        <c:marker val="1"/>
        <c:smooth val="0"/>
        <c:axId val="718164256"/>
        <c:axId val="718170160"/>
      </c:lineChart>
      <c:catAx>
        <c:axId val="71818885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18190168"/>
        <c:crosses val="autoZero"/>
        <c:auto val="1"/>
        <c:lblAlgn val="ctr"/>
        <c:lblOffset val="100"/>
        <c:noMultiLvlLbl val="0"/>
      </c:catAx>
      <c:valAx>
        <c:axId val="718190168"/>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a:t>Average household size</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18188856"/>
        <c:crosses val="autoZero"/>
        <c:crossBetween val="between"/>
      </c:valAx>
      <c:valAx>
        <c:axId val="718170160"/>
        <c:scaling>
          <c:orientation val="minMax"/>
        </c:scaling>
        <c:delete val="0"/>
        <c:axPos val="r"/>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a:t>Number of households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18164256"/>
        <c:crosses val="max"/>
        <c:crossBetween val="between"/>
      </c:valAx>
      <c:catAx>
        <c:axId val="718164256"/>
        <c:scaling>
          <c:orientation val="minMax"/>
        </c:scaling>
        <c:delete val="1"/>
        <c:axPos val="b"/>
        <c:numFmt formatCode="General" sourceLinked="1"/>
        <c:majorTickMark val="none"/>
        <c:minorTickMark val="none"/>
        <c:tickLblPos val="nextTo"/>
        <c:crossAx val="7181701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Projected change in households by household type, Aberdeen City, 2016 and 2026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'Household projections'!$B$6</c:f>
              <c:strCache>
                <c:ptCount val="1"/>
                <c:pt idx="0">
                  <c:v>2016</c:v>
                </c:pt>
              </c:strCache>
            </c:strRef>
          </c:tx>
          <c:spPr>
            <a:solidFill>
              <a:schemeClr val="accent1"/>
            </a:solidFill>
            <a:ln>
              <a:noFill/>
            </a:ln>
            <a:effectLst/>
          </c:spPr>
          <c:invertIfNegative val="0"/>
          <c:cat>
            <c:strRef>
              <c:f>'Household projections'!$A$7:$A$12</c:f>
              <c:strCache>
                <c:ptCount val="5"/>
                <c:pt idx="0">
                  <c:v>One adult</c:v>
                </c:pt>
                <c:pt idx="1">
                  <c:v>Two adults</c:v>
                </c:pt>
                <c:pt idx="2">
                  <c:v>One adult, one or more children</c:v>
                </c:pt>
                <c:pt idx="3">
                  <c:v>Two or more adults, one or more children</c:v>
                </c:pt>
                <c:pt idx="4">
                  <c:v>Three or more adults</c:v>
                </c:pt>
              </c:strCache>
            </c:strRef>
          </c:cat>
          <c:val>
            <c:numRef>
              <c:f>'Household projections'!$B$7:$B$12</c:f>
              <c:numCache>
                <c:formatCode>#,##0</c:formatCode>
                <c:ptCount val="5"/>
                <c:pt idx="0">
                  <c:v>42254</c:v>
                </c:pt>
                <c:pt idx="1">
                  <c:v>34366</c:v>
                </c:pt>
                <c:pt idx="2">
                  <c:v>4638</c:v>
                </c:pt>
                <c:pt idx="3">
                  <c:v>17571</c:v>
                </c:pt>
                <c:pt idx="4">
                  <c:v>7919</c:v>
                </c:pt>
              </c:numCache>
            </c:numRef>
          </c:val>
          <c:extLst>
            <c:ext xmlns:c16="http://schemas.microsoft.com/office/drawing/2014/chart" uri="{C3380CC4-5D6E-409C-BE32-E72D297353CC}">
              <c16:uniqueId val="{00000000-81FD-4E7D-9020-4EAC0FC9E213}"/>
            </c:ext>
          </c:extLst>
        </c:ser>
        <c:ser>
          <c:idx val="1"/>
          <c:order val="1"/>
          <c:tx>
            <c:strRef>
              <c:f>'Household projections'!$C$6</c:f>
              <c:strCache>
                <c:ptCount val="1"/>
                <c:pt idx="0">
                  <c:v>2026</c:v>
                </c:pt>
              </c:strCache>
            </c:strRef>
          </c:tx>
          <c:spPr>
            <a:solidFill>
              <a:schemeClr val="accent2"/>
            </a:solidFill>
            <a:ln>
              <a:noFill/>
            </a:ln>
            <a:effectLst/>
          </c:spPr>
          <c:invertIfNegative val="0"/>
          <c:cat>
            <c:strRef>
              <c:f>'Household projections'!$A$7:$A$12</c:f>
              <c:strCache>
                <c:ptCount val="5"/>
                <c:pt idx="0">
                  <c:v>One adult</c:v>
                </c:pt>
                <c:pt idx="1">
                  <c:v>Two adults</c:v>
                </c:pt>
                <c:pt idx="2">
                  <c:v>One adult, one or more children</c:v>
                </c:pt>
                <c:pt idx="3">
                  <c:v>Two or more adults, one or more children</c:v>
                </c:pt>
                <c:pt idx="4">
                  <c:v>Three or more adults</c:v>
                </c:pt>
              </c:strCache>
            </c:strRef>
          </c:cat>
          <c:val>
            <c:numRef>
              <c:f>'Household projections'!$C$7:$C$12</c:f>
              <c:numCache>
                <c:formatCode>#,##0</c:formatCode>
                <c:ptCount val="5"/>
                <c:pt idx="0">
                  <c:v>46218</c:v>
                </c:pt>
                <c:pt idx="1">
                  <c:v>36581</c:v>
                </c:pt>
                <c:pt idx="2">
                  <c:v>4762</c:v>
                </c:pt>
                <c:pt idx="3">
                  <c:v>18562</c:v>
                </c:pt>
                <c:pt idx="4">
                  <c:v>7004</c:v>
                </c:pt>
              </c:numCache>
            </c:numRef>
          </c:val>
          <c:extLst>
            <c:ext xmlns:c16="http://schemas.microsoft.com/office/drawing/2014/chart" uri="{C3380CC4-5D6E-409C-BE32-E72D297353CC}">
              <c16:uniqueId val="{00000001-81FD-4E7D-9020-4EAC0FC9E213}"/>
            </c:ext>
          </c:extLst>
        </c:ser>
        <c:dLbls>
          <c:showLegendKey val="0"/>
          <c:showVal val="0"/>
          <c:showCatName val="0"/>
          <c:showSerName val="0"/>
          <c:showPercent val="0"/>
          <c:showBubbleSize val="0"/>
        </c:dLbls>
        <c:gapWidth val="219"/>
        <c:overlap val="-27"/>
        <c:axId val="607059616"/>
        <c:axId val="607067160"/>
      </c:barChart>
      <c:lineChart>
        <c:grouping val="standard"/>
        <c:varyColors val="0"/>
        <c:ser>
          <c:idx val="2"/>
          <c:order val="2"/>
          <c:tx>
            <c:strRef>
              <c:f>'Household projections'!$D$6</c:f>
              <c:strCache>
                <c:ptCount val="1"/>
                <c:pt idx="0">
                  <c:v>% change</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'Household projections'!$A$7:$A$12</c:f>
              <c:strCache>
                <c:ptCount val="5"/>
                <c:pt idx="0">
                  <c:v>One adult</c:v>
                </c:pt>
                <c:pt idx="1">
                  <c:v>Two adults</c:v>
                </c:pt>
                <c:pt idx="2">
                  <c:v>One adult, one or more children</c:v>
                </c:pt>
                <c:pt idx="3">
                  <c:v>Two or more adults, one or more children</c:v>
                </c:pt>
                <c:pt idx="4">
                  <c:v>Three or more adults</c:v>
                </c:pt>
              </c:strCache>
            </c:strRef>
          </c:cat>
          <c:val>
            <c:numRef>
              <c:f>'Household projections'!$D$7:$D$12</c:f>
              <c:numCache>
                <c:formatCode>0.0%</c:formatCode>
                <c:ptCount val="5"/>
                <c:pt idx="0">
                  <c:v>9.4E-2</c:v>
                </c:pt>
                <c:pt idx="1">
                  <c:v>6.4000000000000001E-2</c:v>
                </c:pt>
                <c:pt idx="2">
                  <c:v>2.7000000000000003E-2</c:v>
                </c:pt>
                <c:pt idx="3">
                  <c:v>5.5999999999999994E-2</c:v>
                </c:pt>
                <c:pt idx="4">
                  <c:v>-0.11599999999999999</c:v>
                </c:pt>
              </c:numCache>
            </c:numRef>
          </c:val>
          <c:smooth val="0"/>
          <c:extLst>
            <c:ext xmlns:c16="http://schemas.microsoft.com/office/drawing/2014/chart" uri="{C3380CC4-5D6E-409C-BE32-E72D297353CC}">
              <c16:uniqueId val="{00000002-81FD-4E7D-9020-4EAC0FC9E213}"/>
            </c:ext>
          </c:extLst>
        </c:ser>
        <c:ser>
          <c:idx val="3"/>
          <c:order val="3"/>
          <c:tx>
            <c:strRef>
              <c:f>'Household projections'!$E$6</c:f>
              <c:strCache>
                <c:ptCount val="1"/>
                <c:pt idx="0">
                  <c:v>Scotland % change</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'Household projections'!$A$7:$A$12</c:f>
              <c:strCache>
                <c:ptCount val="5"/>
                <c:pt idx="0">
                  <c:v>One adult</c:v>
                </c:pt>
                <c:pt idx="1">
                  <c:v>Two adults</c:v>
                </c:pt>
                <c:pt idx="2">
                  <c:v>One adult, one or more children</c:v>
                </c:pt>
                <c:pt idx="3">
                  <c:v>Two or more adults, one or more children</c:v>
                </c:pt>
                <c:pt idx="4">
                  <c:v>Three or more adults</c:v>
                </c:pt>
              </c:strCache>
            </c:strRef>
          </c:cat>
          <c:val>
            <c:numRef>
              <c:f>'Household projections'!$E$7:$E$12</c:f>
              <c:numCache>
                <c:formatCode>0.0%</c:formatCode>
                <c:ptCount val="5"/>
                <c:pt idx="0">
                  <c:v>0.127</c:v>
                </c:pt>
                <c:pt idx="1">
                  <c:v>8.5999999999999993E-2</c:v>
                </c:pt>
                <c:pt idx="2">
                  <c:v>0.10199999999999999</c:v>
                </c:pt>
                <c:pt idx="3">
                  <c:v>-4.4999999999999998E-2</c:v>
                </c:pt>
                <c:pt idx="4">
                  <c:v>-8.6999999999999994E-2</c:v>
                </c:pt>
              </c:numCache>
            </c:numRef>
          </c:val>
          <c:smooth val="0"/>
          <c:extLst>
            <c:ext xmlns:c16="http://schemas.microsoft.com/office/drawing/2014/chart" uri="{C3380CC4-5D6E-409C-BE32-E72D297353CC}">
              <c16:uniqueId val="{00000003-81FD-4E7D-9020-4EAC0FC9E213}"/>
            </c:ext>
          </c:extLst>
        </c:ser>
        <c:dLbls>
          <c:showLegendKey val="0"/>
          <c:showVal val="0"/>
          <c:showCatName val="0"/>
          <c:showSerName val="0"/>
          <c:showPercent val="0"/>
          <c:showBubbleSize val="0"/>
        </c:dLbls>
        <c:marker val="1"/>
        <c:smooth val="0"/>
        <c:axId val="607089136"/>
        <c:axId val="607086840"/>
      </c:lineChart>
      <c:catAx>
        <c:axId val="607059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7067160"/>
        <c:crosses val="autoZero"/>
        <c:auto val="1"/>
        <c:lblAlgn val="ctr"/>
        <c:lblOffset val="100"/>
        <c:noMultiLvlLbl val="0"/>
      </c:catAx>
      <c:valAx>
        <c:axId val="607067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households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07059616"/>
        <c:crosses val="autoZero"/>
        <c:crossBetween val="between"/>
      </c:valAx>
      <c:valAx>
        <c:axId val="607086840"/>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Percentage change in households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07089136"/>
        <c:crosses val="max"/>
        <c:crossBetween val="between"/>
      </c:valAx>
      <c:catAx>
        <c:axId val="607089136"/>
        <c:scaling>
          <c:orientation val="minMax"/>
        </c:scaling>
        <c:delete val="1"/>
        <c:axPos val="b"/>
        <c:numFmt formatCode="General" sourceLinked="1"/>
        <c:majorTickMark val="out"/>
        <c:minorTickMark val="none"/>
        <c:tickLblPos val="nextTo"/>
        <c:crossAx val="607086840"/>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Projected change in households by age group of Household Reference Person, Aberdeen City, 2016 and 2026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2"/>
          <c:order val="2"/>
          <c:tx>
            <c:strRef>
              <c:f>'Household projections'!$D$28</c:f>
              <c:strCache>
                <c:ptCount val="1"/>
                <c:pt idx="0">
                  <c:v>% change</c:v>
                </c:pt>
              </c:strCache>
            </c:strRef>
          </c:tx>
          <c:spPr>
            <a:solidFill>
              <a:schemeClr val="accent3"/>
            </a:solidFill>
            <a:ln>
              <a:noFill/>
            </a:ln>
            <a:effectLst/>
          </c:spPr>
          <c:invertIfNegative val="0"/>
          <c:cat>
            <c:strRef>
              <c:f>'Household projections'!$A$29:$A$45</c:f>
              <c:strCache>
                <c:ptCount val="16"/>
                <c:pt idx="0">
                  <c:v>16 to 19</c:v>
                </c:pt>
                <c:pt idx="1">
                  <c:v>20 to 24</c:v>
                </c:pt>
                <c:pt idx="2">
                  <c:v>25 to 29</c:v>
                </c:pt>
                <c:pt idx="3">
                  <c:v>30 to 34</c:v>
                </c:pt>
                <c:pt idx="4">
                  <c:v>35 to 39</c:v>
                </c:pt>
                <c:pt idx="5">
                  <c:v>40 to 44</c:v>
                </c:pt>
                <c:pt idx="6">
                  <c:v>45 to 49</c:v>
                </c:pt>
                <c:pt idx="7">
                  <c:v>50 to 54</c:v>
                </c:pt>
                <c:pt idx="8">
                  <c:v>55 to 59</c:v>
                </c:pt>
                <c:pt idx="9">
                  <c:v>60 to 64</c:v>
                </c:pt>
                <c:pt idx="10">
                  <c:v>65 to 69</c:v>
                </c:pt>
                <c:pt idx="11">
                  <c:v>70 to 74</c:v>
                </c:pt>
                <c:pt idx="12">
                  <c:v>75 to 79</c:v>
                </c:pt>
                <c:pt idx="13">
                  <c:v>80 to 84</c:v>
                </c:pt>
                <c:pt idx="14">
                  <c:v>85 to 89</c:v>
                </c:pt>
                <c:pt idx="15">
                  <c:v>90 and over</c:v>
                </c:pt>
              </c:strCache>
            </c:strRef>
          </c:cat>
          <c:val>
            <c:numRef>
              <c:f>'Household projections'!$D$29:$D$45</c:f>
              <c:numCache>
                <c:formatCode>0.0%</c:formatCode>
                <c:ptCount val="16"/>
                <c:pt idx="0">
                  <c:v>9.3000000000000013E-2</c:v>
                </c:pt>
                <c:pt idx="1">
                  <c:v>-0.128</c:v>
                </c:pt>
                <c:pt idx="2">
                  <c:v>-0.17199999999999999</c:v>
                </c:pt>
                <c:pt idx="3">
                  <c:v>8.5000000000000006E-2</c:v>
                </c:pt>
                <c:pt idx="4">
                  <c:v>0.315</c:v>
                </c:pt>
                <c:pt idx="5">
                  <c:v>0.255</c:v>
                </c:pt>
                <c:pt idx="6">
                  <c:v>3.5000000000000003E-2</c:v>
                </c:pt>
                <c:pt idx="7">
                  <c:v>-8.6999999999999994E-2</c:v>
                </c:pt>
                <c:pt idx="8">
                  <c:v>1.3000000000000001E-2</c:v>
                </c:pt>
                <c:pt idx="9">
                  <c:v>0.14099999999999999</c:v>
                </c:pt>
                <c:pt idx="10">
                  <c:v>2.3E-2</c:v>
                </c:pt>
                <c:pt idx="11">
                  <c:v>0.18600000000000003</c:v>
                </c:pt>
                <c:pt idx="12">
                  <c:v>0.25900000000000001</c:v>
                </c:pt>
                <c:pt idx="13">
                  <c:v>-6.9999999999999993E-3</c:v>
                </c:pt>
                <c:pt idx="14">
                  <c:v>3.9E-2</c:v>
                </c:pt>
                <c:pt idx="15">
                  <c:v>0.248</c:v>
                </c:pt>
              </c:numCache>
            </c:numRef>
          </c:val>
          <c:extLst>
            <c:ext xmlns:c16="http://schemas.microsoft.com/office/drawing/2014/chart" uri="{C3380CC4-5D6E-409C-BE32-E72D297353CC}">
              <c16:uniqueId val="{00000000-E2C3-4829-88F4-D3BA3F91D94A}"/>
            </c:ext>
          </c:extLst>
        </c:ser>
        <c:dLbls>
          <c:showLegendKey val="0"/>
          <c:showVal val="0"/>
          <c:showCatName val="0"/>
          <c:showSerName val="0"/>
          <c:showPercent val="0"/>
          <c:showBubbleSize val="0"/>
        </c:dLbls>
        <c:gapWidth val="50"/>
        <c:overlap val="-27"/>
        <c:axId val="607032392"/>
        <c:axId val="607028128"/>
      </c:barChart>
      <c:lineChart>
        <c:grouping val="standard"/>
        <c:varyColors val="0"/>
        <c:ser>
          <c:idx val="0"/>
          <c:order val="0"/>
          <c:tx>
            <c:strRef>
              <c:f>'Household projections'!$B$28</c:f>
              <c:strCache>
                <c:ptCount val="1"/>
                <c:pt idx="0">
                  <c:v>2016</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'Household projections'!$A$29:$A$45</c:f>
              <c:strCache>
                <c:ptCount val="16"/>
                <c:pt idx="0">
                  <c:v>16 to 19</c:v>
                </c:pt>
                <c:pt idx="1">
                  <c:v>20 to 24</c:v>
                </c:pt>
                <c:pt idx="2">
                  <c:v>25 to 29</c:v>
                </c:pt>
                <c:pt idx="3">
                  <c:v>30 to 34</c:v>
                </c:pt>
                <c:pt idx="4">
                  <c:v>35 to 39</c:v>
                </c:pt>
                <c:pt idx="5">
                  <c:v>40 to 44</c:v>
                </c:pt>
                <c:pt idx="6">
                  <c:v>45 to 49</c:v>
                </c:pt>
                <c:pt idx="7">
                  <c:v>50 to 54</c:v>
                </c:pt>
                <c:pt idx="8">
                  <c:v>55 to 59</c:v>
                </c:pt>
                <c:pt idx="9">
                  <c:v>60 to 64</c:v>
                </c:pt>
                <c:pt idx="10">
                  <c:v>65 to 69</c:v>
                </c:pt>
                <c:pt idx="11">
                  <c:v>70 to 74</c:v>
                </c:pt>
                <c:pt idx="12">
                  <c:v>75 to 79</c:v>
                </c:pt>
                <c:pt idx="13">
                  <c:v>80 to 84</c:v>
                </c:pt>
                <c:pt idx="14">
                  <c:v>85 to 89</c:v>
                </c:pt>
                <c:pt idx="15">
                  <c:v>90 and over</c:v>
                </c:pt>
              </c:strCache>
            </c:strRef>
          </c:cat>
          <c:val>
            <c:numRef>
              <c:f>'Household projections'!$B$29:$B$45</c:f>
              <c:numCache>
                <c:formatCode>#,##0</c:formatCode>
                <c:ptCount val="16"/>
                <c:pt idx="0" formatCode="General">
                  <c:v>924</c:v>
                </c:pt>
                <c:pt idx="1">
                  <c:v>7156</c:v>
                </c:pt>
                <c:pt idx="2">
                  <c:v>12461</c:v>
                </c:pt>
                <c:pt idx="3">
                  <c:v>11602</c:v>
                </c:pt>
                <c:pt idx="4">
                  <c:v>9632</c:v>
                </c:pt>
                <c:pt idx="5">
                  <c:v>8639</c:v>
                </c:pt>
                <c:pt idx="6">
                  <c:v>8851</c:v>
                </c:pt>
                <c:pt idx="7">
                  <c:v>9105</c:v>
                </c:pt>
                <c:pt idx="8">
                  <c:v>8353</c:v>
                </c:pt>
                <c:pt idx="9">
                  <c:v>7304</c:v>
                </c:pt>
                <c:pt idx="10">
                  <c:v>6759</c:v>
                </c:pt>
                <c:pt idx="11">
                  <c:v>4810</c:v>
                </c:pt>
                <c:pt idx="12">
                  <c:v>4284</c:v>
                </c:pt>
                <c:pt idx="13">
                  <c:v>3615</c:v>
                </c:pt>
                <c:pt idx="14">
                  <c:v>2240</c:v>
                </c:pt>
                <c:pt idx="15">
                  <c:v>1013</c:v>
                </c:pt>
              </c:numCache>
            </c:numRef>
          </c:val>
          <c:smooth val="0"/>
          <c:extLst>
            <c:ext xmlns:c16="http://schemas.microsoft.com/office/drawing/2014/chart" uri="{C3380CC4-5D6E-409C-BE32-E72D297353CC}">
              <c16:uniqueId val="{00000001-E2C3-4829-88F4-D3BA3F91D94A}"/>
            </c:ext>
          </c:extLst>
        </c:ser>
        <c:ser>
          <c:idx val="1"/>
          <c:order val="1"/>
          <c:tx>
            <c:strRef>
              <c:f>'Household projections'!$C$28</c:f>
              <c:strCache>
                <c:ptCount val="1"/>
                <c:pt idx="0">
                  <c:v>2026</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'Household projections'!$A$29:$A$45</c:f>
              <c:strCache>
                <c:ptCount val="16"/>
                <c:pt idx="0">
                  <c:v>16 to 19</c:v>
                </c:pt>
                <c:pt idx="1">
                  <c:v>20 to 24</c:v>
                </c:pt>
                <c:pt idx="2">
                  <c:v>25 to 29</c:v>
                </c:pt>
                <c:pt idx="3">
                  <c:v>30 to 34</c:v>
                </c:pt>
                <c:pt idx="4">
                  <c:v>35 to 39</c:v>
                </c:pt>
                <c:pt idx="5">
                  <c:v>40 to 44</c:v>
                </c:pt>
                <c:pt idx="6">
                  <c:v>45 to 49</c:v>
                </c:pt>
                <c:pt idx="7">
                  <c:v>50 to 54</c:v>
                </c:pt>
                <c:pt idx="8">
                  <c:v>55 to 59</c:v>
                </c:pt>
                <c:pt idx="9">
                  <c:v>60 to 64</c:v>
                </c:pt>
                <c:pt idx="10">
                  <c:v>65 to 69</c:v>
                </c:pt>
                <c:pt idx="11">
                  <c:v>70 to 74</c:v>
                </c:pt>
                <c:pt idx="12">
                  <c:v>75 to 79</c:v>
                </c:pt>
                <c:pt idx="13">
                  <c:v>80 to 84</c:v>
                </c:pt>
                <c:pt idx="14">
                  <c:v>85 to 89</c:v>
                </c:pt>
                <c:pt idx="15">
                  <c:v>90 and over</c:v>
                </c:pt>
              </c:strCache>
            </c:strRef>
          </c:cat>
          <c:val>
            <c:numRef>
              <c:f>'Household projections'!$C$29:$C$45</c:f>
              <c:numCache>
                <c:formatCode>#,##0</c:formatCode>
                <c:ptCount val="16"/>
                <c:pt idx="0">
                  <c:v>1011</c:v>
                </c:pt>
                <c:pt idx="1">
                  <c:v>6238</c:v>
                </c:pt>
                <c:pt idx="2">
                  <c:v>10314</c:v>
                </c:pt>
                <c:pt idx="3">
                  <c:v>12590</c:v>
                </c:pt>
                <c:pt idx="4">
                  <c:v>12669</c:v>
                </c:pt>
                <c:pt idx="5">
                  <c:v>10841</c:v>
                </c:pt>
                <c:pt idx="6">
                  <c:v>9156</c:v>
                </c:pt>
                <c:pt idx="7">
                  <c:v>8313</c:v>
                </c:pt>
                <c:pt idx="8">
                  <c:v>8464</c:v>
                </c:pt>
                <c:pt idx="9">
                  <c:v>8337</c:v>
                </c:pt>
                <c:pt idx="10">
                  <c:v>6912</c:v>
                </c:pt>
                <c:pt idx="11">
                  <c:v>5704</c:v>
                </c:pt>
                <c:pt idx="12">
                  <c:v>5396</c:v>
                </c:pt>
                <c:pt idx="13">
                  <c:v>3590</c:v>
                </c:pt>
                <c:pt idx="14">
                  <c:v>2327</c:v>
                </c:pt>
                <c:pt idx="15">
                  <c:v>1264</c:v>
                </c:pt>
              </c:numCache>
            </c:numRef>
          </c:val>
          <c:smooth val="0"/>
          <c:extLst>
            <c:ext xmlns:c16="http://schemas.microsoft.com/office/drawing/2014/chart" uri="{C3380CC4-5D6E-409C-BE32-E72D297353CC}">
              <c16:uniqueId val="{00000002-E2C3-4829-88F4-D3BA3F91D94A}"/>
            </c:ext>
          </c:extLst>
        </c:ser>
        <c:dLbls>
          <c:showLegendKey val="0"/>
          <c:showVal val="0"/>
          <c:showCatName val="0"/>
          <c:showSerName val="0"/>
          <c:showPercent val="0"/>
          <c:showBubbleSize val="0"/>
        </c:dLbls>
        <c:marker val="1"/>
        <c:smooth val="0"/>
        <c:axId val="652988928"/>
        <c:axId val="652992864"/>
      </c:lineChart>
      <c:catAx>
        <c:axId val="652988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652992864"/>
        <c:crosses val="autoZero"/>
        <c:auto val="1"/>
        <c:lblAlgn val="ctr"/>
        <c:lblOffset val="100"/>
        <c:noMultiLvlLbl val="0"/>
      </c:catAx>
      <c:valAx>
        <c:axId val="652992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households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2988928"/>
        <c:crosses val="autoZero"/>
        <c:crossBetween val="between"/>
      </c:valAx>
      <c:valAx>
        <c:axId val="60702812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Percentage change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7032392"/>
        <c:crosses val="max"/>
        <c:crossBetween val="between"/>
      </c:valAx>
      <c:catAx>
        <c:axId val="607032392"/>
        <c:scaling>
          <c:orientation val="minMax"/>
        </c:scaling>
        <c:delete val="1"/>
        <c:axPos val="b"/>
        <c:numFmt formatCode="General" sourceLinked="1"/>
        <c:majorTickMark val="out"/>
        <c:minorTickMark val="none"/>
        <c:tickLblPos val="nextTo"/>
        <c:crossAx val="607028128"/>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en-US" sz="1200"/>
              <a:t>Number of children by neighbourhood, Aberdeen City, 2016</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en-US"/>
        </a:p>
      </c:txPr>
    </c:title>
    <c:autoTitleDeleted val="0"/>
    <c:plotArea>
      <c:layout/>
      <c:barChart>
        <c:barDir val="col"/>
        <c:grouping val="stacked"/>
        <c:varyColors val="0"/>
        <c:ser>
          <c:idx val="0"/>
          <c:order val="0"/>
          <c:tx>
            <c:strRef>
              <c:f>Sheet1!$B$1</c:f>
              <c:strCache>
                <c:ptCount val="1"/>
                <c:pt idx="0">
                  <c:v>0-4 years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Sheet1!$A$2:$A$38</c:f>
              <c:strCache>
                <c:ptCount val="37"/>
                <c:pt idx="0">
                  <c:v>Old Aberdeen</c:v>
                </c:pt>
                <c:pt idx="1">
                  <c:v>Ashgrove</c:v>
                </c:pt>
                <c:pt idx="2">
                  <c:v>Heathryfold</c:v>
                </c:pt>
                <c:pt idx="3">
                  <c:v>Cummings Park </c:v>
                </c:pt>
                <c:pt idx="4">
                  <c:v>City Centre</c:v>
                </c:pt>
                <c:pt idx="5">
                  <c:v>Hanover</c:v>
                </c:pt>
                <c:pt idx="6">
                  <c:v>Danestone</c:v>
                </c:pt>
                <c:pt idx="7">
                  <c:v>George Street</c:v>
                </c:pt>
                <c:pt idx="8">
                  <c:v>Stockethill</c:v>
                </c:pt>
                <c:pt idx="9">
                  <c:v>Denmore</c:v>
                </c:pt>
                <c:pt idx="10">
                  <c:v>Seaton</c:v>
                </c:pt>
                <c:pt idx="11">
                  <c:v>Froghall, Powis &amp; Sunnybank</c:v>
                </c:pt>
                <c:pt idx="12">
                  <c:v>Sheddocksley</c:v>
                </c:pt>
                <c:pt idx="13">
                  <c:v>Summerhill</c:v>
                </c:pt>
                <c:pt idx="14">
                  <c:v>Middlefield</c:v>
                </c:pt>
                <c:pt idx="15">
                  <c:v>Midstocket</c:v>
                </c:pt>
                <c:pt idx="16">
                  <c:v>Rosemount</c:v>
                </c:pt>
                <c:pt idx="17">
                  <c:v>Garthdee</c:v>
                </c:pt>
                <c:pt idx="18">
                  <c:v>Woodside</c:v>
                </c:pt>
                <c:pt idx="19">
                  <c:v>Hazlehead</c:v>
                </c:pt>
                <c:pt idx="20">
                  <c:v>Culter </c:v>
                </c:pt>
                <c:pt idx="21">
                  <c:v>Balgownie &amp; Donmouth</c:v>
                </c:pt>
                <c:pt idx="22">
                  <c:v>Dyce </c:v>
                </c:pt>
                <c:pt idx="23">
                  <c:v>Hilton</c:v>
                </c:pt>
                <c:pt idx="24">
                  <c:v>Ferryhill</c:v>
                </c:pt>
                <c:pt idx="25">
                  <c:v>Cove</c:v>
                </c:pt>
                <c:pt idx="26">
                  <c:v>Bucksburn</c:v>
                </c:pt>
                <c:pt idx="27">
                  <c:v>Northfield</c:v>
                </c:pt>
                <c:pt idx="28">
                  <c:v>Tillydrone</c:v>
                </c:pt>
                <c:pt idx="29">
                  <c:v>Kingswells</c:v>
                </c:pt>
                <c:pt idx="30">
                  <c:v>Mastrick</c:v>
                </c:pt>
                <c:pt idx="31">
                  <c:v>Oldmachar</c:v>
                </c:pt>
                <c:pt idx="32">
                  <c:v>West End</c:v>
                </c:pt>
                <c:pt idx="33">
                  <c:v>Kincorth, Leggart &amp; Nigg </c:v>
                </c:pt>
                <c:pt idx="34">
                  <c:v>Torry</c:v>
                </c:pt>
                <c:pt idx="35">
                  <c:v>Braeside, Mannofield</c:v>
                </c:pt>
                <c:pt idx="36">
                  <c:v>Cults, Bieldside &amp; Milltimber</c:v>
                </c:pt>
              </c:strCache>
            </c:strRef>
          </c:cat>
          <c:val>
            <c:numRef>
              <c:f>Sheet1!$B$2:$B$38</c:f>
              <c:numCache>
                <c:formatCode>General</c:formatCode>
                <c:ptCount val="37"/>
                <c:pt idx="0">
                  <c:v>120</c:v>
                </c:pt>
                <c:pt idx="1">
                  <c:v>152</c:v>
                </c:pt>
                <c:pt idx="2">
                  <c:v>135</c:v>
                </c:pt>
                <c:pt idx="3">
                  <c:v>115</c:v>
                </c:pt>
                <c:pt idx="4">
                  <c:v>236</c:v>
                </c:pt>
                <c:pt idx="5">
                  <c:v>276</c:v>
                </c:pt>
                <c:pt idx="6">
                  <c:v>175</c:v>
                </c:pt>
                <c:pt idx="7">
                  <c:v>295</c:v>
                </c:pt>
                <c:pt idx="8">
                  <c:v>223</c:v>
                </c:pt>
                <c:pt idx="9">
                  <c:v>213</c:v>
                </c:pt>
                <c:pt idx="10">
                  <c:v>264</c:v>
                </c:pt>
                <c:pt idx="11">
                  <c:v>248</c:v>
                </c:pt>
                <c:pt idx="12">
                  <c:v>199</c:v>
                </c:pt>
                <c:pt idx="13">
                  <c:v>217</c:v>
                </c:pt>
                <c:pt idx="14">
                  <c:v>223</c:v>
                </c:pt>
                <c:pt idx="15">
                  <c:v>215</c:v>
                </c:pt>
                <c:pt idx="16">
                  <c:v>289</c:v>
                </c:pt>
                <c:pt idx="17">
                  <c:v>243</c:v>
                </c:pt>
                <c:pt idx="18">
                  <c:v>320</c:v>
                </c:pt>
                <c:pt idx="19">
                  <c:v>296</c:v>
                </c:pt>
                <c:pt idx="20">
                  <c:v>234</c:v>
                </c:pt>
                <c:pt idx="21">
                  <c:v>311</c:v>
                </c:pt>
                <c:pt idx="22">
                  <c:v>308</c:v>
                </c:pt>
                <c:pt idx="23">
                  <c:v>427</c:v>
                </c:pt>
                <c:pt idx="24">
                  <c:v>440</c:v>
                </c:pt>
                <c:pt idx="25">
                  <c:v>360</c:v>
                </c:pt>
                <c:pt idx="26">
                  <c:v>465</c:v>
                </c:pt>
                <c:pt idx="27">
                  <c:v>395</c:v>
                </c:pt>
                <c:pt idx="28">
                  <c:v>531</c:v>
                </c:pt>
                <c:pt idx="29">
                  <c:v>344</c:v>
                </c:pt>
                <c:pt idx="30">
                  <c:v>530</c:v>
                </c:pt>
                <c:pt idx="31">
                  <c:v>491</c:v>
                </c:pt>
                <c:pt idx="32">
                  <c:v>473</c:v>
                </c:pt>
                <c:pt idx="33">
                  <c:v>599</c:v>
                </c:pt>
                <c:pt idx="34">
                  <c:v>693</c:v>
                </c:pt>
                <c:pt idx="35">
                  <c:v>657</c:v>
                </c:pt>
                <c:pt idx="36">
                  <c:v>494</c:v>
                </c:pt>
              </c:numCache>
            </c:numRef>
          </c:val>
          <c:extLst>
            <c:ext xmlns:c16="http://schemas.microsoft.com/office/drawing/2014/chart" uri="{C3380CC4-5D6E-409C-BE32-E72D297353CC}">
              <c16:uniqueId val="{00000000-6A1C-417C-B0D0-BB34F2614CF5}"/>
            </c:ext>
          </c:extLst>
        </c:ser>
        <c:ser>
          <c:idx val="1"/>
          <c:order val="1"/>
          <c:tx>
            <c:strRef>
              <c:f>Sheet1!$C$1</c:f>
              <c:strCache>
                <c:ptCount val="1"/>
                <c:pt idx="0">
                  <c:v>5-9 years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Sheet1!$A$2:$A$38</c:f>
              <c:strCache>
                <c:ptCount val="37"/>
                <c:pt idx="0">
                  <c:v>Old Aberdeen</c:v>
                </c:pt>
                <c:pt idx="1">
                  <c:v>Ashgrove</c:v>
                </c:pt>
                <c:pt idx="2">
                  <c:v>Heathryfold</c:v>
                </c:pt>
                <c:pt idx="3">
                  <c:v>Cummings Park </c:v>
                </c:pt>
                <c:pt idx="4">
                  <c:v>City Centre</c:v>
                </c:pt>
                <c:pt idx="5">
                  <c:v>Hanover</c:v>
                </c:pt>
                <c:pt idx="6">
                  <c:v>Danestone</c:v>
                </c:pt>
                <c:pt idx="7">
                  <c:v>George Street</c:v>
                </c:pt>
                <c:pt idx="8">
                  <c:v>Stockethill</c:v>
                </c:pt>
                <c:pt idx="9">
                  <c:v>Denmore</c:v>
                </c:pt>
                <c:pt idx="10">
                  <c:v>Seaton</c:v>
                </c:pt>
                <c:pt idx="11">
                  <c:v>Froghall, Powis &amp; Sunnybank</c:v>
                </c:pt>
                <c:pt idx="12">
                  <c:v>Sheddocksley</c:v>
                </c:pt>
                <c:pt idx="13">
                  <c:v>Summerhill</c:v>
                </c:pt>
                <c:pt idx="14">
                  <c:v>Middlefield</c:v>
                </c:pt>
                <c:pt idx="15">
                  <c:v>Midstocket</c:v>
                </c:pt>
                <c:pt idx="16">
                  <c:v>Rosemount</c:v>
                </c:pt>
                <c:pt idx="17">
                  <c:v>Garthdee</c:v>
                </c:pt>
                <c:pt idx="18">
                  <c:v>Woodside</c:v>
                </c:pt>
                <c:pt idx="19">
                  <c:v>Hazlehead</c:v>
                </c:pt>
                <c:pt idx="20">
                  <c:v>Culter </c:v>
                </c:pt>
                <c:pt idx="21">
                  <c:v>Balgownie &amp; Donmouth</c:v>
                </c:pt>
                <c:pt idx="22">
                  <c:v>Dyce </c:v>
                </c:pt>
                <c:pt idx="23">
                  <c:v>Hilton</c:v>
                </c:pt>
                <c:pt idx="24">
                  <c:v>Ferryhill</c:v>
                </c:pt>
                <c:pt idx="25">
                  <c:v>Cove</c:v>
                </c:pt>
                <c:pt idx="26">
                  <c:v>Bucksburn</c:v>
                </c:pt>
                <c:pt idx="27">
                  <c:v>Northfield</c:v>
                </c:pt>
                <c:pt idx="28">
                  <c:v>Tillydrone</c:v>
                </c:pt>
                <c:pt idx="29">
                  <c:v>Kingswells</c:v>
                </c:pt>
                <c:pt idx="30">
                  <c:v>Mastrick</c:v>
                </c:pt>
                <c:pt idx="31">
                  <c:v>Oldmachar</c:v>
                </c:pt>
                <c:pt idx="32">
                  <c:v>West End</c:v>
                </c:pt>
                <c:pt idx="33">
                  <c:v>Kincorth, Leggart &amp; Nigg </c:v>
                </c:pt>
                <c:pt idx="34">
                  <c:v>Torry</c:v>
                </c:pt>
                <c:pt idx="35">
                  <c:v>Braeside, Mannofield</c:v>
                </c:pt>
                <c:pt idx="36">
                  <c:v>Cults, Bieldside &amp; Milltimber</c:v>
                </c:pt>
              </c:strCache>
            </c:strRef>
          </c:cat>
          <c:val>
            <c:numRef>
              <c:f>Sheet1!$C$2:$C$38</c:f>
              <c:numCache>
                <c:formatCode>General</c:formatCode>
                <c:ptCount val="37"/>
                <c:pt idx="0">
                  <c:v>92</c:v>
                </c:pt>
                <c:pt idx="1">
                  <c:v>96</c:v>
                </c:pt>
                <c:pt idx="2">
                  <c:v>133</c:v>
                </c:pt>
                <c:pt idx="3">
                  <c:v>128</c:v>
                </c:pt>
                <c:pt idx="4">
                  <c:v>162</c:v>
                </c:pt>
                <c:pt idx="5">
                  <c:v>148</c:v>
                </c:pt>
                <c:pt idx="6">
                  <c:v>170</c:v>
                </c:pt>
                <c:pt idx="7">
                  <c:v>156</c:v>
                </c:pt>
                <c:pt idx="8">
                  <c:v>196</c:v>
                </c:pt>
                <c:pt idx="9">
                  <c:v>181</c:v>
                </c:pt>
                <c:pt idx="10">
                  <c:v>195</c:v>
                </c:pt>
                <c:pt idx="11">
                  <c:v>205</c:v>
                </c:pt>
                <c:pt idx="12">
                  <c:v>211</c:v>
                </c:pt>
                <c:pt idx="13">
                  <c:v>207</c:v>
                </c:pt>
                <c:pt idx="14">
                  <c:v>221</c:v>
                </c:pt>
                <c:pt idx="15">
                  <c:v>245</c:v>
                </c:pt>
                <c:pt idx="16">
                  <c:v>223</c:v>
                </c:pt>
                <c:pt idx="17">
                  <c:v>246</c:v>
                </c:pt>
                <c:pt idx="18">
                  <c:v>247</c:v>
                </c:pt>
                <c:pt idx="19">
                  <c:v>271</c:v>
                </c:pt>
                <c:pt idx="20">
                  <c:v>276</c:v>
                </c:pt>
                <c:pt idx="21">
                  <c:v>273</c:v>
                </c:pt>
                <c:pt idx="22">
                  <c:v>336</c:v>
                </c:pt>
                <c:pt idx="23">
                  <c:v>342</c:v>
                </c:pt>
                <c:pt idx="24">
                  <c:v>369</c:v>
                </c:pt>
                <c:pt idx="25">
                  <c:v>355</c:v>
                </c:pt>
                <c:pt idx="26">
                  <c:v>371</c:v>
                </c:pt>
                <c:pt idx="27">
                  <c:v>371</c:v>
                </c:pt>
                <c:pt idx="28">
                  <c:v>380</c:v>
                </c:pt>
                <c:pt idx="29">
                  <c:v>458</c:v>
                </c:pt>
                <c:pt idx="30">
                  <c:v>394</c:v>
                </c:pt>
                <c:pt idx="31">
                  <c:v>479</c:v>
                </c:pt>
                <c:pt idx="32">
                  <c:v>475</c:v>
                </c:pt>
                <c:pt idx="33">
                  <c:v>502</c:v>
                </c:pt>
                <c:pt idx="34">
                  <c:v>619</c:v>
                </c:pt>
                <c:pt idx="35">
                  <c:v>653</c:v>
                </c:pt>
                <c:pt idx="36">
                  <c:v>709</c:v>
                </c:pt>
              </c:numCache>
            </c:numRef>
          </c:val>
          <c:extLst>
            <c:ext xmlns:c16="http://schemas.microsoft.com/office/drawing/2014/chart" uri="{C3380CC4-5D6E-409C-BE32-E72D297353CC}">
              <c16:uniqueId val="{00000001-6A1C-417C-B0D0-BB34F2614CF5}"/>
            </c:ext>
          </c:extLst>
        </c:ser>
        <c:ser>
          <c:idx val="2"/>
          <c:order val="2"/>
          <c:tx>
            <c:strRef>
              <c:f>Sheet1!$D$1</c:f>
              <c:strCache>
                <c:ptCount val="1"/>
                <c:pt idx="0">
                  <c:v>10-15 years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Sheet1!$A$2:$A$38</c:f>
              <c:strCache>
                <c:ptCount val="37"/>
                <c:pt idx="0">
                  <c:v>Old Aberdeen</c:v>
                </c:pt>
                <c:pt idx="1">
                  <c:v>Ashgrove</c:v>
                </c:pt>
                <c:pt idx="2">
                  <c:v>Heathryfold</c:v>
                </c:pt>
                <c:pt idx="3">
                  <c:v>Cummings Park </c:v>
                </c:pt>
                <c:pt idx="4">
                  <c:v>City Centre</c:v>
                </c:pt>
                <c:pt idx="5">
                  <c:v>Hanover</c:v>
                </c:pt>
                <c:pt idx="6">
                  <c:v>Danestone</c:v>
                </c:pt>
                <c:pt idx="7">
                  <c:v>George Street</c:v>
                </c:pt>
                <c:pt idx="8">
                  <c:v>Stockethill</c:v>
                </c:pt>
                <c:pt idx="9">
                  <c:v>Denmore</c:v>
                </c:pt>
                <c:pt idx="10">
                  <c:v>Seaton</c:v>
                </c:pt>
                <c:pt idx="11">
                  <c:v>Froghall, Powis &amp; Sunnybank</c:v>
                </c:pt>
                <c:pt idx="12">
                  <c:v>Sheddocksley</c:v>
                </c:pt>
                <c:pt idx="13">
                  <c:v>Summerhill</c:v>
                </c:pt>
                <c:pt idx="14">
                  <c:v>Middlefield</c:v>
                </c:pt>
                <c:pt idx="15">
                  <c:v>Midstocket</c:v>
                </c:pt>
                <c:pt idx="16">
                  <c:v>Rosemount</c:v>
                </c:pt>
                <c:pt idx="17">
                  <c:v>Garthdee</c:v>
                </c:pt>
                <c:pt idx="18">
                  <c:v>Woodside</c:v>
                </c:pt>
                <c:pt idx="19">
                  <c:v>Hazlehead</c:v>
                </c:pt>
                <c:pt idx="20">
                  <c:v>Culter </c:v>
                </c:pt>
                <c:pt idx="21">
                  <c:v>Balgownie &amp; Donmouth</c:v>
                </c:pt>
                <c:pt idx="22">
                  <c:v>Dyce </c:v>
                </c:pt>
                <c:pt idx="23">
                  <c:v>Hilton</c:v>
                </c:pt>
                <c:pt idx="24">
                  <c:v>Ferryhill</c:v>
                </c:pt>
                <c:pt idx="25">
                  <c:v>Cove</c:v>
                </c:pt>
                <c:pt idx="26">
                  <c:v>Bucksburn</c:v>
                </c:pt>
                <c:pt idx="27">
                  <c:v>Northfield</c:v>
                </c:pt>
                <c:pt idx="28">
                  <c:v>Tillydrone</c:v>
                </c:pt>
                <c:pt idx="29">
                  <c:v>Kingswells</c:v>
                </c:pt>
                <c:pt idx="30">
                  <c:v>Mastrick</c:v>
                </c:pt>
                <c:pt idx="31">
                  <c:v>Oldmachar</c:v>
                </c:pt>
                <c:pt idx="32">
                  <c:v>West End</c:v>
                </c:pt>
                <c:pt idx="33">
                  <c:v>Kincorth, Leggart &amp; Nigg </c:v>
                </c:pt>
                <c:pt idx="34">
                  <c:v>Torry</c:v>
                </c:pt>
                <c:pt idx="35">
                  <c:v>Braeside, Mannofield</c:v>
                </c:pt>
                <c:pt idx="36">
                  <c:v>Cults, Bieldside &amp; Milltimber</c:v>
                </c:pt>
              </c:strCache>
            </c:strRef>
          </c:cat>
          <c:val>
            <c:numRef>
              <c:f>Sheet1!$D$2:$D$38</c:f>
              <c:numCache>
                <c:formatCode>General</c:formatCode>
                <c:ptCount val="37"/>
                <c:pt idx="0">
                  <c:v>88</c:v>
                </c:pt>
                <c:pt idx="1">
                  <c:v>103</c:v>
                </c:pt>
                <c:pt idx="2">
                  <c:v>117</c:v>
                </c:pt>
                <c:pt idx="3">
                  <c:v>168</c:v>
                </c:pt>
                <c:pt idx="4">
                  <c:v>112</c:v>
                </c:pt>
                <c:pt idx="5">
                  <c:v>105</c:v>
                </c:pt>
                <c:pt idx="6">
                  <c:v>185</c:v>
                </c:pt>
                <c:pt idx="7">
                  <c:v>115</c:v>
                </c:pt>
                <c:pt idx="8">
                  <c:v>165</c:v>
                </c:pt>
                <c:pt idx="9">
                  <c:v>207</c:v>
                </c:pt>
                <c:pt idx="10">
                  <c:v>152</c:v>
                </c:pt>
                <c:pt idx="11">
                  <c:v>175</c:v>
                </c:pt>
                <c:pt idx="12">
                  <c:v>218</c:v>
                </c:pt>
                <c:pt idx="13">
                  <c:v>207</c:v>
                </c:pt>
                <c:pt idx="14">
                  <c:v>234</c:v>
                </c:pt>
                <c:pt idx="15">
                  <c:v>258</c:v>
                </c:pt>
                <c:pt idx="16">
                  <c:v>218</c:v>
                </c:pt>
                <c:pt idx="17">
                  <c:v>265</c:v>
                </c:pt>
                <c:pt idx="18">
                  <c:v>200</c:v>
                </c:pt>
                <c:pt idx="19">
                  <c:v>249</c:v>
                </c:pt>
                <c:pt idx="20">
                  <c:v>321</c:v>
                </c:pt>
                <c:pt idx="21">
                  <c:v>297</c:v>
                </c:pt>
                <c:pt idx="22">
                  <c:v>329</c:v>
                </c:pt>
                <c:pt idx="23">
                  <c:v>295</c:v>
                </c:pt>
                <c:pt idx="24">
                  <c:v>273</c:v>
                </c:pt>
                <c:pt idx="25">
                  <c:v>385</c:v>
                </c:pt>
                <c:pt idx="26">
                  <c:v>324</c:v>
                </c:pt>
                <c:pt idx="27">
                  <c:v>396</c:v>
                </c:pt>
                <c:pt idx="28">
                  <c:v>265</c:v>
                </c:pt>
                <c:pt idx="29">
                  <c:v>429</c:v>
                </c:pt>
                <c:pt idx="30">
                  <c:v>445</c:v>
                </c:pt>
                <c:pt idx="31">
                  <c:v>498</c:v>
                </c:pt>
                <c:pt idx="32">
                  <c:v>550</c:v>
                </c:pt>
                <c:pt idx="33">
                  <c:v>465</c:v>
                </c:pt>
                <c:pt idx="34">
                  <c:v>519</c:v>
                </c:pt>
                <c:pt idx="35">
                  <c:v>608</c:v>
                </c:pt>
                <c:pt idx="36">
                  <c:v>946</c:v>
                </c:pt>
              </c:numCache>
            </c:numRef>
          </c:val>
          <c:extLst>
            <c:ext xmlns:c16="http://schemas.microsoft.com/office/drawing/2014/chart" uri="{C3380CC4-5D6E-409C-BE32-E72D297353CC}">
              <c16:uniqueId val="{00000002-6A1C-417C-B0D0-BB34F2614CF5}"/>
            </c:ext>
          </c:extLst>
        </c:ser>
        <c:dLbls>
          <c:showLegendKey val="0"/>
          <c:showVal val="0"/>
          <c:showCatName val="0"/>
          <c:showSerName val="0"/>
          <c:showPercent val="0"/>
          <c:showBubbleSize val="0"/>
        </c:dLbls>
        <c:gapWidth val="150"/>
        <c:overlap val="100"/>
        <c:axId val="822354464"/>
        <c:axId val="822353152"/>
      </c:barChart>
      <c:catAx>
        <c:axId val="82235446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crossAx val="822353152"/>
        <c:crosses val="autoZero"/>
        <c:auto val="1"/>
        <c:lblAlgn val="ctr"/>
        <c:lblOffset val="100"/>
        <c:noMultiLvlLbl val="0"/>
      </c:catAx>
      <c:valAx>
        <c:axId val="822353152"/>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822354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200"/>
              <a:t>Children (0-15 years) as percentage</a:t>
            </a:r>
            <a:r>
              <a:rPr lang="en-GB" sz="1200" baseline="0"/>
              <a:t> of total neighbourhood population</a:t>
            </a:r>
            <a:r>
              <a:rPr lang="en-GB" sz="1200"/>
              <a:t>, Aberdeen City, 2016</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stacked"/>
        <c:varyColors val="0"/>
        <c:ser>
          <c:idx val="0"/>
          <c:order val="0"/>
          <c:tx>
            <c:strRef>
              <c:f>Sheet1!$B$42</c:f>
              <c:strCache>
                <c:ptCount val="1"/>
                <c:pt idx="0">
                  <c:v>0-4 years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Sheet1!$A$43:$A$80</c:f>
              <c:strCache>
                <c:ptCount val="38"/>
                <c:pt idx="0">
                  <c:v>Hanover</c:v>
                </c:pt>
                <c:pt idx="1">
                  <c:v>City Centre</c:v>
                </c:pt>
                <c:pt idx="2">
                  <c:v>George Street</c:v>
                </c:pt>
                <c:pt idx="3">
                  <c:v>Old Aberdeen</c:v>
                </c:pt>
                <c:pt idx="4">
                  <c:v>Rosemount</c:v>
                </c:pt>
                <c:pt idx="5">
                  <c:v>Ferryhill</c:v>
                </c:pt>
                <c:pt idx="6">
                  <c:v>Seaton</c:v>
                </c:pt>
                <c:pt idx="7">
                  <c:v>Froghall, Powis &amp; Sunnybank</c:v>
                </c:pt>
                <c:pt idx="8">
                  <c:v>Ashgrove</c:v>
                </c:pt>
                <c:pt idx="9">
                  <c:v>Danestone</c:v>
                </c:pt>
                <c:pt idx="10">
                  <c:v>Garthdee</c:v>
                </c:pt>
                <c:pt idx="11">
                  <c:v>Hilton</c:v>
                </c:pt>
                <c:pt idx="12">
                  <c:v>Balgownie &amp; Donmouth</c:v>
                </c:pt>
                <c:pt idx="13">
                  <c:v>Braeside, Mannofield</c:v>
                </c:pt>
                <c:pt idx="14">
                  <c:v>Stockethill</c:v>
                </c:pt>
                <c:pt idx="15">
                  <c:v>West End</c:v>
                </c:pt>
                <c:pt idx="16">
                  <c:v>Aberdeen City</c:v>
                </c:pt>
                <c:pt idx="17">
                  <c:v>Dyce </c:v>
                </c:pt>
                <c:pt idx="18">
                  <c:v>Bucksburn</c:v>
                </c:pt>
                <c:pt idx="19">
                  <c:v>Oldmachar</c:v>
                </c:pt>
                <c:pt idx="20">
                  <c:v>Sheddocksley</c:v>
                </c:pt>
                <c:pt idx="21">
                  <c:v>Hazlehead</c:v>
                </c:pt>
                <c:pt idx="22">
                  <c:v>Summerhill</c:v>
                </c:pt>
                <c:pt idx="23">
                  <c:v>Cove</c:v>
                </c:pt>
                <c:pt idx="24">
                  <c:v>Kincorth, Leggart &amp; Nigg </c:v>
                </c:pt>
                <c:pt idx="25">
                  <c:v>Culter </c:v>
                </c:pt>
                <c:pt idx="26">
                  <c:v>Torry</c:v>
                </c:pt>
                <c:pt idx="27">
                  <c:v>Denmore</c:v>
                </c:pt>
                <c:pt idx="28">
                  <c:v>Midstocket</c:v>
                </c:pt>
                <c:pt idx="29">
                  <c:v>Mastrick</c:v>
                </c:pt>
                <c:pt idx="30">
                  <c:v>Heathryfold</c:v>
                </c:pt>
                <c:pt idx="31">
                  <c:v>Woodside</c:v>
                </c:pt>
                <c:pt idx="32">
                  <c:v>Cults, Bieldside &amp; Milltimber</c:v>
                </c:pt>
                <c:pt idx="33">
                  <c:v>Tillydrone</c:v>
                </c:pt>
                <c:pt idx="34">
                  <c:v>Northfield</c:v>
                </c:pt>
                <c:pt idx="35">
                  <c:v>Kingswells</c:v>
                </c:pt>
                <c:pt idx="36">
                  <c:v>Cummings Park </c:v>
                </c:pt>
                <c:pt idx="37">
                  <c:v>Middlefield</c:v>
                </c:pt>
              </c:strCache>
            </c:strRef>
          </c:cat>
          <c:val>
            <c:numRef>
              <c:f>Sheet1!$B$43:$B$80</c:f>
              <c:numCache>
                <c:formatCode>0.0%</c:formatCode>
                <c:ptCount val="38"/>
                <c:pt idx="0">
                  <c:v>3.5942179971350435E-2</c:v>
                </c:pt>
                <c:pt idx="1">
                  <c:v>3.496296296296296E-2</c:v>
                </c:pt>
                <c:pt idx="2">
                  <c:v>4.0712117030085565E-2</c:v>
                </c:pt>
                <c:pt idx="3">
                  <c:v>3.1388961548522103E-2</c:v>
                </c:pt>
                <c:pt idx="4">
                  <c:v>3.8466657793158526E-2</c:v>
                </c:pt>
                <c:pt idx="5">
                  <c:v>4.3824701195219126E-2</c:v>
                </c:pt>
                <c:pt idx="6">
                  <c:v>4.7277936962750719E-2</c:v>
                </c:pt>
                <c:pt idx="7">
                  <c:v>4.3235704323570434E-2</c:v>
                </c:pt>
                <c:pt idx="8">
                  <c:v>5.5636896046852125E-2</c:v>
                </c:pt>
                <c:pt idx="9">
                  <c:v>4.3029259896729774E-2</c:v>
                </c:pt>
                <c:pt idx="10">
                  <c:v>4.4513647188129696E-2</c:v>
                </c:pt>
                <c:pt idx="11">
                  <c:v>5.5483367983367983E-2</c:v>
                </c:pt>
                <c:pt idx="12">
                  <c:v>4.8883998742533796E-2</c:v>
                </c:pt>
                <c:pt idx="13">
                  <c:v>4.876419505678023E-2</c:v>
                </c:pt>
                <c:pt idx="14">
                  <c:v>5.5708218835873097E-2</c:v>
                </c:pt>
                <c:pt idx="15">
                  <c:v>4.6961874503574266E-2</c:v>
                </c:pt>
                <c:pt idx="16">
                  <c:v>5.3106508875739644E-2</c:v>
                </c:pt>
                <c:pt idx="17">
                  <c:v>4.7486894850447117E-2</c:v>
                </c:pt>
                <c:pt idx="18">
                  <c:v>6.0295643153526972E-2</c:v>
                </c:pt>
                <c:pt idx="19">
                  <c:v>5.2167445813854657E-2</c:v>
                </c:pt>
                <c:pt idx="20">
                  <c:v>5.0050301810865193E-2</c:v>
                </c:pt>
                <c:pt idx="21">
                  <c:v>5.7565149747180085E-2</c:v>
                </c:pt>
                <c:pt idx="22">
                  <c:v>5.5118110236220472E-2</c:v>
                </c:pt>
                <c:pt idx="23">
                  <c:v>5.2894504848662947E-2</c:v>
                </c:pt>
                <c:pt idx="24">
                  <c:v>6.2584891860829592E-2</c:v>
                </c:pt>
                <c:pt idx="25">
                  <c:v>4.7872340425531915E-2</c:v>
                </c:pt>
                <c:pt idx="26">
                  <c:v>6.6891891891891889E-2</c:v>
                </c:pt>
                <c:pt idx="27">
                  <c:v>6.4253393665158365E-2</c:v>
                </c:pt>
                <c:pt idx="28">
                  <c:v>5.4679552390640894E-2</c:v>
                </c:pt>
                <c:pt idx="29">
                  <c:v>7.089352594970573E-2</c:v>
                </c:pt>
                <c:pt idx="30">
                  <c:v>6.4966313763233877E-2</c:v>
                </c:pt>
                <c:pt idx="31">
                  <c:v>7.7821011673151752E-2</c:v>
                </c:pt>
                <c:pt idx="32">
                  <c:v>4.4492479510042329E-2</c:v>
                </c:pt>
                <c:pt idx="33">
                  <c:v>9.5297918162239773E-2</c:v>
                </c:pt>
                <c:pt idx="34">
                  <c:v>7.29455216989843E-2</c:v>
                </c:pt>
                <c:pt idx="35">
                  <c:v>6.1881633387299871E-2</c:v>
                </c:pt>
                <c:pt idx="36">
                  <c:v>6.2602068590092541E-2</c:v>
                </c:pt>
                <c:pt idx="37">
                  <c:v>7.6474622770919071E-2</c:v>
                </c:pt>
              </c:numCache>
            </c:numRef>
          </c:val>
          <c:extLst>
            <c:ext xmlns:c16="http://schemas.microsoft.com/office/drawing/2014/chart" uri="{C3380CC4-5D6E-409C-BE32-E72D297353CC}">
              <c16:uniqueId val="{00000000-F964-4E3D-A24E-BE91E091EA08}"/>
            </c:ext>
          </c:extLst>
        </c:ser>
        <c:ser>
          <c:idx val="1"/>
          <c:order val="1"/>
          <c:tx>
            <c:strRef>
              <c:f>Sheet1!$C$42</c:f>
              <c:strCache>
                <c:ptCount val="1"/>
                <c:pt idx="0">
                  <c:v>5-9 years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Sheet1!$A$43:$A$80</c:f>
              <c:strCache>
                <c:ptCount val="38"/>
                <c:pt idx="0">
                  <c:v>Hanover</c:v>
                </c:pt>
                <c:pt idx="1">
                  <c:v>City Centre</c:v>
                </c:pt>
                <c:pt idx="2">
                  <c:v>George Street</c:v>
                </c:pt>
                <c:pt idx="3">
                  <c:v>Old Aberdeen</c:v>
                </c:pt>
                <c:pt idx="4">
                  <c:v>Rosemount</c:v>
                </c:pt>
                <c:pt idx="5">
                  <c:v>Ferryhill</c:v>
                </c:pt>
                <c:pt idx="6">
                  <c:v>Seaton</c:v>
                </c:pt>
                <c:pt idx="7">
                  <c:v>Froghall, Powis &amp; Sunnybank</c:v>
                </c:pt>
                <c:pt idx="8">
                  <c:v>Ashgrove</c:v>
                </c:pt>
                <c:pt idx="9">
                  <c:v>Danestone</c:v>
                </c:pt>
                <c:pt idx="10">
                  <c:v>Garthdee</c:v>
                </c:pt>
                <c:pt idx="11">
                  <c:v>Hilton</c:v>
                </c:pt>
                <c:pt idx="12">
                  <c:v>Balgownie &amp; Donmouth</c:v>
                </c:pt>
                <c:pt idx="13">
                  <c:v>Braeside, Mannofield</c:v>
                </c:pt>
                <c:pt idx="14">
                  <c:v>Stockethill</c:v>
                </c:pt>
                <c:pt idx="15">
                  <c:v>West End</c:v>
                </c:pt>
                <c:pt idx="16">
                  <c:v>Aberdeen City</c:v>
                </c:pt>
                <c:pt idx="17">
                  <c:v>Dyce </c:v>
                </c:pt>
                <c:pt idx="18">
                  <c:v>Bucksburn</c:v>
                </c:pt>
                <c:pt idx="19">
                  <c:v>Oldmachar</c:v>
                </c:pt>
                <c:pt idx="20">
                  <c:v>Sheddocksley</c:v>
                </c:pt>
                <c:pt idx="21">
                  <c:v>Hazlehead</c:v>
                </c:pt>
                <c:pt idx="22">
                  <c:v>Summerhill</c:v>
                </c:pt>
                <c:pt idx="23">
                  <c:v>Cove</c:v>
                </c:pt>
                <c:pt idx="24">
                  <c:v>Kincorth, Leggart &amp; Nigg </c:v>
                </c:pt>
                <c:pt idx="25">
                  <c:v>Culter </c:v>
                </c:pt>
                <c:pt idx="26">
                  <c:v>Torry</c:v>
                </c:pt>
                <c:pt idx="27">
                  <c:v>Denmore</c:v>
                </c:pt>
                <c:pt idx="28">
                  <c:v>Midstocket</c:v>
                </c:pt>
                <c:pt idx="29">
                  <c:v>Mastrick</c:v>
                </c:pt>
                <c:pt idx="30">
                  <c:v>Heathryfold</c:v>
                </c:pt>
                <c:pt idx="31">
                  <c:v>Woodside</c:v>
                </c:pt>
                <c:pt idx="32">
                  <c:v>Cults, Bieldside &amp; Milltimber</c:v>
                </c:pt>
                <c:pt idx="33">
                  <c:v>Tillydrone</c:v>
                </c:pt>
                <c:pt idx="34">
                  <c:v>Northfield</c:v>
                </c:pt>
                <c:pt idx="35">
                  <c:v>Kingswells</c:v>
                </c:pt>
                <c:pt idx="36">
                  <c:v>Cummings Park </c:v>
                </c:pt>
                <c:pt idx="37">
                  <c:v>Middlefield</c:v>
                </c:pt>
              </c:strCache>
            </c:strRef>
          </c:cat>
          <c:val>
            <c:numRef>
              <c:f>Sheet1!$C$43:$C$80</c:f>
              <c:numCache>
                <c:formatCode>0.0%</c:formatCode>
                <c:ptCount val="38"/>
                <c:pt idx="0">
                  <c:v>1.9273342883187914E-2</c:v>
                </c:pt>
                <c:pt idx="1">
                  <c:v>2.4E-2</c:v>
                </c:pt>
                <c:pt idx="2">
                  <c:v>2.152911951421474E-2</c:v>
                </c:pt>
                <c:pt idx="3">
                  <c:v>2.4064870520533611E-2</c:v>
                </c:pt>
                <c:pt idx="4">
                  <c:v>2.9681884733129243E-2</c:v>
                </c:pt>
                <c:pt idx="5">
                  <c:v>3.6752988047808764E-2</c:v>
                </c:pt>
                <c:pt idx="6">
                  <c:v>3.4921203438395415E-2</c:v>
                </c:pt>
                <c:pt idx="7">
                  <c:v>3.573919107391911E-2</c:v>
                </c:pt>
                <c:pt idx="8">
                  <c:v>3.5139092240117131E-2</c:v>
                </c:pt>
                <c:pt idx="9">
                  <c:v>4.1799852471108928E-2</c:v>
                </c:pt>
                <c:pt idx="10">
                  <c:v>4.5063198387983144E-2</c:v>
                </c:pt>
                <c:pt idx="11">
                  <c:v>4.4438669438669441E-2</c:v>
                </c:pt>
                <c:pt idx="12">
                  <c:v>4.29110342659541E-2</c:v>
                </c:pt>
                <c:pt idx="13">
                  <c:v>4.8467304980331034E-2</c:v>
                </c:pt>
                <c:pt idx="14">
                  <c:v>4.8963277541843618E-2</c:v>
                </c:pt>
                <c:pt idx="15">
                  <c:v>4.7160444797458304E-2</c:v>
                </c:pt>
                <c:pt idx="16">
                  <c:v>4.8272711451444482E-2</c:v>
                </c:pt>
                <c:pt idx="17">
                  <c:v>5.1803885291396852E-2</c:v>
                </c:pt>
                <c:pt idx="18">
                  <c:v>4.8106846473029048E-2</c:v>
                </c:pt>
                <c:pt idx="19">
                  <c:v>5.0892477688057797E-2</c:v>
                </c:pt>
                <c:pt idx="20">
                  <c:v>5.3068410462776661E-2</c:v>
                </c:pt>
                <c:pt idx="21">
                  <c:v>5.2703228315830415E-2</c:v>
                </c:pt>
                <c:pt idx="22">
                  <c:v>5.2578105156210315E-2</c:v>
                </c:pt>
                <c:pt idx="23">
                  <c:v>5.2159858947987067E-2</c:v>
                </c:pt>
                <c:pt idx="24">
                  <c:v>5.2450109706404763E-2</c:v>
                </c:pt>
                <c:pt idx="25">
                  <c:v>5.6464811783960719E-2</c:v>
                </c:pt>
                <c:pt idx="26">
                  <c:v>5.974903474903475E-2</c:v>
                </c:pt>
                <c:pt idx="27">
                  <c:v>5.4600301659125189E-2</c:v>
                </c:pt>
                <c:pt idx="28">
                  <c:v>6.2309257375381483E-2</c:v>
                </c:pt>
                <c:pt idx="29">
                  <c:v>5.2701979668271802E-2</c:v>
                </c:pt>
                <c:pt idx="30">
                  <c:v>6.4003849855630415E-2</c:v>
                </c:pt>
                <c:pt idx="31">
                  <c:v>6.0068093385214009E-2</c:v>
                </c:pt>
                <c:pt idx="32">
                  <c:v>6.3856615329190305E-2</c:v>
                </c:pt>
                <c:pt idx="33">
                  <c:v>6.8198133524766696E-2</c:v>
                </c:pt>
                <c:pt idx="34">
                  <c:v>6.8513388734995379E-2</c:v>
                </c:pt>
                <c:pt idx="35">
                  <c:v>8.238891887030042E-2</c:v>
                </c:pt>
                <c:pt idx="36">
                  <c:v>6.9678824169842141E-2</c:v>
                </c:pt>
                <c:pt idx="37">
                  <c:v>7.5788751714677638E-2</c:v>
                </c:pt>
              </c:numCache>
            </c:numRef>
          </c:val>
          <c:extLst>
            <c:ext xmlns:c16="http://schemas.microsoft.com/office/drawing/2014/chart" uri="{C3380CC4-5D6E-409C-BE32-E72D297353CC}">
              <c16:uniqueId val="{00000001-F964-4E3D-A24E-BE91E091EA08}"/>
            </c:ext>
          </c:extLst>
        </c:ser>
        <c:ser>
          <c:idx val="2"/>
          <c:order val="2"/>
          <c:tx>
            <c:strRef>
              <c:f>Sheet1!$D$42</c:f>
              <c:strCache>
                <c:ptCount val="1"/>
                <c:pt idx="0">
                  <c:v>10-15 years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Sheet1!$A$43:$A$80</c:f>
              <c:strCache>
                <c:ptCount val="38"/>
                <c:pt idx="0">
                  <c:v>Hanover</c:v>
                </c:pt>
                <c:pt idx="1">
                  <c:v>City Centre</c:v>
                </c:pt>
                <c:pt idx="2">
                  <c:v>George Street</c:v>
                </c:pt>
                <c:pt idx="3">
                  <c:v>Old Aberdeen</c:v>
                </c:pt>
                <c:pt idx="4">
                  <c:v>Rosemount</c:v>
                </c:pt>
                <c:pt idx="5">
                  <c:v>Ferryhill</c:v>
                </c:pt>
                <c:pt idx="6">
                  <c:v>Seaton</c:v>
                </c:pt>
                <c:pt idx="7">
                  <c:v>Froghall, Powis &amp; Sunnybank</c:v>
                </c:pt>
                <c:pt idx="8">
                  <c:v>Ashgrove</c:v>
                </c:pt>
                <c:pt idx="9">
                  <c:v>Danestone</c:v>
                </c:pt>
                <c:pt idx="10">
                  <c:v>Garthdee</c:v>
                </c:pt>
                <c:pt idx="11">
                  <c:v>Hilton</c:v>
                </c:pt>
                <c:pt idx="12">
                  <c:v>Balgownie &amp; Donmouth</c:v>
                </c:pt>
                <c:pt idx="13">
                  <c:v>Braeside, Mannofield</c:v>
                </c:pt>
                <c:pt idx="14">
                  <c:v>Stockethill</c:v>
                </c:pt>
                <c:pt idx="15">
                  <c:v>West End</c:v>
                </c:pt>
                <c:pt idx="16">
                  <c:v>Aberdeen City</c:v>
                </c:pt>
                <c:pt idx="17">
                  <c:v>Dyce </c:v>
                </c:pt>
                <c:pt idx="18">
                  <c:v>Bucksburn</c:v>
                </c:pt>
                <c:pt idx="19">
                  <c:v>Oldmachar</c:v>
                </c:pt>
                <c:pt idx="20">
                  <c:v>Sheddocksley</c:v>
                </c:pt>
                <c:pt idx="21">
                  <c:v>Hazlehead</c:v>
                </c:pt>
                <c:pt idx="22">
                  <c:v>Summerhill</c:v>
                </c:pt>
                <c:pt idx="23">
                  <c:v>Cove</c:v>
                </c:pt>
                <c:pt idx="24">
                  <c:v>Kincorth, Leggart &amp; Nigg </c:v>
                </c:pt>
                <c:pt idx="25">
                  <c:v>Culter </c:v>
                </c:pt>
                <c:pt idx="26">
                  <c:v>Torry</c:v>
                </c:pt>
                <c:pt idx="27">
                  <c:v>Denmore</c:v>
                </c:pt>
                <c:pt idx="28">
                  <c:v>Midstocket</c:v>
                </c:pt>
                <c:pt idx="29">
                  <c:v>Mastrick</c:v>
                </c:pt>
                <c:pt idx="30">
                  <c:v>Heathryfold</c:v>
                </c:pt>
                <c:pt idx="31">
                  <c:v>Woodside</c:v>
                </c:pt>
                <c:pt idx="32">
                  <c:v>Cults, Bieldside &amp; Milltimber</c:v>
                </c:pt>
                <c:pt idx="33">
                  <c:v>Tillydrone</c:v>
                </c:pt>
                <c:pt idx="34">
                  <c:v>Northfield</c:v>
                </c:pt>
                <c:pt idx="35">
                  <c:v>Kingswells</c:v>
                </c:pt>
                <c:pt idx="36">
                  <c:v>Cummings Park </c:v>
                </c:pt>
                <c:pt idx="37">
                  <c:v>Middlefield</c:v>
                </c:pt>
              </c:strCache>
            </c:strRef>
          </c:cat>
          <c:val>
            <c:numRef>
              <c:f>Sheet1!$D$43:$D$80</c:f>
              <c:numCache>
                <c:formatCode>0.0%</c:formatCode>
                <c:ptCount val="38"/>
                <c:pt idx="0">
                  <c:v>1.3673655423883319E-2</c:v>
                </c:pt>
                <c:pt idx="1">
                  <c:v>1.6592592592592593E-2</c:v>
                </c:pt>
                <c:pt idx="2">
                  <c:v>1.5870825282914711E-2</c:v>
                </c:pt>
                <c:pt idx="3">
                  <c:v>2.3018571802249543E-2</c:v>
                </c:pt>
                <c:pt idx="4">
                  <c:v>2.9016371622520964E-2</c:v>
                </c:pt>
                <c:pt idx="5">
                  <c:v>2.7191235059760958E-2</c:v>
                </c:pt>
                <c:pt idx="6">
                  <c:v>2.7220630372492838E-2</c:v>
                </c:pt>
                <c:pt idx="7">
                  <c:v>3.0509065550906555E-2</c:v>
                </c:pt>
                <c:pt idx="8">
                  <c:v>3.7701317715959005E-2</c:v>
                </c:pt>
                <c:pt idx="9">
                  <c:v>4.548807474797148E-2</c:v>
                </c:pt>
                <c:pt idx="10">
                  <c:v>4.8543689320388349E-2</c:v>
                </c:pt>
                <c:pt idx="11">
                  <c:v>3.833160083160083E-2</c:v>
                </c:pt>
                <c:pt idx="12">
                  <c:v>4.668343288274128E-2</c:v>
                </c:pt>
                <c:pt idx="13">
                  <c:v>4.5127291620277593E-2</c:v>
                </c:pt>
                <c:pt idx="14">
                  <c:v>4.12190856857357E-2</c:v>
                </c:pt>
                <c:pt idx="15">
                  <c:v>5.460683081810961E-2</c:v>
                </c:pt>
                <c:pt idx="16">
                  <c:v>4.7363383223111732E-2</c:v>
                </c:pt>
                <c:pt idx="17">
                  <c:v>5.0724637681159424E-2</c:v>
                </c:pt>
                <c:pt idx="18">
                  <c:v>4.2012448132780086E-2</c:v>
                </c:pt>
                <c:pt idx="19">
                  <c:v>5.2911177220569483E-2</c:v>
                </c:pt>
                <c:pt idx="20">
                  <c:v>5.4828973843058348E-2</c:v>
                </c:pt>
                <c:pt idx="21">
                  <c:v>4.8424737456242706E-2</c:v>
                </c:pt>
                <c:pt idx="22">
                  <c:v>5.2578105156210315E-2</c:v>
                </c:pt>
                <c:pt idx="23">
                  <c:v>5.6567734352042313E-2</c:v>
                </c:pt>
                <c:pt idx="24">
                  <c:v>4.8584264967088078E-2</c:v>
                </c:pt>
                <c:pt idx="25">
                  <c:v>6.5671031096563012E-2</c:v>
                </c:pt>
                <c:pt idx="26">
                  <c:v>5.0096525096525096E-2</c:v>
                </c:pt>
                <c:pt idx="27">
                  <c:v>6.244343891402715E-2</c:v>
                </c:pt>
                <c:pt idx="28">
                  <c:v>6.561546286876907E-2</c:v>
                </c:pt>
                <c:pt idx="29">
                  <c:v>5.9523809523809521E-2</c:v>
                </c:pt>
                <c:pt idx="30">
                  <c:v>5.6304138594802697E-2</c:v>
                </c:pt>
                <c:pt idx="31">
                  <c:v>4.8638132295719845E-2</c:v>
                </c:pt>
                <c:pt idx="32">
                  <c:v>8.5202197604251101E-2</c:v>
                </c:pt>
                <c:pt idx="33">
                  <c:v>4.7559224694903084E-2</c:v>
                </c:pt>
                <c:pt idx="34">
                  <c:v>7.3130193905817181E-2</c:v>
                </c:pt>
                <c:pt idx="35">
                  <c:v>7.7172153264975715E-2</c:v>
                </c:pt>
                <c:pt idx="36">
                  <c:v>9.1453456722917797E-2</c:v>
                </c:pt>
                <c:pt idx="37">
                  <c:v>8.0246913580246909E-2</c:v>
                </c:pt>
              </c:numCache>
            </c:numRef>
          </c:val>
          <c:extLst>
            <c:ext xmlns:c16="http://schemas.microsoft.com/office/drawing/2014/chart" uri="{C3380CC4-5D6E-409C-BE32-E72D297353CC}">
              <c16:uniqueId val="{00000002-F964-4E3D-A24E-BE91E091EA08}"/>
            </c:ext>
          </c:extLst>
        </c:ser>
        <c:dLbls>
          <c:showLegendKey val="0"/>
          <c:showVal val="0"/>
          <c:showCatName val="0"/>
          <c:showSerName val="0"/>
          <c:showPercent val="0"/>
          <c:showBubbleSize val="0"/>
        </c:dLbls>
        <c:gapWidth val="150"/>
        <c:overlap val="100"/>
        <c:axId val="434266040"/>
        <c:axId val="434265056"/>
      </c:barChart>
      <c:catAx>
        <c:axId val="43426604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crossAx val="434265056"/>
        <c:crosses val="autoZero"/>
        <c:auto val="1"/>
        <c:lblAlgn val="ctr"/>
        <c:lblOffset val="100"/>
        <c:noMultiLvlLbl val="0"/>
      </c:catAx>
      <c:valAx>
        <c:axId val="434265056"/>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34266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200"/>
              <a:t>Looked after children by type</a:t>
            </a:r>
            <a:r>
              <a:rPr lang="en-GB" sz="1200" baseline="0"/>
              <a:t> of accommodation, Aberdeen City and Scotland, 2017</a:t>
            </a:r>
            <a:endParaRPr lang="en-GB" sz="1200"/>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bar"/>
        <c:grouping val="clustered"/>
        <c:varyColors val="0"/>
        <c:ser>
          <c:idx val="0"/>
          <c:order val="0"/>
          <c:tx>
            <c:strRef>
              <c:f>'LAC2'!$N$8</c:f>
              <c:strCache>
                <c:ptCount val="1"/>
                <c:pt idx="0">
                  <c:v>Aberdeen city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'LAC2'!$O$7:$U$7</c:f>
              <c:strCache>
                <c:ptCount val="7"/>
                <c:pt idx="0">
                  <c:v>At home with parents</c:v>
                </c:pt>
                <c:pt idx="1">
                  <c:v>With friends / relatives</c:v>
                </c:pt>
                <c:pt idx="2">
                  <c:v>With foster carers provided by LA</c:v>
                </c:pt>
                <c:pt idx="3">
                  <c:v>With foster carers purchased by LA</c:v>
                </c:pt>
                <c:pt idx="4">
                  <c:v>In other community</c:v>
                </c:pt>
                <c:pt idx="5">
                  <c:v>In local authority home/ Voluntary Home </c:v>
                </c:pt>
                <c:pt idx="6">
                  <c:v>In other residential care</c:v>
                </c:pt>
              </c:strCache>
            </c:strRef>
          </c:cat>
          <c:val>
            <c:numRef>
              <c:f>'LAC2'!$O$8:$U$8</c:f>
              <c:numCache>
                <c:formatCode>0.0%</c:formatCode>
                <c:ptCount val="7"/>
                <c:pt idx="0">
                  <c:v>0.18305084745762712</c:v>
                </c:pt>
                <c:pt idx="1">
                  <c:v>0.18983050847457628</c:v>
                </c:pt>
                <c:pt idx="2">
                  <c:v>0.19152542372881357</c:v>
                </c:pt>
                <c:pt idx="3">
                  <c:v>0.29661016949152541</c:v>
                </c:pt>
                <c:pt idx="4">
                  <c:v>2.3728813559322035E-2</c:v>
                </c:pt>
                <c:pt idx="5">
                  <c:v>3.898305084745763E-2</c:v>
                </c:pt>
                <c:pt idx="6">
                  <c:v>7.6271186440677971E-2</c:v>
                </c:pt>
              </c:numCache>
            </c:numRef>
          </c:val>
          <c:extLst>
            <c:ext xmlns:c16="http://schemas.microsoft.com/office/drawing/2014/chart" uri="{C3380CC4-5D6E-409C-BE32-E72D297353CC}">
              <c16:uniqueId val="{00000000-3837-4E04-8CE3-ADDB0C9004BA}"/>
            </c:ext>
          </c:extLst>
        </c:ser>
        <c:ser>
          <c:idx val="1"/>
          <c:order val="1"/>
          <c:tx>
            <c:strRef>
              <c:f>'LAC2'!$N$9</c:f>
              <c:strCache>
                <c:ptCount val="1"/>
                <c:pt idx="0">
                  <c:v>Scotland</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'LAC2'!$O$7:$U$7</c:f>
              <c:strCache>
                <c:ptCount val="7"/>
                <c:pt idx="0">
                  <c:v>At home with parents</c:v>
                </c:pt>
                <c:pt idx="1">
                  <c:v>With friends / relatives</c:v>
                </c:pt>
                <c:pt idx="2">
                  <c:v>With foster carers provided by LA</c:v>
                </c:pt>
                <c:pt idx="3">
                  <c:v>With foster carers purchased by LA</c:v>
                </c:pt>
                <c:pt idx="4">
                  <c:v>In other community</c:v>
                </c:pt>
                <c:pt idx="5">
                  <c:v>In local authority home/ Voluntary Home </c:v>
                </c:pt>
                <c:pt idx="6">
                  <c:v>In other residential care</c:v>
                </c:pt>
              </c:strCache>
            </c:strRef>
          </c:cat>
          <c:val>
            <c:numRef>
              <c:f>'LAC2'!$O$9:$U$9</c:f>
              <c:numCache>
                <c:formatCode>0.0%</c:formatCode>
                <c:ptCount val="7"/>
                <c:pt idx="0">
                  <c:v>0.25280257770020809</c:v>
                </c:pt>
                <c:pt idx="1">
                  <c:v>0.27777404846613413</c:v>
                </c:pt>
                <c:pt idx="2">
                  <c:v>0.23555078203665167</c:v>
                </c:pt>
                <c:pt idx="3">
                  <c:v>0.11700342350808887</c:v>
                </c:pt>
                <c:pt idx="4">
                  <c:v>1.5573605423910855E-2</c:v>
                </c:pt>
                <c:pt idx="5">
                  <c:v>5.0077196751023699E-2</c:v>
                </c:pt>
                <c:pt idx="6">
                  <c:v>5.1218366113982679E-2</c:v>
                </c:pt>
              </c:numCache>
            </c:numRef>
          </c:val>
          <c:extLst>
            <c:ext xmlns:c16="http://schemas.microsoft.com/office/drawing/2014/chart" uri="{C3380CC4-5D6E-409C-BE32-E72D297353CC}">
              <c16:uniqueId val="{00000001-3837-4E04-8CE3-ADDB0C9004BA}"/>
            </c:ext>
          </c:extLst>
        </c:ser>
        <c:dLbls>
          <c:dLblPos val="inEnd"/>
          <c:showLegendKey val="0"/>
          <c:showVal val="1"/>
          <c:showCatName val="0"/>
          <c:showSerName val="0"/>
          <c:showPercent val="0"/>
          <c:showBubbleSize val="0"/>
        </c:dLbls>
        <c:gapWidth val="100"/>
        <c:axId val="739736112"/>
        <c:axId val="739740048"/>
      </c:barChart>
      <c:catAx>
        <c:axId val="73973611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39740048"/>
        <c:crosses val="autoZero"/>
        <c:auto val="1"/>
        <c:lblAlgn val="ctr"/>
        <c:lblOffset val="100"/>
        <c:noMultiLvlLbl val="0"/>
      </c:catAx>
      <c:valAx>
        <c:axId val="739740048"/>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39736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cap="none" spc="20" baseline="0">
                <a:solidFill>
                  <a:schemeClr val="tx1">
                    <a:lumMod val="50000"/>
                    <a:lumOff val="50000"/>
                  </a:schemeClr>
                </a:solidFill>
                <a:latin typeface="+mn-lt"/>
                <a:ea typeface="+mn-ea"/>
                <a:cs typeface="+mn-cs"/>
              </a:defRPr>
            </a:pPr>
            <a:r>
              <a:rPr lang="en-US" sz="1100" b="1"/>
              <a:t>Percentage of looked after children with 1 or more qualification at SCQF level 4, 2016/17</a:t>
            </a:r>
          </a:p>
        </c:rich>
      </c:tx>
      <c:overlay val="0"/>
      <c:spPr>
        <a:noFill/>
        <a:ln>
          <a:noFill/>
        </a:ln>
        <a:effectLst/>
      </c:spPr>
      <c:txPr>
        <a:bodyPr rot="0" spcFirstLastPara="1" vertOverflow="ellipsis" vert="horz" wrap="square" anchor="ctr" anchorCtr="1"/>
        <a:lstStyle/>
        <a:p>
          <a:pPr>
            <a:defRPr sz="1100" b="1"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Pt>
            <c:idx val="8"/>
            <c:invertIfNegative val="0"/>
            <c:bubble3D val="0"/>
            <c:spPr>
              <a:solidFill>
                <a:schemeClr val="accent2"/>
              </a:solidFill>
              <a:ln w="9525" cap="flat" cmpd="sng" algn="ctr">
                <a:solidFill>
                  <a:schemeClr val="accent1">
                    <a:shade val="95000"/>
                  </a:schemeClr>
                </a:solidFill>
                <a:round/>
              </a:ln>
              <a:effectLst/>
            </c:spPr>
            <c:extLst>
              <c:ext xmlns:c16="http://schemas.microsoft.com/office/drawing/2014/chart" uri="{C3380CC4-5D6E-409C-BE32-E72D297353CC}">
                <c16:uniqueId val="{00000001-350E-4836-B9CF-18881E288B85}"/>
              </c:ext>
            </c:extLst>
          </c:dPt>
          <c:dPt>
            <c:idx val="12"/>
            <c:invertIfNegative val="0"/>
            <c:bubble3D val="0"/>
            <c:spPr>
              <a:solidFill>
                <a:schemeClr val="accent2"/>
              </a:solidFill>
              <a:ln w="9525" cap="flat" cmpd="sng" algn="ctr">
                <a:solidFill>
                  <a:schemeClr val="accent1">
                    <a:shade val="95000"/>
                  </a:schemeClr>
                </a:solidFill>
                <a:round/>
              </a:ln>
              <a:effectLst/>
            </c:spPr>
            <c:extLst>
              <c:ext xmlns:c16="http://schemas.microsoft.com/office/drawing/2014/chart" uri="{C3380CC4-5D6E-409C-BE32-E72D297353CC}">
                <c16:uniqueId val="{00000003-350E-4836-B9CF-18881E288B85}"/>
              </c:ext>
            </c:extLst>
          </c:dPt>
          <c:dLbls>
            <c:dLbl>
              <c:idx val="8"/>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50E-4836-B9CF-18881E288B85}"/>
                </c:ext>
              </c:extLst>
            </c:dLbl>
            <c:dLbl>
              <c:idx val="12"/>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50E-4836-B9CF-18881E288B8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'LAC3 201617'!$A$42:$A$68</c:f>
              <c:strCache>
                <c:ptCount val="27"/>
                <c:pt idx="0">
                  <c:v>East Lothian</c:v>
                </c:pt>
                <c:pt idx="1">
                  <c:v>South Lanarkshire</c:v>
                </c:pt>
                <c:pt idx="2">
                  <c:v>East Ayrshire</c:v>
                </c:pt>
                <c:pt idx="3">
                  <c:v>Highland</c:v>
                </c:pt>
                <c:pt idx="4">
                  <c:v>Dundee City</c:v>
                </c:pt>
                <c:pt idx="5">
                  <c:v>North Ayrshire</c:v>
                </c:pt>
                <c:pt idx="6">
                  <c:v>Dumfries &amp; Galloway</c:v>
                </c:pt>
                <c:pt idx="7">
                  <c:v>Clackmannanshire</c:v>
                </c:pt>
                <c:pt idx="8">
                  <c:v>Aberdeen City</c:v>
                </c:pt>
                <c:pt idx="9">
                  <c:v>North Lanarkshire</c:v>
                </c:pt>
                <c:pt idx="10">
                  <c:v>Moray</c:v>
                </c:pt>
                <c:pt idx="11">
                  <c:v>City of Edinburgh</c:v>
                </c:pt>
                <c:pt idx="12">
                  <c:v>Scotland</c:v>
                </c:pt>
                <c:pt idx="13">
                  <c:v>Falkirk</c:v>
                </c:pt>
                <c:pt idx="14">
                  <c:v>West Lothian</c:v>
                </c:pt>
                <c:pt idx="15">
                  <c:v>Aberdeenshire</c:v>
                </c:pt>
                <c:pt idx="16">
                  <c:v>East Renfrewshire</c:v>
                </c:pt>
                <c:pt idx="17">
                  <c:v>South Ayrshire</c:v>
                </c:pt>
                <c:pt idx="18">
                  <c:v>Glasgow City</c:v>
                </c:pt>
                <c:pt idx="19">
                  <c:v>Angus</c:v>
                </c:pt>
                <c:pt idx="20">
                  <c:v>Renfrewshire</c:v>
                </c:pt>
                <c:pt idx="21">
                  <c:v>Scottish Borders</c:v>
                </c:pt>
                <c:pt idx="22">
                  <c:v>Stirling</c:v>
                </c:pt>
                <c:pt idx="23">
                  <c:v>Fife</c:v>
                </c:pt>
                <c:pt idx="24">
                  <c:v>East Dunbartonshire</c:v>
                </c:pt>
                <c:pt idx="25">
                  <c:v>Perth &amp; Kinross</c:v>
                </c:pt>
                <c:pt idx="26">
                  <c:v>Shetland Islands</c:v>
                </c:pt>
              </c:strCache>
            </c:strRef>
          </c:cat>
          <c:val>
            <c:numRef>
              <c:f>'LAC3 201617'!$B$42:$B$68</c:f>
              <c:numCache>
                <c:formatCode>0.0%</c:formatCode>
                <c:ptCount val="27"/>
                <c:pt idx="0">
                  <c:v>0.55559999999999998</c:v>
                </c:pt>
                <c:pt idx="1">
                  <c:v>0.55559999999999998</c:v>
                </c:pt>
                <c:pt idx="2">
                  <c:v>0.6</c:v>
                </c:pt>
                <c:pt idx="3">
                  <c:v>0.63159999999999994</c:v>
                </c:pt>
                <c:pt idx="4">
                  <c:v>0.63639999999999997</c:v>
                </c:pt>
                <c:pt idx="5">
                  <c:v>0.70590000000000008</c:v>
                </c:pt>
                <c:pt idx="6">
                  <c:v>0.71430000000000005</c:v>
                </c:pt>
                <c:pt idx="7">
                  <c:v>0.73329999999999995</c:v>
                </c:pt>
                <c:pt idx="8">
                  <c:v>0.73909999999999998</c:v>
                </c:pt>
                <c:pt idx="9">
                  <c:v>0.74069999999999991</c:v>
                </c:pt>
                <c:pt idx="10">
                  <c:v>0.75</c:v>
                </c:pt>
                <c:pt idx="11">
                  <c:v>0.76919999999999999</c:v>
                </c:pt>
                <c:pt idx="12">
                  <c:v>0.78060000000000007</c:v>
                </c:pt>
                <c:pt idx="13">
                  <c:v>0.78569999999999995</c:v>
                </c:pt>
                <c:pt idx="14">
                  <c:v>0.8125</c:v>
                </c:pt>
                <c:pt idx="15">
                  <c:v>0.81819999999999993</c:v>
                </c:pt>
                <c:pt idx="16">
                  <c:v>0.83329999999999993</c:v>
                </c:pt>
                <c:pt idx="17">
                  <c:v>0.83329999999999993</c:v>
                </c:pt>
                <c:pt idx="18">
                  <c:v>0.83530000000000004</c:v>
                </c:pt>
                <c:pt idx="19">
                  <c:v>0.88890000000000002</c:v>
                </c:pt>
                <c:pt idx="20">
                  <c:v>0.89659999999999995</c:v>
                </c:pt>
                <c:pt idx="21">
                  <c:v>0.9</c:v>
                </c:pt>
                <c:pt idx="22">
                  <c:v>0.9</c:v>
                </c:pt>
                <c:pt idx="23">
                  <c:v>0.90629999999999999</c:v>
                </c:pt>
                <c:pt idx="24">
                  <c:v>1</c:v>
                </c:pt>
                <c:pt idx="25">
                  <c:v>1</c:v>
                </c:pt>
                <c:pt idx="26">
                  <c:v>1</c:v>
                </c:pt>
              </c:numCache>
            </c:numRef>
          </c:val>
          <c:extLst>
            <c:ext xmlns:c16="http://schemas.microsoft.com/office/drawing/2014/chart" uri="{C3380CC4-5D6E-409C-BE32-E72D297353CC}">
              <c16:uniqueId val="{00000004-350E-4836-B9CF-18881E288B85}"/>
            </c:ext>
          </c:extLst>
        </c:ser>
        <c:dLbls>
          <c:showLegendKey val="0"/>
          <c:showVal val="0"/>
          <c:showCatName val="0"/>
          <c:showSerName val="0"/>
          <c:showPercent val="0"/>
          <c:showBubbleSize val="0"/>
        </c:dLbls>
        <c:gapWidth val="100"/>
        <c:overlap val="-24"/>
        <c:axId val="628452176"/>
        <c:axId val="628448568"/>
      </c:barChart>
      <c:catAx>
        <c:axId val="628452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en-US"/>
          </a:p>
        </c:txPr>
        <c:crossAx val="628448568"/>
        <c:crosses val="autoZero"/>
        <c:auto val="1"/>
        <c:lblAlgn val="ctr"/>
        <c:lblOffset val="100"/>
        <c:noMultiLvlLbl val="0"/>
      </c:catAx>
      <c:valAx>
        <c:axId val="62844856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en-US"/>
          </a:p>
        </c:txPr>
        <c:crossAx val="6284521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GB" sz="1100" b="1" cap="none"/>
              <a:t>Number And Rate Of Children On The Child Protection Register, Aberdeen City And Scotland, 2007</a:t>
            </a:r>
            <a:r>
              <a:rPr lang="en-GB" sz="1100" b="1" cap="none" baseline="0"/>
              <a:t> To 2017</a:t>
            </a:r>
            <a:endParaRPr lang="en-GB" sz="1100" b="1" cap="none"/>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clustered"/>
        <c:varyColors val="0"/>
        <c:ser>
          <c:idx val="2"/>
          <c:order val="2"/>
          <c:tx>
            <c:strRef>
              <c:f>'Child protection register'!$H$2</c:f>
              <c:strCache>
                <c:ptCount val="1"/>
                <c:pt idx="0">
                  <c:v>Number Aberdeen City</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cat>
            <c:numRef>
              <c:f>'Child protection register'!$E$3:$E$13</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'Child protection register'!$H$3:$H$13</c:f>
              <c:numCache>
                <c:formatCode>General</c:formatCode>
                <c:ptCount val="11"/>
                <c:pt idx="0">
                  <c:v>142</c:v>
                </c:pt>
                <c:pt idx="1">
                  <c:v>122</c:v>
                </c:pt>
                <c:pt idx="2">
                  <c:v>182</c:v>
                </c:pt>
                <c:pt idx="3" formatCode="#,##0">
                  <c:v>119</c:v>
                </c:pt>
                <c:pt idx="4">
                  <c:v>96</c:v>
                </c:pt>
                <c:pt idx="5">
                  <c:v>87</c:v>
                </c:pt>
                <c:pt idx="6">
                  <c:v>92</c:v>
                </c:pt>
                <c:pt idx="7">
                  <c:v>73</c:v>
                </c:pt>
                <c:pt idx="8">
                  <c:v>98</c:v>
                </c:pt>
                <c:pt idx="9">
                  <c:v>118</c:v>
                </c:pt>
                <c:pt idx="10">
                  <c:v>81</c:v>
                </c:pt>
              </c:numCache>
            </c:numRef>
          </c:val>
          <c:extLst>
            <c:ext xmlns:c16="http://schemas.microsoft.com/office/drawing/2014/chart" uri="{C3380CC4-5D6E-409C-BE32-E72D297353CC}">
              <c16:uniqueId val="{00000000-D801-47A7-B75B-2D6B249F1DD8}"/>
            </c:ext>
          </c:extLst>
        </c:ser>
        <c:dLbls>
          <c:showLegendKey val="0"/>
          <c:showVal val="0"/>
          <c:showCatName val="0"/>
          <c:showSerName val="0"/>
          <c:showPercent val="0"/>
          <c:showBubbleSize val="0"/>
        </c:dLbls>
        <c:gapWidth val="247"/>
        <c:axId val="590701880"/>
        <c:axId val="590694336"/>
      </c:barChart>
      <c:lineChart>
        <c:grouping val="standard"/>
        <c:varyColors val="0"/>
        <c:ser>
          <c:idx val="0"/>
          <c:order val="0"/>
          <c:tx>
            <c:strRef>
              <c:f>'Child protection register'!$F$2</c:f>
              <c:strCache>
                <c:ptCount val="1"/>
                <c:pt idx="0">
                  <c:v>Rate Aberdeen City</c:v>
                </c:pt>
              </c:strCache>
            </c:strRef>
          </c:tx>
          <c:spPr>
            <a:ln w="28575" cap="rnd">
              <a:solidFill>
                <a:schemeClr val="accent1"/>
              </a:solidFill>
              <a:round/>
            </a:ln>
            <a:effectLst/>
          </c:spPr>
          <c:marker>
            <c:symbol val="circle"/>
            <c:size val="6"/>
            <c:spPr>
              <a:solidFill>
                <a:schemeClr val="accent1"/>
              </a:solidFill>
              <a:ln>
                <a:noFill/>
              </a:ln>
              <a:effectLst/>
            </c:spPr>
          </c:marker>
          <c:cat>
            <c:numRef>
              <c:f>'Child protection register'!$E$3:$E$13</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'Child protection register'!$F$3:$F$13</c:f>
              <c:numCache>
                <c:formatCode>0.0</c:formatCode>
                <c:ptCount val="11"/>
                <c:pt idx="0">
                  <c:v>4.4061064912498447</c:v>
                </c:pt>
                <c:pt idx="1">
                  <c:v>3.7816558693158924</c:v>
                </c:pt>
                <c:pt idx="2">
                  <c:v>5.6437608533862571</c:v>
                </c:pt>
                <c:pt idx="3">
                  <c:v>3.6986386523279666</c:v>
                </c:pt>
                <c:pt idx="4">
                  <c:v>2.9646099685010188</c:v>
                </c:pt>
                <c:pt idx="5">
                  <c:v>2.6991809381980643</c:v>
                </c:pt>
                <c:pt idx="6">
                  <c:v>2.7960976202777861</c:v>
                </c:pt>
                <c:pt idx="7">
                  <c:v>2.174819758088542</c:v>
                </c:pt>
                <c:pt idx="8">
                  <c:v>2.8950400283595759</c:v>
                </c:pt>
                <c:pt idx="9">
                  <c:v>3.5</c:v>
                </c:pt>
                <c:pt idx="10">
                  <c:v>2.3693216719805772</c:v>
                </c:pt>
              </c:numCache>
            </c:numRef>
          </c:val>
          <c:smooth val="0"/>
          <c:extLst>
            <c:ext xmlns:c16="http://schemas.microsoft.com/office/drawing/2014/chart" uri="{C3380CC4-5D6E-409C-BE32-E72D297353CC}">
              <c16:uniqueId val="{00000001-D801-47A7-B75B-2D6B249F1DD8}"/>
            </c:ext>
          </c:extLst>
        </c:ser>
        <c:ser>
          <c:idx val="1"/>
          <c:order val="1"/>
          <c:tx>
            <c:strRef>
              <c:f>'Child protection register'!$G$2</c:f>
              <c:strCache>
                <c:ptCount val="1"/>
                <c:pt idx="0">
                  <c:v>Rate Scotland</c:v>
                </c:pt>
              </c:strCache>
            </c:strRef>
          </c:tx>
          <c:spPr>
            <a:ln w="28575" cap="rnd">
              <a:solidFill>
                <a:schemeClr val="accent2"/>
              </a:solidFill>
              <a:round/>
            </a:ln>
            <a:effectLst/>
          </c:spPr>
          <c:marker>
            <c:symbol val="circle"/>
            <c:size val="6"/>
            <c:spPr>
              <a:solidFill>
                <a:schemeClr val="accent2"/>
              </a:solidFill>
              <a:ln>
                <a:noFill/>
              </a:ln>
              <a:effectLst/>
            </c:spPr>
          </c:marker>
          <c:cat>
            <c:numRef>
              <c:f>'Child protection register'!$E$3:$E$13</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'Child protection register'!$G$3:$G$13</c:f>
              <c:numCache>
                <c:formatCode>0.0</c:formatCode>
                <c:ptCount val="11"/>
                <c:pt idx="0">
                  <c:v>2.7995055250557366</c:v>
                </c:pt>
                <c:pt idx="1">
                  <c:v>2.6341859520909456</c:v>
                </c:pt>
                <c:pt idx="2">
                  <c:v>2.910020474305127</c:v>
                </c:pt>
                <c:pt idx="3">
                  <c:v>2.7362278523654027</c:v>
                </c:pt>
                <c:pt idx="4">
                  <c:v>2.8012699962301073</c:v>
                </c:pt>
                <c:pt idx="5">
                  <c:v>2.94508368600474</c:v>
                </c:pt>
                <c:pt idx="6">
                  <c:v>2.8917501484140202</c:v>
                </c:pt>
                <c:pt idx="7">
                  <c:v>3.1570907798025201</c:v>
                </c:pt>
                <c:pt idx="8">
                  <c:v>3.0046192870030759</c:v>
                </c:pt>
                <c:pt idx="9">
                  <c:v>3</c:v>
                </c:pt>
                <c:pt idx="10">
                  <c:v>2.8725310262829491</c:v>
                </c:pt>
              </c:numCache>
            </c:numRef>
          </c:val>
          <c:smooth val="0"/>
          <c:extLst>
            <c:ext xmlns:c16="http://schemas.microsoft.com/office/drawing/2014/chart" uri="{C3380CC4-5D6E-409C-BE32-E72D297353CC}">
              <c16:uniqueId val="{00000002-D801-47A7-B75B-2D6B249F1DD8}"/>
            </c:ext>
          </c:extLst>
        </c:ser>
        <c:dLbls>
          <c:showLegendKey val="0"/>
          <c:showVal val="0"/>
          <c:showCatName val="0"/>
          <c:showSerName val="0"/>
          <c:showPercent val="0"/>
          <c:showBubbleSize val="0"/>
        </c:dLbls>
        <c:marker val="1"/>
        <c:smooth val="0"/>
        <c:axId val="590718608"/>
        <c:axId val="590718936"/>
      </c:lineChart>
      <c:catAx>
        <c:axId val="590718608"/>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0718936"/>
        <c:crosses val="autoZero"/>
        <c:auto val="1"/>
        <c:lblAlgn val="ctr"/>
        <c:lblOffset val="100"/>
        <c:noMultiLvlLbl val="0"/>
      </c:catAx>
      <c:valAx>
        <c:axId val="590718936"/>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b="0"/>
                  <a:t>Rate per 1,000 children 0-15 years</a:t>
                </a:r>
              </a:p>
            </c:rich>
          </c:tx>
          <c:layout>
            <c:manualLayout>
              <c:xMode val="edge"/>
              <c:yMode val="edge"/>
              <c:x val="2.2996435552489366E-2"/>
              <c:y val="9.9309688169483462E-2"/>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90718608"/>
        <c:crosses val="autoZero"/>
        <c:crossBetween val="between"/>
      </c:valAx>
      <c:valAx>
        <c:axId val="590694336"/>
        <c:scaling>
          <c:orientation val="minMax"/>
        </c:scaling>
        <c:delete val="0"/>
        <c:axPos val="r"/>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a:t>Number of children</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0701880"/>
        <c:crosses val="max"/>
        <c:crossBetween val="between"/>
      </c:valAx>
      <c:catAx>
        <c:axId val="590701880"/>
        <c:scaling>
          <c:orientation val="minMax"/>
        </c:scaling>
        <c:delete val="1"/>
        <c:axPos val="b"/>
        <c:numFmt formatCode="General" sourceLinked="1"/>
        <c:majorTickMark val="none"/>
        <c:minorTickMark val="none"/>
        <c:tickLblPos val="nextTo"/>
        <c:crossAx val="590694336"/>
        <c:crosses val="autoZero"/>
        <c:auto val="1"/>
        <c:lblAlgn val="ctr"/>
        <c:lblOffset val="100"/>
        <c:noMultiLvlLbl val="0"/>
      </c:cat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Sheet10!$B$3</c:f>
              <c:strCache>
                <c:ptCount val="1"/>
                <c:pt idx="0">
                  <c:v>Males</c:v>
                </c:pt>
              </c:strCache>
            </c:strRef>
          </c:tx>
          <c:spPr>
            <a:solidFill>
              <a:schemeClr val="accent1"/>
            </a:solidFill>
            <a:ln>
              <a:noFill/>
            </a:ln>
            <a:effectLst/>
          </c:spPr>
          <c:invertIfNegative val="0"/>
          <c:cat>
            <c:strRef>
              <c:f>Sheet10!$A$4:$A$94</c:f>
              <c:strCach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strCache>
            </c:strRef>
          </c:cat>
          <c:val>
            <c:numRef>
              <c:f>Sheet10!$B$4:$B$94</c:f>
              <c:numCache>
                <c:formatCode>#,##0</c:formatCode>
                <c:ptCount val="91"/>
                <c:pt idx="0">
                  <c:v>-1222</c:v>
                </c:pt>
                <c:pt idx="1">
                  <c:v>-1291</c:v>
                </c:pt>
                <c:pt idx="2">
                  <c:v>-1235</c:v>
                </c:pt>
                <c:pt idx="3">
                  <c:v>-1208</c:v>
                </c:pt>
                <c:pt idx="4">
                  <c:v>-1214</c:v>
                </c:pt>
                <c:pt idx="5">
                  <c:v>-1205</c:v>
                </c:pt>
                <c:pt idx="6">
                  <c:v>-1206</c:v>
                </c:pt>
                <c:pt idx="7">
                  <c:v>-1137</c:v>
                </c:pt>
                <c:pt idx="8">
                  <c:v>-1117</c:v>
                </c:pt>
                <c:pt idx="9">
                  <c:v>-1088</c:v>
                </c:pt>
                <c:pt idx="10">
                  <c:v>-1048</c:v>
                </c:pt>
                <c:pt idx="11">
                  <c:v>-980</c:v>
                </c:pt>
                <c:pt idx="12">
                  <c:v>-970</c:v>
                </c:pt>
                <c:pt idx="13">
                  <c:v>-886</c:v>
                </c:pt>
                <c:pt idx="14">
                  <c:v>-891</c:v>
                </c:pt>
                <c:pt idx="15">
                  <c:v>-906</c:v>
                </c:pt>
                <c:pt idx="16">
                  <c:v>-909</c:v>
                </c:pt>
                <c:pt idx="17">
                  <c:v>-977</c:v>
                </c:pt>
                <c:pt idx="18">
                  <c:v>-1108</c:v>
                </c:pt>
                <c:pt idx="19">
                  <c:v>-1373</c:v>
                </c:pt>
                <c:pt idx="20">
                  <c:v>-1739</c:v>
                </c:pt>
                <c:pt idx="21">
                  <c:v>-1816</c:v>
                </c:pt>
                <c:pt idx="22">
                  <c:v>-1748</c:v>
                </c:pt>
                <c:pt idx="23">
                  <c:v>-1813</c:v>
                </c:pt>
                <c:pt idx="24">
                  <c:v>-2109</c:v>
                </c:pt>
                <c:pt idx="25">
                  <c:v>-2570</c:v>
                </c:pt>
                <c:pt idx="26">
                  <c:v>-2709</c:v>
                </c:pt>
                <c:pt idx="27">
                  <c:v>-2566</c:v>
                </c:pt>
                <c:pt idx="28">
                  <c:v>-2684</c:v>
                </c:pt>
                <c:pt idx="29">
                  <c:v>-2419</c:v>
                </c:pt>
                <c:pt idx="30">
                  <c:v>-2425</c:v>
                </c:pt>
                <c:pt idx="31">
                  <c:v>-2276</c:v>
                </c:pt>
                <c:pt idx="32">
                  <c:v>-2091</c:v>
                </c:pt>
                <c:pt idx="33">
                  <c:v>-1953</c:v>
                </c:pt>
                <c:pt idx="34">
                  <c:v>-1975</c:v>
                </c:pt>
                <c:pt idx="35">
                  <c:v>-1924</c:v>
                </c:pt>
                <c:pt idx="36">
                  <c:v>-1902</c:v>
                </c:pt>
                <c:pt idx="37">
                  <c:v>-1728</c:v>
                </c:pt>
                <c:pt idx="38">
                  <c:v>-1705</c:v>
                </c:pt>
                <c:pt idx="39">
                  <c:v>-1504</c:v>
                </c:pt>
                <c:pt idx="40">
                  <c:v>-1499</c:v>
                </c:pt>
                <c:pt idx="41">
                  <c:v>-1456</c:v>
                </c:pt>
                <c:pt idx="42">
                  <c:v>-1428</c:v>
                </c:pt>
                <c:pt idx="43">
                  <c:v>-1420</c:v>
                </c:pt>
                <c:pt idx="44">
                  <c:v>-1497</c:v>
                </c:pt>
                <c:pt idx="45">
                  <c:v>-1394</c:v>
                </c:pt>
                <c:pt idx="46">
                  <c:v>-1486</c:v>
                </c:pt>
                <c:pt idx="47">
                  <c:v>-1313</c:v>
                </c:pt>
                <c:pt idx="48">
                  <c:v>-1437</c:v>
                </c:pt>
                <c:pt idx="49">
                  <c:v>-1476</c:v>
                </c:pt>
                <c:pt idx="50">
                  <c:v>-1486</c:v>
                </c:pt>
                <c:pt idx="51">
                  <c:v>-1353</c:v>
                </c:pt>
                <c:pt idx="52">
                  <c:v>-1489</c:v>
                </c:pt>
                <c:pt idx="53">
                  <c:v>-1364</c:v>
                </c:pt>
                <c:pt idx="54">
                  <c:v>-1521</c:v>
                </c:pt>
                <c:pt idx="55">
                  <c:v>-1484</c:v>
                </c:pt>
                <c:pt idx="56">
                  <c:v>-1322</c:v>
                </c:pt>
                <c:pt idx="57">
                  <c:v>-1364</c:v>
                </c:pt>
                <c:pt idx="58">
                  <c:v>-1359</c:v>
                </c:pt>
                <c:pt idx="59">
                  <c:v>-1343</c:v>
                </c:pt>
                <c:pt idx="60">
                  <c:v>-1317</c:v>
                </c:pt>
                <c:pt idx="61">
                  <c:v>-1288</c:v>
                </c:pt>
                <c:pt idx="62">
                  <c:v>-1214</c:v>
                </c:pt>
                <c:pt idx="63">
                  <c:v>-1226</c:v>
                </c:pt>
                <c:pt idx="64">
                  <c:v>-1101</c:v>
                </c:pt>
                <c:pt idx="65">
                  <c:v>-1082</c:v>
                </c:pt>
                <c:pt idx="66">
                  <c:v>-1016</c:v>
                </c:pt>
                <c:pt idx="67">
                  <c:v>-1046</c:v>
                </c:pt>
                <c:pt idx="68">
                  <c:v>-1094</c:v>
                </c:pt>
                <c:pt idx="69">
                  <c:v>-1023</c:v>
                </c:pt>
                <c:pt idx="70">
                  <c:v>-1120</c:v>
                </c:pt>
                <c:pt idx="71">
                  <c:v>-824</c:v>
                </c:pt>
                <c:pt idx="72">
                  <c:v>-658</c:v>
                </c:pt>
                <c:pt idx="73">
                  <c:v>-673</c:v>
                </c:pt>
                <c:pt idx="74">
                  <c:v>-675</c:v>
                </c:pt>
                <c:pt idx="75">
                  <c:v>-643</c:v>
                </c:pt>
                <c:pt idx="76">
                  <c:v>-531</c:v>
                </c:pt>
                <c:pt idx="77">
                  <c:v>-566</c:v>
                </c:pt>
                <c:pt idx="78">
                  <c:v>-505</c:v>
                </c:pt>
                <c:pt idx="79">
                  <c:v>-540</c:v>
                </c:pt>
                <c:pt idx="80">
                  <c:v>-472</c:v>
                </c:pt>
                <c:pt idx="81">
                  <c:v>-426</c:v>
                </c:pt>
                <c:pt idx="82">
                  <c:v>-419</c:v>
                </c:pt>
                <c:pt idx="83">
                  <c:v>-378</c:v>
                </c:pt>
                <c:pt idx="84">
                  <c:v>-335</c:v>
                </c:pt>
                <c:pt idx="85">
                  <c:v>-316</c:v>
                </c:pt>
                <c:pt idx="86">
                  <c:v>-256</c:v>
                </c:pt>
                <c:pt idx="87">
                  <c:v>-190</c:v>
                </c:pt>
                <c:pt idx="88">
                  <c:v>-183</c:v>
                </c:pt>
                <c:pt idx="89">
                  <c:v>-130</c:v>
                </c:pt>
                <c:pt idx="90">
                  <c:v>-487</c:v>
                </c:pt>
              </c:numCache>
            </c:numRef>
          </c:val>
          <c:extLst>
            <c:ext xmlns:c16="http://schemas.microsoft.com/office/drawing/2014/chart" uri="{C3380CC4-5D6E-409C-BE32-E72D297353CC}">
              <c16:uniqueId val="{00000000-8F95-434A-B95C-3E80F305F4E6}"/>
            </c:ext>
          </c:extLst>
        </c:ser>
        <c:ser>
          <c:idx val="1"/>
          <c:order val="1"/>
          <c:tx>
            <c:strRef>
              <c:f>Sheet10!$C$3</c:f>
              <c:strCache>
                <c:ptCount val="1"/>
                <c:pt idx="0">
                  <c:v>Females</c:v>
                </c:pt>
              </c:strCache>
            </c:strRef>
          </c:tx>
          <c:spPr>
            <a:solidFill>
              <a:schemeClr val="accent2"/>
            </a:solidFill>
            <a:ln>
              <a:noFill/>
            </a:ln>
            <a:effectLst/>
          </c:spPr>
          <c:invertIfNegative val="0"/>
          <c:cat>
            <c:strRef>
              <c:f>Sheet10!$A$4:$A$94</c:f>
              <c:strCach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strCache>
            </c:strRef>
          </c:cat>
          <c:val>
            <c:numRef>
              <c:f>Sheet10!$C$4:$C$94</c:f>
              <c:numCache>
                <c:formatCode>#,##0</c:formatCode>
                <c:ptCount val="91"/>
                <c:pt idx="0">
                  <c:v>1190</c:v>
                </c:pt>
                <c:pt idx="1">
                  <c:v>1218</c:v>
                </c:pt>
                <c:pt idx="2">
                  <c:v>1152</c:v>
                </c:pt>
                <c:pt idx="3">
                  <c:v>1130</c:v>
                </c:pt>
                <c:pt idx="4">
                  <c:v>1163</c:v>
                </c:pt>
                <c:pt idx="5">
                  <c:v>1186</c:v>
                </c:pt>
                <c:pt idx="6">
                  <c:v>1140</c:v>
                </c:pt>
                <c:pt idx="7">
                  <c:v>1097</c:v>
                </c:pt>
                <c:pt idx="8">
                  <c:v>1082</c:v>
                </c:pt>
                <c:pt idx="9">
                  <c:v>1087</c:v>
                </c:pt>
                <c:pt idx="10">
                  <c:v>1003</c:v>
                </c:pt>
                <c:pt idx="11">
                  <c:v>964</c:v>
                </c:pt>
                <c:pt idx="12">
                  <c:v>920</c:v>
                </c:pt>
                <c:pt idx="13">
                  <c:v>891</c:v>
                </c:pt>
                <c:pt idx="14">
                  <c:v>837</c:v>
                </c:pt>
                <c:pt idx="15">
                  <c:v>831</c:v>
                </c:pt>
                <c:pt idx="16">
                  <c:v>902</c:v>
                </c:pt>
                <c:pt idx="17">
                  <c:v>938</c:v>
                </c:pt>
                <c:pt idx="18">
                  <c:v>1228</c:v>
                </c:pt>
                <c:pt idx="19">
                  <c:v>1735</c:v>
                </c:pt>
                <c:pt idx="20">
                  <c:v>2192</c:v>
                </c:pt>
                <c:pt idx="21">
                  <c:v>2101</c:v>
                </c:pt>
                <c:pt idx="22">
                  <c:v>2081</c:v>
                </c:pt>
                <c:pt idx="23">
                  <c:v>1923</c:v>
                </c:pt>
                <c:pt idx="24">
                  <c:v>2129</c:v>
                </c:pt>
                <c:pt idx="25">
                  <c:v>2435</c:v>
                </c:pt>
                <c:pt idx="26">
                  <c:v>2440</c:v>
                </c:pt>
                <c:pt idx="27">
                  <c:v>2336</c:v>
                </c:pt>
                <c:pt idx="28">
                  <c:v>2223</c:v>
                </c:pt>
                <c:pt idx="29">
                  <c:v>2104</c:v>
                </c:pt>
                <c:pt idx="30">
                  <c:v>1949</c:v>
                </c:pt>
                <c:pt idx="31">
                  <c:v>2049</c:v>
                </c:pt>
                <c:pt idx="32">
                  <c:v>2018</c:v>
                </c:pt>
                <c:pt idx="33">
                  <c:v>1750</c:v>
                </c:pt>
                <c:pt idx="34">
                  <c:v>1889</c:v>
                </c:pt>
                <c:pt idx="35">
                  <c:v>1738</c:v>
                </c:pt>
                <c:pt idx="36">
                  <c:v>1663</c:v>
                </c:pt>
                <c:pt idx="37">
                  <c:v>1653</c:v>
                </c:pt>
                <c:pt idx="38">
                  <c:v>1452</c:v>
                </c:pt>
                <c:pt idx="39">
                  <c:v>1419</c:v>
                </c:pt>
                <c:pt idx="40">
                  <c:v>1292</c:v>
                </c:pt>
                <c:pt idx="41">
                  <c:v>1377</c:v>
                </c:pt>
                <c:pt idx="42">
                  <c:v>1311</c:v>
                </c:pt>
                <c:pt idx="43">
                  <c:v>1272</c:v>
                </c:pt>
                <c:pt idx="44">
                  <c:v>1395</c:v>
                </c:pt>
                <c:pt idx="45">
                  <c:v>1446</c:v>
                </c:pt>
                <c:pt idx="46">
                  <c:v>1445</c:v>
                </c:pt>
                <c:pt idx="47">
                  <c:v>1389</c:v>
                </c:pt>
                <c:pt idx="48">
                  <c:v>1408</c:v>
                </c:pt>
                <c:pt idx="49">
                  <c:v>1386</c:v>
                </c:pt>
                <c:pt idx="50">
                  <c:v>1399</c:v>
                </c:pt>
                <c:pt idx="51">
                  <c:v>1470</c:v>
                </c:pt>
                <c:pt idx="52">
                  <c:v>1510</c:v>
                </c:pt>
                <c:pt idx="53">
                  <c:v>1500</c:v>
                </c:pt>
                <c:pt idx="54">
                  <c:v>1510</c:v>
                </c:pt>
                <c:pt idx="55">
                  <c:v>1485</c:v>
                </c:pt>
                <c:pt idx="56">
                  <c:v>1384</c:v>
                </c:pt>
                <c:pt idx="57">
                  <c:v>1402</c:v>
                </c:pt>
                <c:pt idx="58">
                  <c:v>1378</c:v>
                </c:pt>
                <c:pt idx="59">
                  <c:v>1317</c:v>
                </c:pt>
                <c:pt idx="60">
                  <c:v>1267</c:v>
                </c:pt>
                <c:pt idx="61">
                  <c:v>1276</c:v>
                </c:pt>
                <c:pt idx="62">
                  <c:v>1211</c:v>
                </c:pt>
                <c:pt idx="63">
                  <c:v>1108</c:v>
                </c:pt>
                <c:pt idx="64">
                  <c:v>1068</c:v>
                </c:pt>
                <c:pt idx="65">
                  <c:v>1106</c:v>
                </c:pt>
                <c:pt idx="66">
                  <c:v>1058</c:v>
                </c:pt>
                <c:pt idx="67">
                  <c:v>1022</c:v>
                </c:pt>
                <c:pt idx="68">
                  <c:v>1129</c:v>
                </c:pt>
                <c:pt idx="69">
                  <c:v>1082</c:v>
                </c:pt>
                <c:pt idx="70">
                  <c:v>1241</c:v>
                </c:pt>
                <c:pt idx="71">
                  <c:v>895</c:v>
                </c:pt>
                <c:pt idx="72">
                  <c:v>763</c:v>
                </c:pt>
                <c:pt idx="73">
                  <c:v>782</c:v>
                </c:pt>
                <c:pt idx="74">
                  <c:v>793</c:v>
                </c:pt>
                <c:pt idx="75">
                  <c:v>808</c:v>
                </c:pt>
                <c:pt idx="76">
                  <c:v>728</c:v>
                </c:pt>
                <c:pt idx="77">
                  <c:v>746</c:v>
                </c:pt>
                <c:pt idx="78">
                  <c:v>727</c:v>
                </c:pt>
                <c:pt idx="79">
                  <c:v>694</c:v>
                </c:pt>
                <c:pt idx="80">
                  <c:v>677</c:v>
                </c:pt>
                <c:pt idx="81">
                  <c:v>655</c:v>
                </c:pt>
                <c:pt idx="82">
                  <c:v>614</c:v>
                </c:pt>
                <c:pt idx="83">
                  <c:v>547</c:v>
                </c:pt>
                <c:pt idx="84">
                  <c:v>488</c:v>
                </c:pt>
                <c:pt idx="85">
                  <c:v>530</c:v>
                </c:pt>
                <c:pt idx="86">
                  <c:v>430</c:v>
                </c:pt>
                <c:pt idx="87">
                  <c:v>419</c:v>
                </c:pt>
                <c:pt idx="88">
                  <c:v>382</c:v>
                </c:pt>
                <c:pt idx="89">
                  <c:v>294</c:v>
                </c:pt>
                <c:pt idx="90">
                  <c:v>1094</c:v>
                </c:pt>
              </c:numCache>
            </c:numRef>
          </c:val>
          <c:extLst>
            <c:ext xmlns:c16="http://schemas.microsoft.com/office/drawing/2014/chart" uri="{C3380CC4-5D6E-409C-BE32-E72D297353CC}">
              <c16:uniqueId val="{00000001-8F95-434A-B95C-3E80F305F4E6}"/>
            </c:ext>
          </c:extLst>
        </c:ser>
        <c:dLbls>
          <c:showLegendKey val="0"/>
          <c:showVal val="0"/>
          <c:showCatName val="0"/>
          <c:showSerName val="0"/>
          <c:showPercent val="0"/>
          <c:showBubbleSize val="0"/>
        </c:dLbls>
        <c:gapWidth val="0"/>
        <c:overlap val="100"/>
        <c:axId val="464888528"/>
        <c:axId val="464883936"/>
      </c:barChart>
      <c:barChart>
        <c:barDir val="bar"/>
        <c:grouping val="clustered"/>
        <c:varyColors val="0"/>
        <c:ser>
          <c:idx val="2"/>
          <c:order val="2"/>
          <c:tx>
            <c:strRef>
              <c:f>Sheet10!$D$3</c:f>
              <c:strCache>
                <c:ptCount val="1"/>
              </c:strCache>
            </c:strRef>
          </c:tx>
          <c:spPr>
            <a:noFill/>
            <a:ln>
              <a:solidFill>
                <a:schemeClr val="tx1">
                  <a:alpha val="10000"/>
                </a:schemeClr>
              </a:solidFill>
            </a:ln>
            <a:effectLst/>
          </c:spPr>
          <c:invertIfNegative val="0"/>
          <c:cat>
            <c:strRef>
              <c:f>Sheet10!$A$4:$A$94</c:f>
              <c:strCach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strCache>
            </c:strRef>
          </c:cat>
          <c:val>
            <c:numRef>
              <c:f>Sheet10!$D$4:$D$94</c:f>
              <c:numCache>
                <c:formatCode>#,##0</c:formatCode>
                <c:ptCount val="91"/>
                <c:pt idx="0">
                  <c:v>-27648</c:v>
                </c:pt>
                <c:pt idx="1">
                  <c:v>-28916</c:v>
                </c:pt>
                <c:pt idx="2">
                  <c:v>-29157</c:v>
                </c:pt>
                <c:pt idx="3">
                  <c:v>-29493</c:v>
                </c:pt>
                <c:pt idx="4">
                  <c:v>-29902</c:v>
                </c:pt>
                <c:pt idx="5">
                  <c:v>-30863</c:v>
                </c:pt>
                <c:pt idx="6">
                  <c:v>-31675</c:v>
                </c:pt>
                <c:pt idx="7">
                  <c:v>-30043</c:v>
                </c:pt>
                <c:pt idx="8">
                  <c:v>-30813</c:v>
                </c:pt>
                <c:pt idx="9">
                  <c:v>-30730</c:v>
                </c:pt>
                <c:pt idx="10">
                  <c:v>-29718</c:v>
                </c:pt>
                <c:pt idx="11">
                  <c:v>-28949</c:v>
                </c:pt>
                <c:pt idx="12">
                  <c:v>-29005</c:v>
                </c:pt>
                <c:pt idx="13">
                  <c:v>-28442</c:v>
                </c:pt>
                <c:pt idx="14">
                  <c:v>-27366</c:v>
                </c:pt>
                <c:pt idx="15">
                  <c:v>-27172</c:v>
                </c:pt>
                <c:pt idx="16">
                  <c:v>-28297</c:v>
                </c:pt>
                <c:pt idx="17">
                  <c:v>-29416</c:v>
                </c:pt>
                <c:pt idx="18">
                  <c:v>-30691</c:v>
                </c:pt>
                <c:pt idx="19">
                  <c:v>-32698</c:v>
                </c:pt>
                <c:pt idx="20">
                  <c:v>-34758</c:v>
                </c:pt>
                <c:pt idx="21">
                  <c:v>-35231</c:v>
                </c:pt>
                <c:pt idx="22">
                  <c:v>-35570</c:v>
                </c:pt>
                <c:pt idx="23">
                  <c:v>-36594</c:v>
                </c:pt>
                <c:pt idx="24">
                  <c:v>-36984</c:v>
                </c:pt>
                <c:pt idx="25">
                  <c:v>-39025</c:v>
                </c:pt>
                <c:pt idx="26">
                  <c:v>-39299</c:v>
                </c:pt>
                <c:pt idx="27">
                  <c:v>-37701</c:v>
                </c:pt>
                <c:pt idx="28">
                  <c:v>-37307</c:v>
                </c:pt>
                <c:pt idx="29">
                  <c:v>-37044</c:v>
                </c:pt>
                <c:pt idx="30">
                  <c:v>-35749</c:v>
                </c:pt>
                <c:pt idx="31">
                  <c:v>-35727</c:v>
                </c:pt>
                <c:pt idx="32">
                  <c:v>-34926</c:v>
                </c:pt>
                <c:pt idx="33">
                  <c:v>-33871</c:v>
                </c:pt>
                <c:pt idx="34">
                  <c:v>-34217</c:v>
                </c:pt>
                <c:pt idx="35">
                  <c:v>-34416</c:v>
                </c:pt>
                <c:pt idx="36">
                  <c:v>-34511</c:v>
                </c:pt>
                <c:pt idx="37">
                  <c:v>-33876</c:v>
                </c:pt>
                <c:pt idx="38">
                  <c:v>-33130</c:v>
                </c:pt>
                <c:pt idx="39">
                  <c:v>-30293</c:v>
                </c:pt>
                <c:pt idx="40">
                  <c:v>-30245</c:v>
                </c:pt>
                <c:pt idx="41">
                  <c:v>-31468</c:v>
                </c:pt>
                <c:pt idx="42">
                  <c:v>-31408</c:v>
                </c:pt>
                <c:pt idx="43">
                  <c:v>-32277</c:v>
                </c:pt>
                <c:pt idx="44">
                  <c:v>-34075</c:v>
                </c:pt>
                <c:pt idx="45">
                  <c:v>-35749</c:v>
                </c:pt>
                <c:pt idx="46">
                  <c:v>-36792</c:v>
                </c:pt>
                <c:pt idx="47">
                  <c:v>-36424</c:v>
                </c:pt>
                <c:pt idx="48">
                  <c:v>-37924</c:v>
                </c:pt>
                <c:pt idx="49">
                  <c:v>-38571</c:v>
                </c:pt>
                <c:pt idx="50">
                  <c:v>-39371</c:v>
                </c:pt>
                <c:pt idx="51">
                  <c:v>-38735</c:v>
                </c:pt>
                <c:pt idx="52">
                  <c:v>-40329</c:v>
                </c:pt>
                <c:pt idx="53">
                  <c:v>-39441</c:v>
                </c:pt>
                <c:pt idx="54">
                  <c:v>-39502</c:v>
                </c:pt>
                <c:pt idx="55">
                  <c:v>-38909</c:v>
                </c:pt>
                <c:pt idx="56">
                  <c:v>-37885</c:v>
                </c:pt>
                <c:pt idx="57">
                  <c:v>-36734</c:v>
                </c:pt>
                <c:pt idx="58">
                  <c:v>-36030</c:v>
                </c:pt>
                <c:pt idx="59">
                  <c:v>-35049</c:v>
                </c:pt>
                <c:pt idx="60">
                  <c:v>-34178</c:v>
                </c:pt>
                <c:pt idx="61">
                  <c:v>-33057</c:v>
                </c:pt>
                <c:pt idx="62">
                  <c:v>-31417</c:v>
                </c:pt>
                <c:pt idx="63">
                  <c:v>-31041</c:v>
                </c:pt>
                <c:pt idx="64">
                  <c:v>-30245</c:v>
                </c:pt>
                <c:pt idx="65">
                  <c:v>-29076</c:v>
                </c:pt>
                <c:pt idx="66">
                  <c:v>-29098</c:v>
                </c:pt>
                <c:pt idx="67">
                  <c:v>-29224</c:v>
                </c:pt>
                <c:pt idx="68">
                  <c:v>-29691</c:v>
                </c:pt>
                <c:pt idx="69">
                  <c:v>-30284</c:v>
                </c:pt>
                <c:pt idx="70">
                  <c:v>-32423</c:v>
                </c:pt>
                <c:pt idx="71">
                  <c:v>-24213</c:v>
                </c:pt>
                <c:pt idx="72">
                  <c:v>-22279</c:v>
                </c:pt>
                <c:pt idx="73">
                  <c:v>-22640</c:v>
                </c:pt>
                <c:pt idx="74">
                  <c:v>-20798</c:v>
                </c:pt>
                <c:pt idx="75">
                  <c:v>-18661</c:v>
                </c:pt>
                <c:pt idx="76">
                  <c:v>-16759</c:v>
                </c:pt>
                <c:pt idx="77">
                  <c:v>-16871</c:v>
                </c:pt>
                <c:pt idx="78">
                  <c:v>-16072</c:v>
                </c:pt>
                <c:pt idx="79">
                  <c:v>-15248</c:v>
                </c:pt>
                <c:pt idx="80">
                  <c:v>-13590</c:v>
                </c:pt>
                <c:pt idx="81">
                  <c:v>-12630</c:v>
                </c:pt>
                <c:pt idx="82">
                  <c:v>-11576</c:v>
                </c:pt>
                <c:pt idx="83">
                  <c:v>-10156</c:v>
                </c:pt>
                <c:pt idx="84">
                  <c:v>-9082</c:v>
                </c:pt>
                <c:pt idx="85">
                  <c:v>-8167</c:v>
                </c:pt>
                <c:pt idx="86">
                  <c:v>-6962</c:v>
                </c:pt>
                <c:pt idx="87">
                  <c:v>-5727</c:v>
                </c:pt>
                <c:pt idx="88">
                  <c:v>-4867</c:v>
                </c:pt>
                <c:pt idx="89">
                  <c:v>-3739</c:v>
                </c:pt>
                <c:pt idx="90">
                  <c:v>-12388</c:v>
                </c:pt>
              </c:numCache>
            </c:numRef>
          </c:val>
          <c:extLst>
            <c:ext xmlns:c16="http://schemas.microsoft.com/office/drawing/2014/chart" uri="{C3380CC4-5D6E-409C-BE32-E72D297353CC}">
              <c16:uniqueId val="{00000002-8F95-434A-B95C-3E80F305F4E6}"/>
            </c:ext>
          </c:extLst>
        </c:ser>
        <c:ser>
          <c:idx val="3"/>
          <c:order val="3"/>
          <c:tx>
            <c:strRef>
              <c:f>Sheet10!$E$3</c:f>
              <c:strCache>
                <c:ptCount val="1"/>
              </c:strCache>
            </c:strRef>
          </c:tx>
          <c:spPr>
            <a:noFill/>
            <a:ln w="10795">
              <a:solidFill>
                <a:schemeClr val="tx1">
                  <a:alpha val="10000"/>
                </a:schemeClr>
              </a:solidFill>
            </a:ln>
            <a:effectLst/>
          </c:spPr>
          <c:invertIfNegative val="0"/>
          <c:cat>
            <c:strRef>
              <c:f>Sheet10!$A$4:$A$94</c:f>
              <c:strCach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strCache>
            </c:strRef>
          </c:cat>
          <c:val>
            <c:numRef>
              <c:f>Sheet10!$E$4:$E$94</c:f>
              <c:numCache>
                <c:formatCode>#,##0</c:formatCode>
                <c:ptCount val="91"/>
                <c:pt idx="0">
                  <c:v>25905</c:v>
                </c:pt>
                <c:pt idx="1">
                  <c:v>26976</c:v>
                </c:pt>
                <c:pt idx="2">
                  <c:v>27633</c:v>
                </c:pt>
                <c:pt idx="3">
                  <c:v>27868</c:v>
                </c:pt>
                <c:pt idx="4">
                  <c:v>28608</c:v>
                </c:pt>
                <c:pt idx="5">
                  <c:v>29138</c:v>
                </c:pt>
                <c:pt idx="6">
                  <c:v>30220</c:v>
                </c:pt>
                <c:pt idx="7">
                  <c:v>28968</c:v>
                </c:pt>
                <c:pt idx="8">
                  <c:v>29811</c:v>
                </c:pt>
                <c:pt idx="9">
                  <c:v>29690</c:v>
                </c:pt>
                <c:pt idx="10">
                  <c:v>28339</c:v>
                </c:pt>
                <c:pt idx="11">
                  <c:v>27891</c:v>
                </c:pt>
                <c:pt idx="12">
                  <c:v>27352</c:v>
                </c:pt>
                <c:pt idx="13">
                  <c:v>26801</c:v>
                </c:pt>
                <c:pt idx="14">
                  <c:v>26234</c:v>
                </c:pt>
                <c:pt idx="15">
                  <c:v>26116</c:v>
                </c:pt>
                <c:pt idx="16">
                  <c:v>27297</c:v>
                </c:pt>
                <c:pt idx="17">
                  <c:v>27603</c:v>
                </c:pt>
                <c:pt idx="18">
                  <c:v>29074</c:v>
                </c:pt>
                <c:pt idx="19">
                  <c:v>31676</c:v>
                </c:pt>
                <c:pt idx="20">
                  <c:v>33923</c:v>
                </c:pt>
                <c:pt idx="21">
                  <c:v>34375</c:v>
                </c:pt>
                <c:pt idx="22">
                  <c:v>35124</c:v>
                </c:pt>
                <c:pt idx="23">
                  <c:v>36381</c:v>
                </c:pt>
                <c:pt idx="24">
                  <c:v>37669</c:v>
                </c:pt>
                <c:pt idx="25">
                  <c:v>39630</c:v>
                </c:pt>
                <c:pt idx="26">
                  <c:v>39184</c:v>
                </c:pt>
                <c:pt idx="27">
                  <c:v>37661</c:v>
                </c:pt>
                <c:pt idx="28">
                  <c:v>37574</c:v>
                </c:pt>
                <c:pt idx="29">
                  <c:v>37823</c:v>
                </c:pt>
                <c:pt idx="30">
                  <c:v>36822</c:v>
                </c:pt>
                <c:pt idx="31">
                  <c:v>36217</c:v>
                </c:pt>
                <c:pt idx="32">
                  <c:v>36435</c:v>
                </c:pt>
                <c:pt idx="33">
                  <c:v>35286</c:v>
                </c:pt>
                <c:pt idx="34">
                  <c:v>35830</c:v>
                </c:pt>
                <c:pt idx="35">
                  <c:v>36488</c:v>
                </c:pt>
                <c:pt idx="36">
                  <c:v>35887</c:v>
                </c:pt>
                <c:pt idx="37">
                  <c:v>35085</c:v>
                </c:pt>
                <c:pt idx="38">
                  <c:v>33586</c:v>
                </c:pt>
                <c:pt idx="39">
                  <c:v>31781</c:v>
                </c:pt>
                <c:pt idx="40">
                  <c:v>30650</c:v>
                </c:pt>
                <c:pt idx="41">
                  <c:v>32707</c:v>
                </c:pt>
                <c:pt idx="42">
                  <c:v>33267</c:v>
                </c:pt>
                <c:pt idx="43">
                  <c:v>33367</c:v>
                </c:pt>
                <c:pt idx="44">
                  <c:v>35569</c:v>
                </c:pt>
                <c:pt idx="45">
                  <c:v>38147</c:v>
                </c:pt>
                <c:pt idx="46">
                  <c:v>39921</c:v>
                </c:pt>
                <c:pt idx="47">
                  <c:v>39262</c:v>
                </c:pt>
                <c:pt idx="48">
                  <c:v>40781</c:v>
                </c:pt>
                <c:pt idx="49">
                  <c:v>41499</c:v>
                </c:pt>
                <c:pt idx="50">
                  <c:v>41360</c:v>
                </c:pt>
                <c:pt idx="51">
                  <c:v>41330</c:v>
                </c:pt>
                <c:pt idx="52">
                  <c:v>42580</c:v>
                </c:pt>
                <c:pt idx="53">
                  <c:v>42376</c:v>
                </c:pt>
                <c:pt idx="54">
                  <c:v>42025</c:v>
                </c:pt>
                <c:pt idx="55">
                  <c:v>40671</c:v>
                </c:pt>
                <c:pt idx="56">
                  <c:v>39839</c:v>
                </c:pt>
                <c:pt idx="57">
                  <c:v>38357</c:v>
                </c:pt>
                <c:pt idx="58">
                  <c:v>38274</c:v>
                </c:pt>
                <c:pt idx="59">
                  <c:v>37138</c:v>
                </c:pt>
                <c:pt idx="60">
                  <c:v>35949</c:v>
                </c:pt>
                <c:pt idx="61">
                  <c:v>34801</c:v>
                </c:pt>
                <c:pt idx="62">
                  <c:v>33426</c:v>
                </c:pt>
                <c:pt idx="63">
                  <c:v>32762</c:v>
                </c:pt>
                <c:pt idx="64">
                  <c:v>32135</c:v>
                </c:pt>
                <c:pt idx="65">
                  <c:v>30943</c:v>
                </c:pt>
                <c:pt idx="66">
                  <c:v>31228</c:v>
                </c:pt>
                <c:pt idx="67">
                  <c:v>31100</c:v>
                </c:pt>
                <c:pt idx="68">
                  <c:v>31741</c:v>
                </c:pt>
                <c:pt idx="69">
                  <c:v>32681</c:v>
                </c:pt>
                <c:pt idx="70">
                  <c:v>35380</c:v>
                </c:pt>
                <c:pt idx="71">
                  <c:v>26479</c:v>
                </c:pt>
                <c:pt idx="72">
                  <c:v>25219</c:v>
                </c:pt>
                <c:pt idx="73">
                  <c:v>25443</c:v>
                </c:pt>
                <c:pt idx="74">
                  <c:v>24656</c:v>
                </c:pt>
                <c:pt idx="75">
                  <c:v>22672</c:v>
                </c:pt>
                <c:pt idx="76">
                  <c:v>20988</c:v>
                </c:pt>
                <c:pt idx="77">
                  <c:v>21101</c:v>
                </c:pt>
                <c:pt idx="78">
                  <c:v>20359</c:v>
                </c:pt>
                <c:pt idx="79">
                  <c:v>19531</c:v>
                </c:pt>
                <c:pt idx="80">
                  <c:v>18623</c:v>
                </c:pt>
                <c:pt idx="81">
                  <c:v>17531</c:v>
                </c:pt>
                <c:pt idx="82">
                  <c:v>16255</c:v>
                </c:pt>
                <c:pt idx="83">
                  <c:v>14982</c:v>
                </c:pt>
                <c:pt idx="84">
                  <c:v>13468</c:v>
                </c:pt>
                <c:pt idx="85">
                  <c:v>12962</c:v>
                </c:pt>
                <c:pt idx="86">
                  <c:v>11473</c:v>
                </c:pt>
                <c:pt idx="87">
                  <c:v>10113</c:v>
                </c:pt>
                <c:pt idx="88">
                  <c:v>8779</c:v>
                </c:pt>
                <c:pt idx="89">
                  <c:v>7302</c:v>
                </c:pt>
                <c:pt idx="90">
                  <c:v>29337</c:v>
                </c:pt>
              </c:numCache>
            </c:numRef>
          </c:val>
          <c:extLst>
            <c:ext xmlns:c16="http://schemas.microsoft.com/office/drawing/2014/chart" uri="{C3380CC4-5D6E-409C-BE32-E72D297353CC}">
              <c16:uniqueId val="{00000003-8F95-434A-B95C-3E80F305F4E6}"/>
            </c:ext>
          </c:extLst>
        </c:ser>
        <c:dLbls>
          <c:showLegendKey val="0"/>
          <c:showVal val="0"/>
          <c:showCatName val="0"/>
          <c:showSerName val="0"/>
          <c:showPercent val="0"/>
          <c:showBubbleSize val="0"/>
        </c:dLbls>
        <c:gapWidth val="50"/>
        <c:overlap val="100"/>
        <c:axId val="465774864"/>
        <c:axId val="465773224"/>
      </c:barChart>
      <c:catAx>
        <c:axId val="46488852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Age (years)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4883936"/>
        <c:crosses val="autoZero"/>
        <c:auto val="1"/>
        <c:lblAlgn val="ctr"/>
        <c:lblOffset val="100"/>
        <c:noMultiLvlLbl val="0"/>
      </c:catAx>
      <c:valAx>
        <c:axId val="4648839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t>Population Aberdeen City</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464888528"/>
        <c:crosses val="autoZero"/>
        <c:crossBetween val="between"/>
      </c:valAx>
      <c:valAx>
        <c:axId val="465773224"/>
        <c:scaling>
          <c:orientation val="minMax"/>
        </c:scaling>
        <c:delete val="0"/>
        <c:axPos val="t"/>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t>Population Scotland</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465774864"/>
        <c:crosses val="max"/>
        <c:crossBetween val="between"/>
      </c:valAx>
      <c:catAx>
        <c:axId val="465774864"/>
        <c:scaling>
          <c:orientation val="minMax"/>
        </c:scaling>
        <c:delete val="1"/>
        <c:axPos val="l"/>
        <c:numFmt formatCode="General" sourceLinked="1"/>
        <c:majorTickMark val="out"/>
        <c:minorTickMark val="none"/>
        <c:tickLblPos val="nextTo"/>
        <c:crossAx val="465773224"/>
        <c:crosses val="autoZero"/>
        <c:auto val="1"/>
        <c:lblAlgn val="ctr"/>
        <c:lblOffset val="100"/>
        <c:noMultiLvlLbl val="0"/>
      </c:catAx>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j-lt"/>
                <a:ea typeface="+mn-ea"/>
                <a:cs typeface="+mn-cs"/>
              </a:defRPr>
            </a:pPr>
            <a:r>
              <a:rPr lang="en-GB" sz="1200" b="1">
                <a:latin typeface="+mj-lt"/>
              </a:rPr>
              <a:t>CAHMS whole time equivalent clinical staff per 100,000 population of 0-18 year-old, December 2017</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j-lt"/>
              <a:ea typeface="+mn-ea"/>
              <a:cs typeface="+mn-cs"/>
            </a:defRPr>
          </a:pPr>
          <a:endParaRPr lang="en-US"/>
        </a:p>
      </c:txPr>
    </c:title>
    <c:autoTitleDeleted val="0"/>
    <c:plotArea>
      <c:layout/>
      <c:barChart>
        <c:barDir val="col"/>
        <c:grouping val="clustered"/>
        <c:varyColors val="0"/>
        <c:ser>
          <c:idx val="0"/>
          <c:order val="0"/>
          <c:tx>
            <c:strRef>
              <c:f>Sheet2!$B$57</c:f>
              <c:strCache>
                <c:ptCount val="1"/>
                <c:pt idx="0">
                  <c:v>WTE Per 100,000 population 0-18 year olds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Pt>
            <c:idx val="1"/>
            <c:invertIfNegative val="0"/>
            <c:bubble3D val="0"/>
            <c:spPr>
              <a:solidFill>
                <a:srgbClr val="FF0000"/>
              </a:solidFill>
              <a:ln w="9525" cap="flat" cmpd="sng" algn="ctr">
                <a:solidFill>
                  <a:schemeClr val="accent1">
                    <a:shade val="95000"/>
                  </a:schemeClr>
                </a:solidFill>
                <a:round/>
              </a:ln>
              <a:effectLst/>
            </c:spPr>
            <c:extLst>
              <c:ext xmlns:c16="http://schemas.microsoft.com/office/drawing/2014/chart" uri="{C3380CC4-5D6E-409C-BE32-E72D297353CC}">
                <c16:uniqueId val="{00000001-B5C9-45C0-A276-C66913C37C5E}"/>
              </c:ext>
            </c:extLst>
          </c:dPt>
          <c:dPt>
            <c:idx val="9"/>
            <c:invertIfNegative val="0"/>
            <c:bubble3D val="0"/>
            <c:spPr>
              <a:solidFill>
                <a:srgbClr val="FF0000"/>
              </a:solidFill>
              <a:ln w="9525" cap="flat" cmpd="sng" algn="ctr">
                <a:solidFill>
                  <a:schemeClr val="accent1">
                    <a:shade val="95000"/>
                  </a:schemeClr>
                </a:solidFill>
                <a:round/>
              </a:ln>
              <a:effectLst/>
            </c:spPr>
            <c:extLst>
              <c:ext xmlns:c16="http://schemas.microsoft.com/office/drawing/2014/chart" uri="{C3380CC4-5D6E-409C-BE32-E72D297353CC}">
                <c16:uniqueId val="{00000003-B5C9-45C0-A276-C66913C37C5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Sheet2!$A$58:$A$72</c:f>
              <c:strCache>
                <c:ptCount val="15"/>
                <c:pt idx="0">
                  <c:v>NHS Orkney</c:v>
                </c:pt>
                <c:pt idx="1">
                  <c:v>NHS Grampian</c:v>
                </c:pt>
                <c:pt idx="2">
                  <c:v>NHS Fife</c:v>
                </c:pt>
                <c:pt idx="3">
                  <c:v>NHS Highland</c:v>
                </c:pt>
                <c:pt idx="4">
                  <c:v>NHS Forth Valley</c:v>
                </c:pt>
                <c:pt idx="5">
                  <c:v>NHS Shetland</c:v>
                </c:pt>
                <c:pt idx="6">
                  <c:v>NHS Lanarkshire</c:v>
                </c:pt>
                <c:pt idx="7">
                  <c:v>NHS Ayrshire &amp; Arran</c:v>
                </c:pt>
                <c:pt idx="8">
                  <c:v>NHS Borders</c:v>
                </c:pt>
                <c:pt idx="9">
                  <c:v>Scotland</c:v>
                </c:pt>
                <c:pt idx="10">
                  <c:v>NHS Western Isles</c:v>
                </c:pt>
                <c:pt idx="11">
                  <c:v>NHS Dumfries &amp; Galloway</c:v>
                </c:pt>
                <c:pt idx="12">
                  <c:v>NHS Lothian</c:v>
                </c:pt>
                <c:pt idx="13">
                  <c:v>NHS Greater Glasgow &amp; Clyde</c:v>
                </c:pt>
                <c:pt idx="14">
                  <c:v>NHS Tayside</c:v>
                </c:pt>
              </c:strCache>
            </c:strRef>
          </c:cat>
          <c:val>
            <c:numRef>
              <c:f>Sheet2!$B$58:$B$72</c:f>
              <c:numCache>
                <c:formatCode>0</c:formatCode>
                <c:ptCount val="15"/>
                <c:pt idx="0">
                  <c:v>23.860653781913623</c:v>
                </c:pt>
                <c:pt idx="1">
                  <c:v>45.952943443988936</c:v>
                </c:pt>
                <c:pt idx="2">
                  <c:v>63.348607649098732</c:v>
                </c:pt>
                <c:pt idx="3">
                  <c:v>67.956698049529408</c:v>
                </c:pt>
                <c:pt idx="4">
                  <c:v>69.908768784824318</c:v>
                </c:pt>
                <c:pt idx="5">
                  <c:v>72.278073460805587</c:v>
                </c:pt>
                <c:pt idx="6">
                  <c:v>78.156762634141728</c:v>
                </c:pt>
                <c:pt idx="7">
                  <c:v>78.575418370310786</c:v>
                </c:pt>
                <c:pt idx="8">
                  <c:v>81.082272066275948</c:v>
                </c:pt>
                <c:pt idx="9">
                  <c:v>92.787908171856586</c:v>
                </c:pt>
                <c:pt idx="10">
                  <c:v>97.63718023823472</c:v>
                </c:pt>
                <c:pt idx="11">
                  <c:v>113.79533298066184</c:v>
                </c:pt>
                <c:pt idx="12">
                  <c:v>117.33287590189232</c:v>
                </c:pt>
                <c:pt idx="13">
                  <c:v>120.76956728611799</c:v>
                </c:pt>
                <c:pt idx="14">
                  <c:v>131.74706374618378</c:v>
                </c:pt>
              </c:numCache>
            </c:numRef>
          </c:val>
          <c:extLst>
            <c:ext xmlns:c16="http://schemas.microsoft.com/office/drawing/2014/chart" uri="{C3380CC4-5D6E-409C-BE32-E72D297353CC}">
              <c16:uniqueId val="{00000004-B5C9-45C0-A276-C66913C37C5E}"/>
            </c:ext>
          </c:extLst>
        </c:ser>
        <c:dLbls>
          <c:dLblPos val="outEnd"/>
          <c:showLegendKey val="0"/>
          <c:showVal val="1"/>
          <c:showCatName val="0"/>
          <c:showSerName val="0"/>
          <c:showPercent val="0"/>
          <c:showBubbleSize val="0"/>
        </c:dLbls>
        <c:gapWidth val="100"/>
        <c:overlap val="-24"/>
        <c:axId val="686635488"/>
        <c:axId val="686636144"/>
      </c:barChart>
      <c:catAx>
        <c:axId val="686635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50000"/>
                    <a:lumOff val="50000"/>
                  </a:schemeClr>
                </a:solidFill>
                <a:latin typeface="+mn-lt"/>
                <a:ea typeface="+mn-ea"/>
                <a:cs typeface="+mn-cs"/>
              </a:defRPr>
            </a:pPr>
            <a:endParaRPr lang="en-US"/>
          </a:p>
        </c:txPr>
        <c:crossAx val="686636144"/>
        <c:crosses val="autoZero"/>
        <c:auto val="1"/>
        <c:lblAlgn val="ctr"/>
        <c:lblOffset val="100"/>
        <c:noMultiLvlLbl val="0"/>
      </c:catAx>
      <c:valAx>
        <c:axId val="686636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cap="all" baseline="0">
                    <a:solidFill>
                      <a:schemeClr val="tx1">
                        <a:lumMod val="50000"/>
                        <a:lumOff val="50000"/>
                      </a:schemeClr>
                    </a:solidFill>
                    <a:latin typeface="+mn-lt"/>
                    <a:ea typeface="+mn-ea"/>
                    <a:cs typeface="+mn-cs"/>
                  </a:defRPr>
                </a:pPr>
                <a:r>
                  <a:rPr lang="en-US" sz="800"/>
                  <a:t>WTE per 100,000 0-18 year-olds</a:t>
                </a:r>
              </a:p>
            </c:rich>
          </c:tx>
          <c:overlay val="0"/>
          <c:spPr>
            <a:noFill/>
            <a:ln>
              <a:noFill/>
            </a:ln>
            <a:effectLst/>
          </c:spPr>
          <c:txPr>
            <a:bodyPr rot="-5400000" spcFirstLastPara="1" vertOverflow="ellipsis" vert="horz" wrap="square" anchor="ctr" anchorCtr="1"/>
            <a:lstStyle/>
            <a:p>
              <a:pPr>
                <a:defRPr sz="800" b="0" i="0" u="none" strike="noStrike" kern="1200" cap="all" baseline="0">
                  <a:solidFill>
                    <a:schemeClr val="tx1">
                      <a:lumMod val="50000"/>
                      <a:lumOff val="50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en-US"/>
          </a:p>
        </c:txPr>
        <c:crossAx val="686635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200"/>
              <a:t>Attendance rate by secondary school, Aberdeen</a:t>
            </a:r>
            <a:r>
              <a:rPr lang="en-GB" sz="1200" baseline="0"/>
              <a:t> City, 2016/17</a:t>
            </a:r>
            <a:endParaRPr lang="en-GB" sz="1200"/>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4"/>
            <c:invertIfNegative val="0"/>
            <c:bubble3D val="0"/>
            <c:spPr>
              <a:solidFill>
                <a:schemeClr val="accent2"/>
              </a:solidFill>
              <a:ln>
                <a:noFill/>
              </a:ln>
              <a:effectLst/>
            </c:spPr>
            <c:extLst>
              <c:ext xmlns:c16="http://schemas.microsoft.com/office/drawing/2014/chart" uri="{C3380CC4-5D6E-409C-BE32-E72D297353CC}">
                <c16:uniqueId val="{00000001-3C79-41C2-B527-8C9539022C0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'Attendance secondary'!$B$19:$B$31</c:f>
              <c:strCache>
                <c:ptCount val="13"/>
                <c:pt idx="0">
                  <c:v>Northfield Academy</c:v>
                </c:pt>
                <c:pt idx="1">
                  <c:v>Torry Academy</c:v>
                </c:pt>
                <c:pt idx="2">
                  <c:v>St Machar Academy</c:v>
                </c:pt>
                <c:pt idx="3">
                  <c:v>Harlaw Academy</c:v>
                </c:pt>
                <c:pt idx="4">
                  <c:v>Aberdeen City</c:v>
                </c:pt>
                <c:pt idx="5">
                  <c:v>Bridge Of Don Academy</c:v>
                </c:pt>
                <c:pt idx="6">
                  <c:v>Hazlehead Academy</c:v>
                </c:pt>
                <c:pt idx="7">
                  <c:v>Bucksburn Academy</c:v>
                </c:pt>
                <c:pt idx="8">
                  <c:v>Kincorth Academy</c:v>
                </c:pt>
                <c:pt idx="9">
                  <c:v>Dyce Academy</c:v>
                </c:pt>
                <c:pt idx="10">
                  <c:v>Oldmachar Academy</c:v>
                </c:pt>
                <c:pt idx="11">
                  <c:v>Aberdeen Grammar School</c:v>
                </c:pt>
                <c:pt idx="12">
                  <c:v>Cults Academy</c:v>
                </c:pt>
              </c:strCache>
            </c:strRef>
          </c:cat>
          <c:val>
            <c:numRef>
              <c:f>'Attendance secondary'!$C$19:$C$31</c:f>
              <c:numCache>
                <c:formatCode>0.0%</c:formatCode>
                <c:ptCount val="13"/>
                <c:pt idx="0">
                  <c:v>0.86880586039144703</c:v>
                </c:pt>
                <c:pt idx="1">
                  <c:v>0.8730542483322129</c:v>
                </c:pt>
                <c:pt idx="2">
                  <c:v>0.89057659772697462</c:v>
                </c:pt>
                <c:pt idx="3">
                  <c:v>0.89088041253649941</c:v>
                </c:pt>
                <c:pt idx="4">
                  <c:v>0.91900000000000004</c:v>
                </c:pt>
                <c:pt idx="5">
                  <c:v>0.92142602929607009</c:v>
                </c:pt>
                <c:pt idx="6">
                  <c:v>0.92230904087180676</c:v>
                </c:pt>
                <c:pt idx="7">
                  <c:v>0.92472589319214571</c:v>
                </c:pt>
                <c:pt idx="8">
                  <c:v>0.92642274790152213</c:v>
                </c:pt>
                <c:pt idx="9">
                  <c:v>0.93628702544847731</c:v>
                </c:pt>
                <c:pt idx="10">
                  <c:v>0.93647651348636807</c:v>
                </c:pt>
                <c:pt idx="11">
                  <c:v>0.94165220960184115</c:v>
                </c:pt>
                <c:pt idx="12">
                  <c:v>0.95421259047477336</c:v>
                </c:pt>
              </c:numCache>
            </c:numRef>
          </c:val>
          <c:extLst>
            <c:ext xmlns:c16="http://schemas.microsoft.com/office/drawing/2014/chart" uri="{C3380CC4-5D6E-409C-BE32-E72D297353CC}">
              <c16:uniqueId val="{00000002-3C79-41C2-B527-8C9539022C0F}"/>
            </c:ext>
          </c:extLst>
        </c:ser>
        <c:dLbls>
          <c:dLblPos val="outEnd"/>
          <c:showLegendKey val="0"/>
          <c:showVal val="1"/>
          <c:showCatName val="0"/>
          <c:showSerName val="0"/>
          <c:showPercent val="0"/>
          <c:showBubbleSize val="0"/>
        </c:dLbls>
        <c:gapWidth val="100"/>
        <c:overlap val="-24"/>
        <c:axId val="752185008"/>
        <c:axId val="752186648"/>
      </c:barChart>
      <c:catAx>
        <c:axId val="7521850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crossAx val="752186648"/>
        <c:crosses val="autoZero"/>
        <c:auto val="1"/>
        <c:lblAlgn val="ctr"/>
        <c:lblOffset val="100"/>
        <c:noMultiLvlLbl val="0"/>
      </c:catAx>
      <c:valAx>
        <c:axId val="752186648"/>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52185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100" b="1"/>
              <a:t>Percentage of S3 pupils achieving Forth Level by SIMD quintile, Aberdeen City,</a:t>
            </a:r>
            <a:r>
              <a:rPr lang="en-GB" sz="1100" b="1" baseline="0"/>
              <a:t> 2016/17</a:t>
            </a:r>
            <a:endParaRPr lang="en-GB" sz="11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Attainment2!$A$63</c:f>
              <c:strCache>
                <c:ptCount val="1"/>
                <c:pt idx="0">
                  <c:v>SIMD Quintile 1 - Most Deprived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Attainment2!$B$62:$E$62</c:f>
              <c:strCache>
                <c:ptCount val="4"/>
                <c:pt idx="0">
                  <c:v>Reading</c:v>
                </c:pt>
                <c:pt idx="1">
                  <c:v>Writing</c:v>
                </c:pt>
                <c:pt idx="2">
                  <c:v>Listening &amp; Talking</c:v>
                </c:pt>
                <c:pt idx="3">
                  <c:v>Numeracy</c:v>
                </c:pt>
              </c:strCache>
            </c:strRef>
          </c:cat>
          <c:val>
            <c:numRef>
              <c:f>Attainment2!$B$63:$E$63</c:f>
              <c:numCache>
                <c:formatCode>0%</c:formatCode>
                <c:ptCount val="4"/>
                <c:pt idx="0">
                  <c:v>0.24607329842931938</c:v>
                </c:pt>
                <c:pt idx="1">
                  <c:v>0.21465968586387438</c:v>
                </c:pt>
                <c:pt idx="2">
                  <c:v>0.23036649214659685</c:v>
                </c:pt>
                <c:pt idx="3">
                  <c:v>0.31746031746031744</c:v>
                </c:pt>
              </c:numCache>
            </c:numRef>
          </c:val>
          <c:extLst>
            <c:ext xmlns:c16="http://schemas.microsoft.com/office/drawing/2014/chart" uri="{C3380CC4-5D6E-409C-BE32-E72D297353CC}">
              <c16:uniqueId val="{00000000-61E7-43D8-B3A6-6DF62F1ECF35}"/>
            </c:ext>
          </c:extLst>
        </c:ser>
        <c:ser>
          <c:idx val="1"/>
          <c:order val="1"/>
          <c:tx>
            <c:strRef>
              <c:f>Attainment2!$A$64</c:f>
              <c:strCache>
                <c:ptCount val="1"/>
                <c:pt idx="0">
                  <c:v>SIMD Quintile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Attainment2!$B$62:$E$62</c:f>
              <c:strCache>
                <c:ptCount val="4"/>
                <c:pt idx="0">
                  <c:v>Reading</c:v>
                </c:pt>
                <c:pt idx="1">
                  <c:v>Writing</c:v>
                </c:pt>
                <c:pt idx="2">
                  <c:v>Listening &amp; Talking</c:v>
                </c:pt>
                <c:pt idx="3">
                  <c:v>Numeracy</c:v>
                </c:pt>
              </c:strCache>
            </c:strRef>
          </c:cat>
          <c:val>
            <c:numRef>
              <c:f>Attainment2!$B$64:$E$64</c:f>
              <c:numCache>
                <c:formatCode>0%</c:formatCode>
                <c:ptCount val="4"/>
                <c:pt idx="0">
                  <c:v>0.26358695652173914</c:v>
                </c:pt>
                <c:pt idx="1">
                  <c:v>0.2391304347826087</c:v>
                </c:pt>
                <c:pt idx="2">
                  <c:v>0.28532608695652173</c:v>
                </c:pt>
                <c:pt idx="3">
                  <c:v>0.31780821917808222</c:v>
                </c:pt>
              </c:numCache>
            </c:numRef>
          </c:val>
          <c:extLst>
            <c:ext xmlns:c16="http://schemas.microsoft.com/office/drawing/2014/chart" uri="{C3380CC4-5D6E-409C-BE32-E72D297353CC}">
              <c16:uniqueId val="{00000001-61E7-43D8-B3A6-6DF62F1ECF35}"/>
            </c:ext>
          </c:extLst>
        </c:ser>
        <c:ser>
          <c:idx val="2"/>
          <c:order val="2"/>
          <c:tx>
            <c:strRef>
              <c:f>Attainment2!$A$65</c:f>
              <c:strCache>
                <c:ptCount val="1"/>
                <c:pt idx="0">
                  <c:v>SIMD Quintile 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Attainment2!$B$62:$E$62</c:f>
              <c:strCache>
                <c:ptCount val="4"/>
                <c:pt idx="0">
                  <c:v>Reading</c:v>
                </c:pt>
                <c:pt idx="1">
                  <c:v>Writing</c:v>
                </c:pt>
                <c:pt idx="2">
                  <c:v>Listening &amp; Talking</c:v>
                </c:pt>
                <c:pt idx="3">
                  <c:v>Numeracy</c:v>
                </c:pt>
              </c:strCache>
            </c:strRef>
          </c:cat>
          <c:val>
            <c:numRef>
              <c:f>Attainment2!$B$65:$E$65</c:f>
              <c:numCache>
                <c:formatCode>0%</c:formatCode>
                <c:ptCount val="4"/>
                <c:pt idx="0">
                  <c:v>0.43502824858757061</c:v>
                </c:pt>
                <c:pt idx="1">
                  <c:v>0.39548022598870053</c:v>
                </c:pt>
                <c:pt idx="2">
                  <c:v>0.41807909604519772</c:v>
                </c:pt>
                <c:pt idx="3">
                  <c:v>0.398876404494382</c:v>
                </c:pt>
              </c:numCache>
            </c:numRef>
          </c:val>
          <c:extLst>
            <c:ext xmlns:c16="http://schemas.microsoft.com/office/drawing/2014/chart" uri="{C3380CC4-5D6E-409C-BE32-E72D297353CC}">
              <c16:uniqueId val="{00000002-61E7-43D8-B3A6-6DF62F1ECF35}"/>
            </c:ext>
          </c:extLst>
        </c:ser>
        <c:ser>
          <c:idx val="3"/>
          <c:order val="3"/>
          <c:tx>
            <c:strRef>
              <c:f>Attainment2!$A$66</c:f>
              <c:strCache>
                <c:ptCount val="1"/>
                <c:pt idx="0">
                  <c:v>SIMD Quintile 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Attainment2!$B$62:$E$62</c:f>
              <c:strCache>
                <c:ptCount val="4"/>
                <c:pt idx="0">
                  <c:v>Reading</c:v>
                </c:pt>
                <c:pt idx="1">
                  <c:v>Writing</c:v>
                </c:pt>
                <c:pt idx="2">
                  <c:v>Listening &amp; Talking</c:v>
                </c:pt>
                <c:pt idx="3">
                  <c:v>Numeracy</c:v>
                </c:pt>
              </c:strCache>
            </c:strRef>
          </c:cat>
          <c:val>
            <c:numRef>
              <c:f>Attainment2!$B$66:$E$66</c:f>
              <c:numCache>
                <c:formatCode>0%</c:formatCode>
                <c:ptCount val="4"/>
                <c:pt idx="0">
                  <c:v>0.52919708029197077</c:v>
                </c:pt>
                <c:pt idx="1">
                  <c:v>0.51094890510948909</c:v>
                </c:pt>
                <c:pt idx="2">
                  <c:v>0.48175182481751827</c:v>
                </c:pt>
                <c:pt idx="3">
                  <c:v>0.57818181818181813</c:v>
                </c:pt>
              </c:numCache>
            </c:numRef>
          </c:val>
          <c:extLst>
            <c:ext xmlns:c16="http://schemas.microsoft.com/office/drawing/2014/chart" uri="{C3380CC4-5D6E-409C-BE32-E72D297353CC}">
              <c16:uniqueId val="{00000003-61E7-43D8-B3A6-6DF62F1ECF35}"/>
            </c:ext>
          </c:extLst>
        </c:ser>
        <c:ser>
          <c:idx val="4"/>
          <c:order val="4"/>
          <c:tx>
            <c:strRef>
              <c:f>Attainment2!$A$67</c:f>
              <c:strCache>
                <c:ptCount val="1"/>
                <c:pt idx="0">
                  <c:v>SIMD Quintile 5 - Least Deprived</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Attainment2!$B$62:$E$62</c:f>
              <c:strCache>
                <c:ptCount val="4"/>
                <c:pt idx="0">
                  <c:v>Reading</c:v>
                </c:pt>
                <c:pt idx="1">
                  <c:v>Writing</c:v>
                </c:pt>
                <c:pt idx="2">
                  <c:v>Listening &amp; Talking</c:v>
                </c:pt>
                <c:pt idx="3">
                  <c:v>Numeracy</c:v>
                </c:pt>
              </c:strCache>
            </c:strRef>
          </c:cat>
          <c:val>
            <c:numRef>
              <c:f>Attainment2!$B$67:$E$67</c:f>
              <c:numCache>
                <c:formatCode>0%</c:formatCode>
                <c:ptCount val="4"/>
                <c:pt idx="0">
                  <c:v>0.72340425531914898</c:v>
                </c:pt>
                <c:pt idx="1">
                  <c:v>0.71453900709219853</c:v>
                </c:pt>
                <c:pt idx="2">
                  <c:v>0.71099290780141844</c:v>
                </c:pt>
                <c:pt idx="3">
                  <c:v>0.72791519434628971</c:v>
                </c:pt>
              </c:numCache>
            </c:numRef>
          </c:val>
          <c:extLst>
            <c:ext xmlns:c16="http://schemas.microsoft.com/office/drawing/2014/chart" uri="{C3380CC4-5D6E-409C-BE32-E72D297353CC}">
              <c16:uniqueId val="{00000004-61E7-43D8-B3A6-6DF62F1ECF35}"/>
            </c:ext>
          </c:extLst>
        </c:ser>
        <c:dLbls>
          <c:dLblPos val="outEnd"/>
          <c:showLegendKey val="0"/>
          <c:showVal val="1"/>
          <c:showCatName val="0"/>
          <c:showSerName val="0"/>
          <c:showPercent val="0"/>
          <c:showBubbleSize val="0"/>
        </c:dLbls>
        <c:gapWidth val="219"/>
        <c:overlap val="-27"/>
        <c:axId val="416021160"/>
        <c:axId val="416021816"/>
      </c:barChart>
      <c:catAx>
        <c:axId val="416021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6021816"/>
        <c:crosses val="autoZero"/>
        <c:auto val="1"/>
        <c:lblAlgn val="ctr"/>
        <c:lblOffset val="100"/>
        <c:noMultiLvlLbl val="0"/>
      </c:catAx>
      <c:valAx>
        <c:axId val="416021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16021160"/>
        <c:crosses val="autoZero"/>
        <c:crossBetween val="between"/>
      </c:valAx>
      <c:spPr>
        <a:noFill/>
        <a:ln>
          <a:noFill/>
        </a:ln>
        <a:effectLst/>
      </c:spPr>
    </c:plotArea>
    <c:legend>
      <c:legendPos val="b"/>
      <c:layout>
        <c:manualLayout>
          <c:xMode val="edge"/>
          <c:yMode val="edge"/>
          <c:x val="6.2376689942059138E-2"/>
          <c:y val="0.75151729629301955"/>
          <c:w val="0.87288812954984396"/>
          <c:h val="0.2150564105720297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200"/>
              <a:t>Difference</a:t>
            </a:r>
            <a:r>
              <a:rPr lang="en-GB" sz="1200" baseline="0"/>
              <a:t> in the proportion of pupils from most and least deprived quintiles achieving expected levels, Aberdeen City, 2016/17</a:t>
            </a:r>
            <a:endParaRPr lang="en-GB" sz="1200"/>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Attainment2!$V$5</c:f>
              <c:strCache>
                <c:ptCount val="1"/>
                <c:pt idx="0">
                  <c:v>Reading</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Attainment2!$U$6:$U$10</c:f>
              <c:strCache>
                <c:ptCount val="5"/>
                <c:pt idx="0">
                  <c:v>P1 Early level</c:v>
                </c:pt>
                <c:pt idx="1">
                  <c:v>P4 First level</c:v>
                </c:pt>
                <c:pt idx="2">
                  <c:v>P7 Second level</c:v>
                </c:pt>
                <c:pt idx="3">
                  <c:v>S3 Third level</c:v>
                </c:pt>
                <c:pt idx="4">
                  <c:v>S3 Forth level </c:v>
                </c:pt>
              </c:strCache>
            </c:strRef>
          </c:cat>
          <c:val>
            <c:numRef>
              <c:f>Attainment2!$V$6:$V$10</c:f>
              <c:numCache>
                <c:formatCode>0</c:formatCode>
                <c:ptCount val="5"/>
                <c:pt idx="0">
                  <c:v>19.728852525525738</c:v>
                </c:pt>
                <c:pt idx="1">
                  <c:v>20.60899374873965</c:v>
                </c:pt>
                <c:pt idx="2">
                  <c:v>30.766550522648089</c:v>
                </c:pt>
                <c:pt idx="3">
                  <c:v>28.053172923396829</c:v>
                </c:pt>
                <c:pt idx="4">
                  <c:v>47.733095688982964</c:v>
                </c:pt>
              </c:numCache>
            </c:numRef>
          </c:val>
          <c:extLst>
            <c:ext xmlns:c16="http://schemas.microsoft.com/office/drawing/2014/chart" uri="{C3380CC4-5D6E-409C-BE32-E72D297353CC}">
              <c16:uniqueId val="{00000000-9B2F-4045-8893-B0494833E5D9}"/>
            </c:ext>
          </c:extLst>
        </c:ser>
        <c:ser>
          <c:idx val="1"/>
          <c:order val="1"/>
          <c:tx>
            <c:strRef>
              <c:f>Attainment2!$W$5</c:f>
              <c:strCache>
                <c:ptCount val="1"/>
                <c:pt idx="0">
                  <c:v>Writing</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Attainment2!$U$6:$U$10</c:f>
              <c:strCache>
                <c:ptCount val="5"/>
                <c:pt idx="0">
                  <c:v>P1 Early level</c:v>
                </c:pt>
                <c:pt idx="1">
                  <c:v>P4 First level</c:v>
                </c:pt>
                <c:pt idx="2">
                  <c:v>P7 Second level</c:v>
                </c:pt>
                <c:pt idx="3">
                  <c:v>S3 Third level</c:v>
                </c:pt>
                <c:pt idx="4">
                  <c:v>S3 Forth level </c:v>
                </c:pt>
              </c:strCache>
            </c:strRef>
          </c:cat>
          <c:val>
            <c:numRef>
              <c:f>Attainment2!$W$6:$W$10</c:f>
              <c:numCache>
                <c:formatCode>0</c:formatCode>
                <c:ptCount val="5"/>
                <c:pt idx="0">
                  <c:v>17.615119345459462</c:v>
                </c:pt>
                <c:pt idx="1">
                  <c:v>23.08992562542258</c:v>
                </c:pt>
                <c:pt idx="2">
                  <c:v>29.58188153310104</c:v>
                </c:pt>
                <c:pt idx="3">
                  <c:v>30.308009357246291</c:v>
                </c:pt>
                <c:pt idx="4">
                  <c:v>49.987932122832419</c:v>
                </c:pt>
              </c:numCache>
            </c:numRef>
          </c:val>
          <c:extLst>
            <c:ext xmlns:c16="http://schemas.microsoft.com/office/drawing/2014/chart" uri="{C3380CC4-5D6E-409C-BE32-E72D297353CC}">
              <c16:uniqueId val="{00000001-9B2F-4045-8893-B0494833E5D9}"/>
            </c:ext>
          </c:extLst>
        </c:ser>
        <c:ser>
          <c:idx val="2"/>
          <c:order val="2"/>
          <c:tx>
            <c:strRef>
              <c:f>Attainment2!$X$5</c:f>
              <c:strCache>
                <c:ptCount val="1"/>
                <c:pt idx="0">
                  <c:v>Listening &amp; Talking</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Attainment2!$U$6:$U$10</c:f>
              <c:strCache>
                <c:ptCount val="5"/>
                <c:pt idx="0">
                  <c:v>P1 Early level</c:v>
                </c:pt>
                <c:pt idx="1">
                  <c:v>P4 First level</c:v>
                </c:pt>
                <c:pt idx="2">
                  <c:v>P7 Second level</c:v>
                </c:pt>
                <c:pt idx="3">
                  <c:v>S3 Third level</c:v>
                </c:pt>
                <c:pt idx="4">
                  <c:v>S3 Forth level </c:v>
                </c:pt>
              </c:strCache>
            </c:strRef>
          </c:cat>
          <c:val>
            <c:numRef>
              <c:f>Attainment2!$X$6:$X$10</c:f>
              <c:numCache>
                <c:formatCode>0</c:formatCode>
                <c:ptCount val="5"/>
                <c:pt idx="0">
                  <c:v>14.705524376225583</c:v>
                </c:pt>
                <c:pt idx="1">
                  <c:v>20.206279729072506</c:v>
                </c:pt>
                <c:pt idx="2">
                  <c:v>22.57839721254355</c:v>
                </c:pt>
                <c:pt idx="3">
                  <c:v>24.734506702313325</c:v>
                </c:pt>
                <c:pt idx="4">
                  <c:v>48.062641565482153</c:v>
                </c:pt>
              </c:numCache>
            </c:numRef>
          </c:val>
          <c:extLst>
            <c:ext xmlns:c16="http://schemas.microsoft.com/office/drawing/2014/chart" uri="{C3380CC4-5D6E-409C-BE32-E72D297353CC}">
              <c16:uniqueId val="{00000002-9B2F-4045-8893-B0494833E5D9}"/>
            </c:ext>
          </c:extLst>
        </c:ser>
        <c:ser>
          <c:idx val="3"/>
          <c:order val="3"/>
          <c:tx>
            <c:strRef>
              <c:f>Attainment2!$Y$5</c:f>
              <c:strCache>
                <c:ptCount val="1"/>
                <c:pt idx="0">
                  <c:v>Numeracy</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Attainment2!$U$6:$U$10</c:f>
              <c:strCache>
                <c:ptCount val="5"/>
                <c:pt idx="0">
                  <c:v>P1 Early level</c:v>
                </c:pt>
                <c:pt idx="1">
                  <c:v>P4 First level</c:v>
                </c:pt>
                <c:pt idx="2">
                  <c:v>P7 Second level</c:v>
                </c:pt>
                <c:pt idx="3">
                  <c:v>S3 Third level</c:v>
                </c:pt>
                <c:pt idx="4">
                  <c:v>S3 Forth level </c:v>
                </c:pt>
              </c:strCache>
            </c:strRef>
          </c:cat>
          <c:val>
            <c:numRef>
              <c:f>Attainment2!$Y$6:$Y$10</c:f>
              <c:numCache>
                <c:formatCode>0</c:formatCode>
                <c:ptCount val="5"/>
                <c:pt idx="0">
                  <c:v>15.076746230306298</c:v>
                </c:pt>
                <c:pt idx="1">
                  <c:v>17.667092379736047</c:v>
                </c:pt>
                <c:pt idx="2">
                  <c:v>23.135888501742158</c:v>
                </c:pt>
                <c:pt idx="3">
                  <c:v>33.678276964496042</c:v>
                </c:pt>
                <c:pt idx="4">
                  <c:v>41.04548768859722</c:v>
                </c:pt>
              </c:numCache>
            </c:numRef>
          </c:val>
          <c:extLst>
            <c:ext xmlns:c16="http://schemas.microsoft.com/office/drawing/2014/chart" uri="{C3380CC4-5D6E-409C-BE32-E72D297353CC}">
              <c16:uniqueId val="{00000003-9B2F-4045-8893-B0494833E5D9}"/>
            </c:ext>
          </c:extLst>
        </c:ser>
        <c:dLbls>
          <c:dLblPos val="outEnd"/>
          <c:showLegendKey val="0"/>
          <c:showVal val="1"/>
          <c:showCatName val="0"/>
          <c:showSerName val="0"/>
          <c:showPercent val="0"/>
          <c:showBubbleSize val="0"/>
        </c:dLbls>
        <c:gapWidth val="100"/>
        <c:overlap val="-24"/>
        <c:axId val="834082856"/>
        <c:axId val="834088104"/>
      </c:barChart>
      <c:catAx>
        <c:axId val="83408285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834088104"/>
        <c:crosses val="autoZero"/>
        <c:auto val="1"/>
        <c:lblAlgn val="ctr"/>
        <c:lblOffset val="100"/>
        <c:noMultiLvlLbl val="0"/>
      </c:catAx>
      <c:valAx>
        <c:axId val="834088104"/>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834082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100" b="1"/>
              <a:t>Participation rate by local authority, Scotland, 2017</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Participation!$B$1</c:f>
              <c:strCache>
                <c:ptCount val="1"/>
                <c:pt idx="0">
                  <c:v>% Participating (16-19)</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5"/>
            <c:invertIfNegative val="0"/>
            <c:bubble3D val="0"/>
            <c:spPr>
              <a:solidFill>
                <a:srgbClr val="FF0000"/>
              </a:solidFill>
              <a:ln>
                <a:noFill/>
              </a:ln>
              <a:effectLst/>
            </c:spPr>
            <c:extLst>
              <c:ext xmlns:c16="http://schemas.microsoft.com/office/drawing/2014/chart" uri="{C3380CC4-5D6E-409C-BE32-E72D297353CC}">
                <c16:uniqueId val="{00000001-A358-4261-925A-BB03654291D1}"/>
              </c:ext>
            </c:extLst>
          </c:dPt>
          <c:dPt>
            <c:idx val="14"/>
            <c:invertIfNegative val="0"/>
            <c:bubble3D val="0"/>
            <c:spPr>
              <a:solidFill>
                <a:srgbClr val="FF0000"/>
              </a:solidFill>
              <a:ln>
                <a:noFill/>
              </a:ln>
              <a:effectLst/>
            </c:spPr>
            <c:extLst>
              <c:ext xmlns:c16="http://schemas.microsoft.com/office/drawing/2014/chart" uri="{C3380CC4-5D6E-409C-BE32-E72D297353CC}">
                <c16:uniqueId val="{00000003-A358-4261-925A-BB03654291D1}"/>
              </c:ext>
            </c:extLst>
          </c:dPt>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358-4261-925A-BB03654291D1}"/>
                </c:ext>
              </c:extLst>
            </c:dLbl>
            <c:dLbl>
              <c:idx val="5"/>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358-4261-925A-BB03654291D1}"/>
                </c:ext>
              </c:extLst>
            </c:dLbl>
            <c:dLbl>
              <c:idx val="14"/>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358-4261-925A-BB03654291D1}"/>
                </c:ext>
              </c:extLst>
            </c:dLbl>
            <c:dLbl>
              <c:idx val="32"/>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358-4261-925A-BB03654291D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Participation!$A$2:$A$34</c:f>
              <c:strCache>
                <c:ptCount val="33"/>
                <c:pt idx="0">
                  <c:v>Dundee City</c:v>
                </c:pt>
                <c:pt idx="1">
                  <c:v>East Ayrshire</c:v>
                </c:pt>
                <c:pt idx="2">
                  <c:v>Glasgow City</c:v>
                </c:pt>
                <c:pt idx="3">
                  <c:v>West Dunbartonshire</c:v>
                </c:pt>
                <c:pt idx="4">
                  <c:v>Fife</c:v>
                </c:pt>
                <c:pt idx="5">
                  <c:v>Aberdeen City</c:v>
                </c:pt>
                <c:pt idx="6">
                  <c:v>Clackmannanshire</c:v>
                </c:pt>
                <c:pt idx="7">
                  <c:v>Moray</c:v>
                </c:pt>
                <c:pt idx="8">
                  <c:v>North Lanarkshire</c:v>
                </c:pt>
                <c:pt idx="9">
                  <c:v>North Ayrshire</c:v>
                </c:pt>
                <c:pt idx="10">
                  <c:v>Edinburgh City</c:v>
                </c:pt>
                <c:pt idx="11">
                  <c:v>West Lothian</c:v>
                </c:pt>
                <c:pt idx="12">
                  <c:v>Falkirk</c:v>
                </c:pt>
                <c:pt idx="13">
                  <c:v>South Ayrshire</c:v>
                </c:pt>
                <c:pt idx="14">
                  <c:v> Scotland </c:v>
                </c:pt>
                <c:pt idx="15">
                  <c:v>South Lanarkshire</c:v>
                </c:pt>
                <c:pt idx="16">
                  <c:v>Renfrewshire</c:v>
                </c:pt>
                <c:pt idx="17">
                  <c:v>Angus</c:v>
                </c:pt>
                <c:pt idx="18">
                  <c:v>Inverclyde</c:v>
                </c:pt>
                <c:pt idx="19">
                  <c:v>Dumfries &amp; Galloway</c:v>
                </c:pt>
                <c:pt idx="20">
                  <c:v>Scottish Borders</c:v>
                </c:pt>
                <c:pt idx="21">
                  <c:v>Argyll &amp; Bute</c:v>
                </c:pt>
                <c:pt idx="22">
                  <c:v>Highland</c:v>
                </c:pt>
                <c:pt idx="23">
                  <c:v>East Lothian</c:v>
                </c:pt>
                <c:pt idx="24">
                  <c:v>Perth &amp; Kinross</c:v>
                </c:pt>
                <c:pt idx="25">
                  <c:v>Aberdeenshire</c:v>
                </c:pt>
                <c:pt idx="26">
                  <c:v>Midlothian</c:v>
                </c:pt>
                <c:pt idx="27">
                  <c:v>Orkney Islands</c:v>
                </c:pt>
                <c:pt idx="28">
                  <c:v>Stirling</c:v>
                </c:pt>
                <c:pt idx="29">
                  <c:v>East Dunbartonshire</c:v>
                </c:pt>
                <c:pt idx="30">
                  <c:v>Shetland Islands</c:v>
                </c:pt>
                <c:pt idx="31">
                  <c:v>East Renfrewshire</c:v>
                </c:pt>
                <c:pt idx="32">
                  <c:v>Eilean Siar</c:v>
                </c:pt>
              </c:strCache>
            </c:strRef>
          </c:cat>
          <c:val>
            <c:numRef>
              <c:f>Participation!$B$2:$B$34</c:f>
              <c:numCache>
                <c:formatCode>0.0%</c:formatCode>
                <c:ptCount val="33"/>
                <c:pt idx="0">
                  <c:v>0.87599999999999989</c:v>
                </c:pt>
                <c:pt idx="1">
                  <c:v>0.88099999999999989</c:v>
                </c:pt>
                <c:pt idx="2">
                  <c:v>0.88200000000000001</c:v>
                </c:pt>
                <c:pt idx="3">
                  <c:v>0.88300000000000001</c:v>
                </c:pt>
                <c:pt idx="4">
                  <c:v>0.88700000000000001</c:v>
                </c:pt>
                <c:pt idx="5">
                  <c:v>0.89400000000000002</c:v>
                </c:pt>
                <c:pt idx="6">
                  <c:v>0.89700000000000002</c:v>
                </c:pt>
                <c:pt idx="7">
                  <c:v>0.89800000000000002</c:v>
                </c:pt>
                <c:pt idx="8">
                  <c:v>0.90200000000000002</c:v>
                </c:pt>
                <c:pt idx="9">
                  <c:v>0.90300000000000002</c:v>
                </c:pt>
                <c:pt idx="10">
                  <c:v>0.90799999999999992</c:v>
                </c:pt>
                <c:pt idx="11">
                  <c:v>0.90799999999999992</c:v>
                </c:pt>
                <c:pt idx="12">
                  <c:v>0.91099999999999992</c:v>
                </c:pt>
                <c:pt idx="13">
                  <c:v>0.91099999999999992</c:v>
                </c:pt>
                <c:pt idx="14">
                  <c:v>0.91099999999999992</c:v>
                </c:pt>
                <c:pt idx="15">
                  <c:v>0.91200000000000003</c:v>
                </c:pt>
                <c:pt idx="16">
                  <c:v>0.91400000000000003</c:v>
                </c:pt>
                <c:pt idx="17">
                  <c:v>0.91900000000000004</c:v>
                </c:pt>
                <c:pt idx="18">
                  <c:v>0.91900000000000004</c:v>
                </c:pt>
                <c:pt idx="19">
                  <c:v>0.92500000000000004</c:v>
                </c:pt>
                <c:pt idx="20">
                  <c:v>0.92500000000000004</c:v>
                </c:pt>
                <c:pt idx="21">
                  <c:v>0.93</c:v>
                </c:pt>
                <c:pt idx="22">
                  <c:v>0.93</c:v>
                </c:pt>
                <c:pt idx="23">
                  <c:v>0.93099999999999994</c:v>
                </c:pt>
                <c:pt idx="24">
                  <c:v>0.93099999999999994</c:v>
                </c:pt>
                <c:pt idx="25">
                  <c:v>0.93500000000000005</c:v>
                </c:pt>
                <c:pt idx="26">
                  <c:v>0.93599999999999994</c:v>
                </c:pt>
                <c:pt idx="27">
                  <c:v>0.93799999999999994</c:v>
                </c:pt>
                <c:pt idx="28">
                  <c:v>0.94299999999999995</c:v>
                </c:pt>
                <c:pt idx="29">
                  <c:v>0.96</c:v>
                </c:pt>
                <c:pt idx="30">
                  <c:v>0.96099999999999997</c:v>
                </c:pt>
                <c:pt idx="31">
                  <c:v>0.96200000000000008</c:v>
                </c:pt>
                <c:pt idx="32">
                  <c:v>0.96900000000000008</c:v>
                </c:pt>
              </c:numCache>
            </c:numRef>
          </c:val>
          <c:extLst>
            <c:ext xmlns:c16="http://schemas.microsoft.com/office/drawing/2014/chart" uri="{C3380CC4-5D6E-409C-BE32-E72D297353CC}">
              <c16:uniqueId val="{00000006-A358-4261-925A-BB03654291D1}"/>
            </c:ext>
          </c:extLst>
        </c:ser>
        <c:dLbls>
          <c:showLegendKey val="0"/>
          <c:showVal val="0"/>
          <c:showCatName val="0"/>
          <c:showSerName val="0"/>
          <c:showPercent val="0"/>
          <c:showBubbleSize val="0"/>
        </c:dLbls>
        <c:gapWidth val="100"/>
        <c:overlap val="-24"/>
        <c:axId val="714471952"/>
        <c:axId val="714473264"/>
      </c:barChart>
      <c:catAx>
        <c:axId val="7144719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crossAx val="714473264"/>
        <c:crosses val="autoZero"/>
        <c:auto val="1"/>
        <c:lblAlgn val="ctr"/>
        <c:lblOffset val="100"/>
        <c:noMultiLvlLbl val="0"/>
      </c:catAx>
      <c:valAx>
        <c:axId val="714473264"/>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144719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100" b="0"/>
              <a:t>Participation by SIMD (2016) deciles, Scotland, 2017</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stacked"/>
        <c:varyColors val="0"/>
        <c:ser>
          <c:idx val="0"/>
          <c:order val="0"/>
          <c:tx>
            <c:strRef>
              <c:f>Participation!$B$85</c:f>
              <c:strCache>
                <c:ptCount val="1"/>
                <c:pt idx="0">
                  <c:v>School Pupil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Participation!$C$84:$L$84</c:f>
              <c:strCache>
                <c:ptCount val="10"/>
                <c:pt idx="0">
                  <c:v>SIMD Decile 1 (most deprived)</c:v>
                </c:pt>
                <c:pt idx="1">
                  <c:v>2</c:v>
                </c:pt>
                <c:pt idx="2">
                  <c:v>3</c:v>
                </c:pt>
                <c:pt idx="3">
                  <c:v>4</c:v>
                </c:pt>
                <c:pt idx="4">
                  <c:v>5</c:v>
                </c:pt>
                <c:pt idx="5">
                  <c:v>6</c:v>
                </c:pt>
                <c:pt idx="6">
                  <c:v>7</c:v>
                </c:pt>
                <c:pt idx="7">
                  <c:v>8</c:v>
                </c:pt>
                <c:pt idx="8">
                  <c:v>9</c:v>
                </c:pt>
                <c:pt idx="9">
                  <c:v>SIMD Decile 10 (least deprived)</c:v>
                </c:pt>
              </c:strCache>
            </c:strRef>
          </c:cat>
          <c:val>
            <c:numRef>
              <c:f>Participation!$C$85:$L$85</c:f>
              <c:numCache>
                <c:formatCode>General</c:formatCode>
                <c:ptCount val="10"/>
                <c:pt idx="0">
                  <c:v>35.5</c:v>
                </c:pt>
                <c:pt idx="1">
                  <c:v>36.799999999999997</c:v>
                </c:pt>
                <c:pt idx="2">
                  <c:v>37.1</c:v>
                </c:pt>
                <c:pt idx="3">
                  <c:v>39.1</c:v>
                </c:pt>
                <c:pt idx="4">
                  <c:v>40.700000000000003</c:v>
                </c:pt>
                <c:pt idx="5">
                  <c:v>42</c:v>
                </c:pt>
                <c:pt idx="6">
                  <c:v>42.9</c:v>
                </c:pt>
                <c:pt idx="7">
                  <c:v>44.2</c:v>
                </c:pt>
                <c:pt idx="8">
                  <c:v>45.8</c:v>
                </c:pt>
                <c:pt idx="9">
                  <c:v>47.4</c:v>
                </c:pt>
              </c:numCache>
            </c:numRef>
          </c:val>
          <c:extLst>
            <c:ext xmlns:c16="http://schemas.microsoft.com/office/drawing/2014/chart" uri="{C3380CC4-5D6E-409C-BE32-E72D297353CC}">
              <c16:uniqueId val="{00000000-4532-41A6-B247-7FB266A1067B}"/>
            </c:ext>
          </c:extLst>
        </c:ser>
        <c:ser>
          <c:idx val="1"/>
          <c:order val="1"/>
          <c:tx>
            <c:strRef>
              <c:f>Participation!$B$86</c:f>
              <c:strCache>
                <c:ptCount val="1"/>
                <c:pt idx="0">
                  <c:v>Higher Education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Participation!$C$84:$L$84</c:f>
              <c:strCache>
                <c:ptCount val="10"/>
                <c:pt idx="0">
                  <c:v>SIMD Decile 1 (most deprived)</c:v>
                </c:pt>
                <c:pt idx="1">
                  <c:v>2</c:v>
                </c:pt>
                <c:pt idx="2">
                  <c:v>3</c:v>
                </c:pt>
                <c:pt idx="3">
                  <c:v>4</c:v>
                </c:pt>
                <c:pt idx="4">
                  <c:v>5</c:v>
                </c:pt>
                <c:pt idx="5">
                  <c:v>6</c:v>
                </c:pt>
                <c:pt idx="6">
                  <c:v>7</c:v>
                </c:pt>
                <c:pt idx="7">
                  <c:v>8</c:v>
                </c:pt>
                <c:pt idx="8">
                  <c:v>9</c:v>
                </c:pt>
                <c:pt idx="9">
                  <c:v>SIMD Decile 10 (least deprived)</c:v>
                </c:pt>
              </c:strCache>
            </c:strRef>
          </c:cat>
          <c:val>
            <c:numRef>
              <c:f>Participation!$C$86:$L$86</c:f>
              <c:numCache>
                <c:formatCode>General</c:formatCode>
                <c:ptCount val="10"/>
                <c:pt idx="0">
                  <c:v>10.5</c:v>
                </c:pt>
                <c:pt idx="1">
                  <c:v>12.6</c:v>
                </c:pt>
                <c:pt idx="2">
                  <c:v>14.2</c:v>
                </c:pt>
                <c:pt idx="3">
                  <c:v>16.3</c:v>
                </c:pt>
                <c:pt idx="4">
                  <c:v>18.3</c:v>
                </c:pt>
                <c:pt idx="5">
                  <c:v>20.100000000000001</c:v>
                </c:pt>
                <c:pt idx="6">
                  <c:v>21.7</c:v>
                </c:pt>
                <c:pt idx="7">
                  <c:v>24.5</c:v>
                </c:pt>
                <c:pt idx="8">
                  <c:v>27.7</c:v>
                </c:pt>
                <c:pt idx="9">
                  <c:v>30.5</c:v>
                </c:pt>
              </c:numCache>
            </c:numRef>
          </c:val>
          <c:extLst>
            <c:ext xmlns:c16="http://schemas.microsoft.com/office/drawing/2014/chart" uri="{C3380CC4-5D6E-409C-BE32-E72D297353CC}">
              <c16:uniqueId val="{00000001-4532-41A6-B247-7FB266A1067B}"/>
            </c:ext>
          </c:extLst>
        </c:ser>
        <c:ser>
          <c:idx val="2"/>
          <c:order val="2"/>
          <c:tx>
            <c:strRef>
              <c:f>Participation!$B$87</c:f>
              <c:strCache>
                <c:ptCount val="1"/>
                <c:pt idx="0">
                  <c:v>Further Education</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Participation!$C$84:$L$84</c:f>
              <c:strCache>
                <c:ptCount val="10"/>
                <c:pt idx="0">
                  <c:v>SIMD Decile 1 (most deprived)</c:v>
                </c:pt>
                <c:pt idx="1">
                  <c:v>2</c:v>
                </c:pt>
                <c:pt idx="2">
                  <c:v>3</c:v>
                </c:pt>
                <c:pt idx="3">
                  <c:v>4</c:v>
                </c:pt>
                <c:pt idx="4">
                  <c:v>5</c:v>
                </c:pt>
                <c:pt idx="5">
                  <c:v>6</c:v>
                </c:pt>
                <c:pt idx="6">
                  <c:v>7</c:v>
                </c:pt>
                <c:pt idx="7">
                  <c:v>8</c:v>
                </c:pt>
                <c:pt idx="8">
                  <c:v>9</c:v>
                </c:pt>
                <c:pt idx="9">
                  <c:v>SIMD Decile 10 (least deprived)</c:v>
                </c:pt>
              </c:strCache>
            </c:strRef>
          </c:cat>
          <c:val>
            <c:numRef>
              <c:f>Participation!$C$87:$L$87</c:f>
              <c:numCache>
                <c:formatCode>General</c:formatCode>
                <c:ptCount val="10"/>
                <c:pt idx="0">
                  <c:v>15.4</c:v>
                </c:pt>
                <c:pt idx="1">
                  <c:v>15.1</c:v>
                </c:pt>
                <c:pt idx="2">
                  <c:v>13.6</c:v>
                </c:pt>
                <c:pt idx="3">
                  <c:v>12.7</c:v>
                </c:pt>
                <c:pt idx="4">
                  <c:v>11.6</c:v>
                </c:pt>
                <c:pt idx="5">
                  <c:v>10.3</c:v>
                </c:pt>
                <c:pt idx="6">
                  <c:v>9.4</c:v>
                </c:pt>
                <c:pt idx="7">
                  <c:v>8.1</c:v>
                </c:pt>
                <c:pt idx="8">
                  <c:v>7.3</c:v>
                </c:pt>
                <c:pt idx="9">
                  <c:v>5.7</c:v>
                </c:pt>
              </c:numCache>
            </c:numRef>
          </c:val>
          <c:extLst>
            <c:ext xmlns:c16="http://schemas.microsoft.com/office/drawing/2014/chart" uri="{C3380CC4-5D6E-409C-BE32-E72D297353CC}">
              <c16:uniqueId val="{00000002-4532-41A6-B247-7FB266A1067B}"/>
            </c:ext>
          </c:extLst>
        </c:ser>
        <c:ser>
          <c:idx val="3"/>
          <c:order val="3"/>
          <c:tx>
            <c:strRef>
              <c:f>Participation!$B$88</c:f>
              <c:strCache>
                <c:ptCount val="1"/>
                <c:pt idx="0">
                  <c:v>Modern Apprenticeship</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Participation!$C$84:$L$84</c:f>
              <c:strCache>
                <c:ptCount val="10"/>
                <c:pt idx="0">
                  <c:v>SIMD Decile 1 (most deprived)</c:v>
                </c:pt>
                <c:pt idx="1">
                  <c:v>2</c:v>
                </c:pt>
                <c:pt idx="2">
                  <c:v>3</c:v>
                </c:pt>
                <c:pt idx="3">
                  <c:v>4</c:v>
                </c:pt>
                <c:pt idx="4">
                  <c:v>5</c:v>
                </c:pt>
                <c:pt idx="5">
                  <c:v>6</c:v>
                </c:pt>
                <c:pt idx="6">
                  <c:v>7</c:v>
                </c:pt>
                <c:pt idx="7">
                  <c:v>8</c:v>
                </c:pt>
                <c:pt idx="8">
                  <c:v>9</c:v>
                </c:pt>
                <c:pt idx="9">
                  <c:v>SIMD Decile 10 (least deprived)</c:v>
                </c:pt>
              </c:strCache>
            </c:strRef>
          </c:cat>
          <c:val>
            <c:numRef>
              <c:f>Participation!$C$88:$L$88</c:f>
              <c:numCache>
                <c:formatCode>General</c:formatCode>
                <c:ptCount val="10"/>
                <c:pt idx="0">
                  <c:v>6.3</c:v>
                </c:pt>
                <c:pt idx="1">
                  <c:v>6.5</c:v>
                </c:pt>
                <c:pt idx="2">
                  <c:v>7.2</c:v>
                </c:pt>
                <c:pt idx="3">
                  <c:v>7</c:v>
                </c:pt>
                <c:pt idx="4">
                  <c:v>6.8</c:v>
                </c:pt>
                <c:pt idx="5">
                  <c:v>6.9</c:v>
                </c:pt>
                <c:pt idx="6">
                  <c:v>6.9</c:v>
                </c:pt>
                <c:pt idx="7">
                  <c:v>6.3</c:v>
                </c:pt>
                <c:pt idx="8">
                  <c:v>5.5</c:v>
                </c:pt>
                <c:pt idx="9">
                  <c:v>4.5999999999999996</c:v>
                </c:pt>
              </c:numCache>
            </c:numRef>
          </c:val>
          <c:extLst>
            <c:ext xmlns:c16="http://schemas.microsoft.com/office/drawing/2014/chart" uri="{C3380CC4-5D6E-409C-BE32-E72D297353CC}">
              <c16:uniqueId val="{00000003-4532-41A6-B247-7FB266A1067B}"/>
            </c:ext>
          </c:extLst>
        </c:ser>
        <c:ser>
          <c:idx val="4"/>
          <c:order val="4"/>
          <c:tx>
            <c:strRef>
              <c:f>Participation!$B$89</c:f>
              <c:strCache>
                <c:ptCount val="1"/>
                <c:pt idx="0">
                  <c:v>Full-Time Employment</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strRef>
              <c:f>Participation!$C$84:$L$84</c:f>
              <c:strCache>
                <c:ptCount val="10"/>
                <c:pt idx="0">
                  <c:v>SIMD Decile 1 (most deprived)</c:v>
                </c:pt>
                <c:pt idx="1">
                  <c:v>2</c:v>
                </c:pt>
                <c:pt idx="2">
                  <c:v>3</c:v>
                </c:pt>
                <c:pt idx="3">
                  <c:v>4</c:v>
                </c:pt>
                <c:pt idx="4">
                  <c:v>5</c:v>
                </c:pt>
                <c:pt idx="5">
                  <c:v>6</c:v>
                </c:pt>
                <c:pt idx="6">
                  <c:v>7</c:v>
                </c:pt>
                <c:pt idx="7">
                  <c:v>8</c:v>
                </c:pt>
                <c:pt idx="8">
                  <c:v>9</c:v>
                </c:pt>
                <c:pt idx="9">
                  <c:v>SIMD Decile 10 (least deprived)</c:v>
                </c:pt>
              </c:strCache>
            </c:strRef>
          </c:cat>
          <c:val>
            <c:numRef>
              <c:f>Participation!$C$89:$L$89</c:f>
              <c:numCache>
                <c:formatCode>General</c:formatCode>
                <c:ptCount val="10"/>
                <c:pt idx="0">
                  <c:v>9.3000000000000007</c:v>
                </c:pt>
                <c:pt idx="1">
                  <c:v>9.9</c:v>
                </c:pt>
                <c:pt idx="2">
                  <c:v>10.8</c:v>
                </c:pt>
                <c:pt idx="3">
                  <c:v>10.9</c:v>
                </c:pt>
                <c:pt idx="4">
                  <c:v>10</c:v>
                </c:pt>
                <c:pt idx="5">
                  <c:v>10.3</c:v>
                </c:pt>
                <c:pt idx="6">
                  <c:v>9.5</c:v>
                </c:pt>
                <c:pt idx="7">
                  <c:v>8.3000000000000007</c:v>
                </c:pt>
                <c:pt idx="8">
                  <c:v>7</c:v>
                </c:pt>
                <c:pt idx="9">
                  <c:v>5.8</c:v>
                </c:pt>
              </c:numCache>
            </c:numRef>
          </c:val>
          <c:extLst>
            <c:ext xmlns:c16="http://schemas.microsoft.com/office/drawing/2014/chart" uri="{C3380CC4-5D6E-409C-BE32-E72D297353CC}">
              <c16:uniqueId val="{00000004-4532-41A6-B247-7FB266A1067B}"/>
            </c:ext>
          </c:extLst>
        </c:ser>
        <c:ser>
          <c:idx val="5"/>
          <c:order val="5"/>
          <c:tx>
            <c:strRef>
              <c:f>Participation!$B$90</c:f>
              <c:strCache>
                <c:ptCount val="1"/>
                <c:pt idx="0">
                  <c:v>Part-time Employment</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strRef>
              <c:f>Participation!$C$84:$L$84</c:f>
              <c:strCache>
                <c:ptCount val="10"/>
                <c:pt idx="0">
                  <c:v>SIMD Decile 1 (most deprived)</c:v>
                </c:pt>
                <c:pt idx="1">
                  <c:v>2</c:v>
                </c:pt>
                <c:pt idx="2">
                  <c:v>3</c:v>
                </c:pt>
                <c:pt idx="3">
                  <c:v>4</c:v>
                </c:pt>
                <c:pt idx="4">
                  <c:v>5</c:v>
                </c:pt>
                <c:pt idx="5">
                  <c:v>6</c:v>
                </c:pt>
                <c:pt idx="6">
                  <c:v>7</c:v>
                </c:pt>
                <c:pt idx="7">
                  <c:v>8</c:v>
                </c:pt>
                <c:pt idx="8">
                  <c:v>9</c:v>
                </c:pt>
                <c:pt idx="9">
                  <c:v>SIMD Decile 10 (least deprived)</c:v>
                </c:pt>
              </c:strCache>
            </c:strRef>
          </c:cat>
          <c:val>
            <c:numRef>
              <c:f>Participation!$C$90:$L$90</c:f>
              <c:numCache>
                <c:formatCode>General</c:formatCode>
                <c:ptCount val="10"/>
                <c:pt idx="0">
                  <c:v>2.2000000000000002</c:v>
                </c:pt>
                <c:pt idx="1">
                  <c:v>2.8</c:v>
                </c:pt>
                <c:pt idx="2">
                  <c:v>2.9</c:v>
                </c:pt>
                <c:pt idx="3">
                  <c:v>2.7</c:v>
                </c:pt>
                <c:pt idx="4">
                  <c:v>2.6</c:v>
                </c:pt>
                <c:pt idx="5">
                  <c:v>2.2999999999999998</c:v>
                </c:pt>
                <c:pt idx="6">
                  <c:v>2.4</c:v>
                </c:pt>
                <c:pt idx="7">
                  <c:v>2.2000000000000002</c:v>
                </c:pt>
                <c:pt idx="8">
                  <c:v>1.9</c:v>
                </c:pt>
                <c:pt idx="9">
                  <c:v>2</c:v>
                </c:pt>
              </c:numCache>
            </c:numRef>
          </c:val>
          <c:extLst>
            <c:ext xmlns:c16="http://schemas.microsoft.com/office/drawing/2014/chart" uri="{C3380CC4-5D6E-409C-BE32-E72D297353CC}">
              <c16:uniqueId val="{00000005-4532-41A6-B247-7FB266A1067B}"/>
            </c:ext>
          </c:extLst>
        </c:ser>
        <c:ser>
          <c:idx val="6"/>
          <c:order val="6"/>
          <c:tx>
            <c:strRef>
              <c:f>Participation!$B$91</c:f>
              <c:strCache>
                <c:ptCount val="1"/>
                <c:pt idx="0">
                  <c:v>Self-Employed</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cat>
            <c:strRef>
              <c:f>Participation!$C$84:$L$84</c:f>
              <c:strCache>
                <c:ptCount val="10"/>
                <c:pt idx="0">
                  <c:v>SIMD Decile 1 (most deprived)</c:v>
                </c:pt>
                <c:pt idx="1">
                  <c:v>2</c:v>
                </c:pt>
                <c:pt idx="2">
                  <c:v>3</c:v>
                </c:pt>
                <c:pt idx="3">
                  <c:v>4</c:v>
                </c:pt>
                <c:pt idx="4">
                  <c:v>5</c:v>
                </c:pt>
                <c:pt idx="5">
                  <c:v>6</c:v>
                </c:pt>
                <c:pt idx="6">
                  <c:v>7</c:v>
                </c:pt>
                <c:pt idx="7">
                  <c:v>8</c:v>
                </c:pt>
                <c:pt idx="8">
                  <c:v>9</c:v>
                </c:pt>
                <c:pt idx="9">
                  <c:v>SIMD Decile 10 (least deprived)</c:v>
                </c:pt>
              </c:strCache>
            </c:strRef>
          </c:cat>
          <c:val>
            <c:numRef>
              <c:f>Participation!$C$91:$L$91</c:f>
              <c:numCache>
                <c:formatCode>General</c:formatCode>
                <c:ptCount val="10"/>
                <c:pt idx="0">
                  <c:v>0.1</c:v>
                </c:pt>
                <c:pt idx="1">
                  <c:v>0.1</c:v>
                </c:pt>
                <c:pt idx="2">
                  <c:v>0.1</c:v>
                </c:pt>
                <c:pt idx="3">
                  <c:v>0.1</c:v>
                </c:pt>
                <c:pt idx="4">
                  <c:v>0.1</c:v>
                </c:pt>
                <c:pt idx="5">
                  <c:v>0.1</c:v>
                </c:pt>
                <c:pt idx="6">
                  <c:v>0.1</c:v>
                </c:pt>
                <c:pt idx="7">
                  <c:v>0</c:v>
                </c:pt>
                <c:pt idx="8">
                  <c:v>0</c:v>
                </c:pt>
                <c:pt idx="9">
                  <c:v>0</c:v>
                </c:pt>
              </c:numCache>
            </c:numRef>
          </c:val>
          <c:extLst>
            <c:ext xmlns:c16="http://schemas.microsoft.com/office/drawing/2014/chart" uri="{C3380CC4-5D6E-409C-BE32-E72D297353CC}">
              <c16:uniqueId val="{00000006-4532-41A6-B247-7FB266A1067B}"/>
            </c:ext>
          </c:extLst>
        </c:ser>
        <c:ser>
          <c:idx val="7"/>
          <c:order val="7"/>
          <c:tx>
            <c:strRef>
              <c:f>Participation!$B$92</c:f>
              <c:strCache>
                <c:ptCount val="1"/>
                <c:pt idx="0">
                  <c:v>Employability Fund Stages 2 - 4</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invertIfNegative val="0"/>
          <c:cat>
            <c:strRef>
              <c:f>Participation!$C$84:$L$84</c:f>
              <c:strCache>
                <c:ptCount val="10"/>
                <c:pt idx="0">
                  <c:v>SIMD Decile 1 (most deprived)</c:v>
                </c:pt>
                <c:pt idx="1">
                  <c:v>2</c:v>
                </c:pt>
                <c:pt idx="2">
                  <c:v>3</c:v>
                </c:pt>
                <c:pt idx="3">
                  <c:v>4</c:v>
                </c:pt>
                <c:pt idx="4">
                  <c:v>5</c:v>
                </c:pt>
                <c:pt idx="5">
                  <c:v>6</c:v>
                </c:pt>
                <c:pt idx="6">
                  <c:v>7</c:v>
                </c:pt>
                <c:pt idx="7">
                  <c:v>8</c:v>
                </c:pt>
                <c:pt idx="8">
                  <c:v>9</c:v>
                </c:pt>
                <c:pt idx="9">
                  <c:v>SIMD Decile 10 (least deprived)</c:v>
                </c:pt>
              </c:strCache>
            </c:strRef>
          </c:cat>
          <c:val>
            <c:numRef>
              <c:f>Participation!$C$92:$L$92</c:f>
              <c:numCache>
                <c:formatCode>General</c:formatCode>
                <c:ptCount val="10"/>
                <c:pt idx="0">
                  <c:v>1.7</c:v>
                </c:pt>
                <c:pt idx="1">
                  <c:v>1</c:v>
                </c:pt>
                <c:pt idx="2">
                  <c:v>0.9</c:v>
                </c:pt>
                <c:pt idx="3">
                  <c:v>0.7</c:v>
                </c:pt>
                <c:pt idx="4">
                  <c:v>0.5</c:v>
                </c:pt>
                <c:pt idx="5">
                  <c:v>0.4</c:v>
                </c:pt>
                <c:pt idx="6">
                  <c:v>0.3</c:v>
                </c:pt>
                <c:pt idx="7">
                  <c:v>0.3</c:v>
                </c:pt>
                <c:pt idx="8">
                  <c:v>0.2</c:v>
                </c:pt>
                <c:pt idx="9">
                  <c:v>0.1</c:v>
                </c:pt>
              </c:numCache>
            </c:numRef>
          </c:val>
          <c:extLst>
            <c:ext xmlns:c16="http://schemas.microsoft.com/office/drawing/2014/chart" uri="{C3380CC4-5D6E-409C-BE32-E72D297353CC}">
              <c16:uniqueId val="{00000007-4532-41A6-B247-7FB266A1067B}"/>
            </c:ext>
          </c:extLst>
        </c:ser>
        <c:ser>
          <c:idx val="8"/>
          <c:order val="8"/>
          <c:tx>
            <c:strRef>
              <c:f>Participation!$B$93</c:f>
              <c:strCache>
                <c:ptCount val="1"/>
                <c:pt idx="0">
                  <c:v>Activity Agreement</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invertIfNegative val="0"/>
          <c:cat>
            <c:strRef>
              <c:f>Participation!$C$84:$L$84</c:f>
              <c:strCache>
                <c:ptCount val="10"/>
                <c:pt idx="0">
                  <c:v>SIMD Decile 1 (most deprived)</c:v>
                </c:pt>
                <c:pt idx="1">
                  <c:v>2</c:v>
                </c:pt>
                <c:pt idx="2">
                  <c:v>3</c:v>
                </c:pt>
                <c:pt idx="3">
                  <c:v>4</c:v>
                </c:pt>
                <c:pt idx="4">
                  <c:v>5</c:v>
                </c:pt>
                <c:pt idx="5">
                  <c:v>6</c:v>
                </c:pt>
                <c:pt idx="6">
                  <c:v>7</c:v>
                </c:pt>
                <c:pt idx="7">
                  <c:v>8</c:v>
                </c:pt>
                <c:pt idx="8">
                  <c:v>9</c:v>
                </c:pt>
                <c:pt idx="9">
                  <c:v>SIMD Decile 10 (least deprived)</c:v>
                </c:pt>
              </c:strCache>
            </c:strRef>
          </c:cat>
          <c:val>
            <c:numRef>
              <c:f>Participation!$C$93:$L$93</c:f>
              <c:numCache>
                <c:formatCode>General</c:formatCode>
                <c:ptCount val="10"/>
                <c:pt idx="0">
                  <c:v>1.1000000000000001</c:v>
                </c:pt>
                <c:pt idx="1">
                  <c:v>0.8</c:v>
                </c:pt>
                <c:pt idx="2">
                  <c:v>0.8</c:v>
                </c:pt>
                <c:pt idx="3">
                  <c:v>0.7</c:v>
                </c:pt>
                <c:pt idx="4">
                  <c:v>0.5</c:v>
                </c:pt>
                <c:pt idx="5">
                  <c:v>0.4</c:v>
                </c:pt>
                <c:pt idx="6">
                  <c:v>0.3</c:v>
                </c:pt>
                <c:pt idx="7">
                  <c:v>0.3</c:v>
                </c:pt>
                <c:pt idx="8">
                  <c:v>0.1</c:v>
                </c:pt>
                <c:pt idx="9">
                  <c:v>0.1</c:v>
                </c:pt>
              </c:numCache>
            </c:numRef>
          </c:val>
          <c:extLst>
            <c:ext xmlns:c16="http://schemas.microsoft.com/office/drawing/2014/chart" uri="{C3380CC4-5D6E-409C-BE32-E72D297353CC}">
              <c16:uniqueId val="{00000008-4532-41A6-B247-7FB266A1067B}"/>
            </c:ext>
          </c:extLst>
        </c:ser>
        <c:ser>
          <c:idx val="9"/>
          <c:order val="9"/>
          <c:tx>
            <c:strRef>
              <c:f>Participation!$B$94</c:f>
              <c:strCache>
                <c:ptCount val="1"/>
                <c:pt idx="0">
                  <c:v>Other Formal Training</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c:spPr>
          <c:invertIfNegative val="0"/>
          <c:cat>
            <c:strRef>
              <c:f>Participation!$C$84:$L$84</c:f>
              <c:strCache>
                <c:ptCount val="10"/>
                <c:pt idx="0">
                  <c:v>SIMD Decile 1 (most deprived)</c:v>
                </c:pt>
                <c:pt idx="1">
                  <c:v>2</c:v>
                </c:pt>
                <c:pt idx="2">
                  <c:v>3</c:v>
                </c:pt>
                <c:pt idx="3">
                  <c:v>4</c:v>
                </c:pt>
                <c:pt idx="4">
                  <c:v>5</c:v>
                </c:pt>
                <c:pt idx="5">
                  <c:v>6</c:v>
                </c:pt>
                <c:pt idx="6">
                  <c:v>7</c:v>
                </c:pt>
                <c:pt idx="7">
                  <c:v>8</c:v>
                </c:pt>
                <c:pt idx="8">
                  <c:v>9</c:v>
                </c:pt>
                <c:pt idx="9">
                  <c:v>SIMD Decile 10 (least deprived)</c:v>
                </c:pt>
              </c:strCache>
            </c:strRef>
          </c:cat>
          <c:val>
            <c:numRef>
              <c:f>Participation!$C$94:$L$94</c:f>
              <c:numCache>
                <c:formatCode>General</c:formatCode>
                <c:ptCount val="10"/>
                <c:pt idx="0">
                  <c:v>0.4</c:v>
                </c:pt>
                <c:pt idx="1">
                  <c:v>0.3</c:v>
                </c:pt>
                <c:pt idx="2">
                  <c:v>0.3</c:v>
                </c:pt>
                <c:pt idx="3">
                  <c:v>0.2</c:v>
                </c:pt>
                <c:pt idx="4">
                  <c:v>0.2</c:v>
                </c:pt>
                <c:pt idx="5">
                  <c:v>0.2</c:v>
                </c:pt>
                <c:pt idx="6">
                  <c:v>0.2</c:v>
                </c:pt>
                <c:pt idx="7">
                  <c:v>0.2</c:v>
                </c:pt>
                <c:pt idx="8">
                  <c:v>0.1</c:v>
                </c:pt>
                <c:pt idx="9">
                  <c:v>0.1</c:v>
                </c:pt>
              </c:numCache>
            </c:numRef>
          </c:val>
          <c:extLst>
            <c:ext xmlns:c16="http://schemas.microsoft.com/office/drawing/2014/chart" uri="{C3380CC4-5D6E-409C-BE32-E72D297353CC}">
              <c16:uniqueId val="{00000009-4532-41A6-B247-7FB266A1067B}"/>
            </c:ext>
          </c:extLst>
        </c:ser>
        <c:ser>
          <c:idx val="10"/>
          <c:order val="10"/>
          <c:tx>
            <c:strRef>
              <c:f>Participation!$B$95</c:f>
              <c:strCache>
                <c:ptCount val="1"/>
                <c:pt idx="0">
                  <c:v>Personal / Skills Development</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c:spPr>
          <c:invertIfNegative val="0"/>
          <c:cat>
            <c:strRef>
              <c:f>Participation!$C$84:$L$84</c:f>
              <c:strCache>
                <c:ptCount val="10"/>
                <c:pt idx="0">
                  <c:v>SIMD Decile 1 (most deprived)</c:v>
                </c:pt>
                <c:pt idx="1">
                  <c:v>2</c:v>
                </c:pt>
                <c:pt idx="2">
                  <c:v>3</c:v>
                </c:pt>
                <c:pt idx="3">
                  <c:v>4</c:v>
                </c:pt>
                <c:pt idx="4">
                  <c:v>5</c:v>
                </c:pt>
                <c:pt idx="5">
                  <c:v>6</c:v>
                </c:pt>
                <c:pt idx="6">
                  <c:v>7</c:v>
                </c:pt>
                <c:pt idx="7">
                  <c:v>8</c:v>
                </c:pt>
                <c:pt idx="8">
                  <c:v>9</c:v>
                </c:pt>
                <c:pt idx="9">
                  <c:v>SIMD Decile 10 (least deprived)</c:v>
                </c:pt>
              </c:strCache>
            </c:strRef>
          </c:cat>
          <c:val>
            <c:numRef>
              <c:f>Participation!$C$95:$L$95</c:f>
              <c:numCache>
                <c:formatCode>General</c:formatCode>
                <c:ptCount val="10"/>
                <c:pt idx="0">
                  <c:v>0.5</c:v>
                </c:pt>
                <c:pt idx="1">
                  <c:v>0.4</c:v>
                </c:pt>
                <c:pt idx="2">
                  <c:v>0.3</c:v>
                </c:pt>
                <c:pt idx="3">
                  <c:v>0.2</c:v>
                </c:pt>
                <c:pt idx="4">
                  <c:v>0.2</c:v>
                </c:pt>
                <c:pt idx="5">
                  <c:v>0.2</c:v>
                </c:pt>
                <c:pt idx="6">
                  <c:v>0.2</c:v>
                </c:pt>
                <c:pt idx="7">
                  <c:v>0.2</c:v>
                </c:pt>
                <c:pt idx="8">
                  <c:v>0.1</c:v>
                </c:pt>
                <c:pt idx="9">
                  <c:v>0.2</c:v>
                </c:pt>
              </c:numCache>
            </c:numRef>
          </c:val>
          <c:extLst>
            <c:ext xmlns:c16="http://schemas.microsoft.com/office/drawing/2014/chart" uri="{C3380CC4-5D6E-409C-BE32-E72D297353CC}">
              <c16:uniqueId val="{0000000A-4532-41A6-B247-7FB266A1067B}"/>
            </c:ext>
          </c:extLst>
        </c:ser>
        <c:ser>
          <c:idx val="11"/>
          <c:order val="11"/>
          <c:tx>
            <c:strRef>
              <c:f>Participation!$B$96</c:f>
              <c:strCache>
                <c:ptCount val="1"/>
                <c:pt idx="0">
                  <c:v>Voluntary Work</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c:spPr>
          <c:invertIfNegative val="0"/>
          <c:cat>
            <c:strRef>
              <c:f>Participation!$C$84:$L$84</c:f>
              <c:strCache>
                <c:ptCount val="10"/>
                <c:pt idx="0">
                  <c:v>SIMD Decile 1 (most deprived)</c:v>
                </c:pt>
                <c:pt idx="1">
                  <c:v>2</c:v>
                </c:pt>
                <c:pt idx="2">
                  <c:v>3</c:v>
                </c:pt>
                <c:pt idx="3">
                  <c:v>4</c:v>
                </c:pt>
                <c:pt idx="4">
                  <c:v>5</c:v>
                </c:pt>
                <c:pt idx="5">
                  <c:v>6</c:v>
                </c:pt>
                <c:pt idx="6">
                  <c:v>7</c:v>
                </c:pt>
                <c:pt idx="7">
                  <c:v>8</c:v>
                </c:pt>
                <c:pt idx="8">
                  <c:v>9</c:v>
                </c:pt>
                <c:pt idx="9">
                  <c:v>SIMD Decile 10 (least deprived)</c:v>
                </c:pt>
              </c:strCache>
            </c:strRef>
          </c:cat>
          <c:val>
            <c:numRef>
              <c:f>Participation!$C$96:$L$96</c:f>
              <c:numCache>
                <c:formatCode>General</c:formatCode>
                <c:ptCount val="10"/>
                <c:pt idx="0">
                  <c:v>0.2</c:v>
                </c:pt>
                <c:pt idx="1">
                  <c:v>0.2</c:v>
                </c:pt>
                <c:pt idx="2">
                  <c:v>0.2</c:v>
                </c:pt>
                <c:pt idx="3">
                  <c:v>0.1</c:v>
                </c:pt>
                <c:pt idx="4">
                  <c:v>0.1</c:v>
                </c:pt>
                <c:pt idx="5">
                  <c:v>0.2</c:v>
                </c:pt>
                <c:pt idx="6">
                  <c:v>0.2</c:v>
                </c:pt>
                <c:pt idx="7">
                  <c:v>0.2</c:v>
                </c:pt>
                <c:pt idx="8">
                  <c:v>0.2</c:v>
                </c:pt>
                <c:pt idx="9">
                  <c:v>0.3</c:v>
                </c:pt>
              </c:numCache>
            </c:numRef>
          </c:val>
          <c:extLst>
            <c:ext xmlns:c16="http://schemas.microsoft.com/office/drawing/2014/chart" uri="{C3380CC4-5D6E-409C-BE32-E72D297353CC}">
              <c16:uniqueId val="{0000000B-4532-41A6-B247-7FB266A1067B}"/>
            </c:ext>
          </c:extLst>
        </c:ser>
        <c:dLbls>
          <c:showLegendKey val="0"/>
          <c:showVal val="0"/>
          <c:showCatName val="0"/>
          <c:showSerName val="0"/>
          <c:showPercent val="0"/>
          <c:showBubbleSize val="0"/>
        </c:dLbls>
        <c:gapWidth val="150"/>
        <c:overlap val="100"/>
        <c:axId val="751430416"/>
        <c:axId val="704804912"/>
      </c:barChart>
      <c:catAx>
        <c:axId val="75143041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crossAx val="704804912"/>
        <c:crosses val="autoZero"/>
        <c:auto val="1"/>
        <c:lblAlgn val="ctr"/>
        <c:lblOffset val="100"/>
        <c:noMultiLvlLbl val="0"/>
      </c:catAx>
      <c:valAx>
        <c:axId val="70480491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Percentage</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51430416"/>
        <c:crosses val="autoZero"/>
        <c:crossBetween val="between"/>
      </c:valAx>
      <c:spPr>
        <a:noFill/>
        <a:ln>
          <a:noFill/>
        </a:ln>
        <a:effectLst/>
      </c:spPr>
    </c:plotArea>
    <c:legend>
      <c:legendPos val="b"/>
      <c:layout>
        <c:manualLayout>
          <c:xMode val="edge"/>
          <c:yMode val="edge"/>
          <c:x val="0.10492329522325221"/>
          <c:y val="0.78561415981435034"/>
          <c:w val="0.77403932672777387"/>
          <c:h val="0.1888321774939972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200"/>
              <a:t>Percentage of babies exclusively breast-fed at 6-8 weeks, Intermediate Zones, Aberdeen City, 2014/15</a:t>
            </a:r>
            <a:r>
              <a:rPr lang="en-US" sz="1200" baseline="0"/>
              <a:t> to 2016/17</a:t>
            </a:r>
            <a:endParaRPr lang="en-US" sz="1200"/>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21"/>
            <c:invertIfNegative val="0"/>
            <c:bubble3D val="0"/>
            <c:spPr>
              <a:solidFill>
                <a:schemeClr val="accent2"/>
              </a:solidFill>
              <a:ln>
                <a:noFill/>
              </a:ln>
              <a:effectLst/>
            </c:spPr>
            <c:extLst>
              <c:ext xmlns:c16="http://schemas.microsoft.com/office/drawing/2014/chart" uri="{C3380CC4-5D6E-409C-BE32-E72D297353CC}">
                <c16:uniqueId val="{00000001-A745-4066-8A78-E1C2230AA659}"/>
              </c:ext>
            </c:extLst>
          </c:dPt>
          <c:cat>
            <c:strRef>
              <c:f>rank_chart!$M$5:$M$54</c:f>
              <c:strCache>
                <c:ptCount val="50"/>
                <c:pt idx="0">
                  <c:v>Sheddocksley</c:v>
                </c:pt>
                <c:pt idx="1">
                  <c:v>Northfield</c:v>
                </c:pt>
                <c:pt idx="2">
                  <c:v>Mastrick</c:v>
                </c:pt>
                <c:pt idx="3">
                  <c:v>Cummings Park</c:v>
                </c:pt>
                <c:pt idx="4">
                  <c:v>Torry East</c:v>
                </c:pt>
                <c:pt idx="5">
                  <c:v>Heathryfold and Middlefield</c:v>
                </c:pt>
                <c:pt idx="6">
                  <c:v>Tillydrone</c:v>
                </c:pt>
                <c:pt idx="7">
                  <c:v>Kincorth, Leggart and Nigg South</c:v>
                </c:pt>
                <c:pt idx="8">
                  <c:v>Garthdee</c:v>
                </c:pt>
                <c:pt idx="9">
                  <c:v>Woodside (Aberdeen City)</c:v>
                </c:pt>
                <c:pt idx="10">
                  <c:v>Bucksburn North</c:v>
                </c:pt>
                <c:pt idx="11">
                  <c:v>Stockethill</c:v>
                </c:pt>
                <c:pt idx="12">
                  <c:v>Danestone</c:v>
                </c:pt>
                <c:pt idx="13">
                  <c:v>Cove South</c:v>
                </c:pt>
                <c:pt idx="14">
                  <c:v>Old Aberdeen</c:v>
                </c:pt>
                <c:pt idx="15">
                  <c:v>Summerhill</c:v>
                </c:pt>
                <c:pt idx="16">
                  <c:v>Balgownie and Donmouth West</c:v>
                </c:pt>
                <c:pt idx="17">
                  <c:v>Cove North</c:v>
                </c:pt>
                <c:pt idx="18">
                  <c:v>Torry West</c:v>
                </c:pt>
                <c:pt idx="19">
                  <c:v>Bucksburn South</c:v>
                </c:pt>
                <c:pt idx="20">
                  <c:v>Denmore</c:v>
                </c:pt>
                <c:pt idx="21">
                  <c:v>Aberdeen City</c:v>
                </c:pt>
                <c:pt idx="22">
                  <c:v>Dyce</c:v>
                </c:pt>
                <c:pt idx="23">
                  <c:v>Seaton</c:v>
                </c:pt>
                <c:pt idx="24">
                  <c:v>Kincorth, Leggart and Nigg North</c:v>
                </c:pt>
                <c:pt idx="25">
                  <c:v>Balgownie and Donmouth East</c:v>
                </c:pt>
                <c:pt idx="26">
                  <c:v>Hazlehead</c:v>
                </c:pt>
                <c:pt idx="27">
                  <c:v>Hanover South</c:v>
                </c:pt>
                <c:pt idx="28">
                  <c:v>Oldmachar East</c:v>
                </c:pt>
                <c:pt idx="29">
                  <c:v>Oldmachar West</c:v>
                </c:pt>
                <c:pt idx="30">
                  <c:v>Kingswells</c:v>
                </c:pt>
                <c:pt idx="31">
                  <c:v>Braeside, Mannofield, Broomhill and Seafield East</c:v>
                </c:pt>
                <c:pt idx="32">
                  <c:v>George Street</c:v>
                </c:pt>
                <c:pt idx="33">
                  <c:v>Hilton</c:v>
                </c:pt>
                <c:pt idx="34">
                  <c:v>Rosemount</c:v>
                </c:pt>
                <c:pt idx="35">
                  <c:v>Culter</c:v>
                </c:pt>
                <c:pt idx="36">
                  <c:v>Ferryhill South</c:v>
                </c:pt>
                <c:pt idx="37">
                  <c:v>Midstocket</c:v>
                </c:pt>
                <c:pt idx="38">
                  <c:v>Froghall, Powis and Sunnybank</c:v>
                </c:pt>
                <c:pt idx="39">
                  <c:v>Braeside, Mannofield, Broomhill and Seafield South</c:v>
                </c:pt>
                <c:pt idx="40">
                  <c:v>City Centre East (Aberdeen City)</c:v>
                </c:pt>
                <c:pt idx="41">
                  <c:v>Hanover North</c:v>
                </c:pt>
                <c:pt idx="42">
                  <c:v>Braeside, Mannofield, Broomhill and Seafield North</c:v>
                </c:pt>
                <c:pt idx="43">
                  <c:v>Ashgrove</c:v>
                </c:pt>
                <c:pt idx="44">
                  <c:v>City Centre West (Aberdeen City)</c:v>
                </c:pt>
                <c:pt idx="45">
                  <c:v>Ferryhill North</c:v>
                </c:pt>
                <c:pt idx="46">
                  <c:v>Cults, Bieldside and Milltimber East</c:v>
                </c:pt>
                <c:pt idx="47">
                  <c:v>West End South</c:v>
                </c:pt>
                <c:pt idx="48">
                  <c:v>Cults, Bieldside and Milltimber West</c:v>
                </c:pt>
                <c:pt idx="49">
                  <c:v>West End North</c:v>
                </c:pt>
              </c:strCache>
            </c:strRef>
          </c:cat>
          <c:val>
            <c:numRef>
              <c:f>rank_chart!$N$5:$N$54</c:f>
              <c:numCache>
                <c:formatCode>0.0%</c:formatCode>
                <c:ptCount val="50"/>
                <c:pt idx="0">
                  <c:v>0.16</c:v>
                </c:pt>
                <c:pt idx="1">
                  <c:v>0.19553072625698298</c:v>
                </c:pt>
                <c:pt idx="2">
                  <c:v>0.210045662100457</c:v>
                </c:pt>
                <c:pt idx="3">
                  <c:v>0.22131147540983601</c:v>
                </c:pt>
                <c:pt idx="4">
                  <c:v>0.22842639593908601</c:v>
                </c:pt>
                <c:pt idx="5">
                  <c:v>0.231182795698925</c:v>
                </c:pt>
                <c:pt idx="6">
                  <c:v>0.240131578947368</c:v>
                </c:pt>
                <c:pt idx="7">
                  <c:v>0.25925925925925897</c:v>
                </c:pt>
                <c:pt idx="8">
                  <c:v>0.26168224299065401</c:v>
                </c:pt>
                <c:pt idx="9">
                  <c:v>0.28220858895705503</c:v>
                </c:pt>
                <c:pt idx="10">
                  <c:v>0.28358208955223901</c:v>
                </c:pt>
                <c:pt idx="11">
                  <c:v>0.28488372093023301</c:v>
                </c:pt>
                <c:pt idx="12">
                  <c:v>0.28703703703703698</c:v>
                </c:pt>
                <c:pt idx="13">
                  <c:v>0.3</c:v>
                </c:pt>
                <c:pt idx="14">
                  <c:v>0.30434782608695599</c:v>
                </c:pt>
                <c:pt idx="15">
                  <c:v>0.30841121495327101</c:v>
                </c:pt>
                <c:pt idx="16">
                  <c:v>0.32183908045977</c:v>
                </c:pt>
                <c:pt idx="17">
                  <c:v>0.33057851239669395</c:v>
                </c:pt>
                <c:pt idx="18">
                  <c:v>0.33944954128440402</c:v>
                </c:pt>
                <c:pt idx="19">
                  <c:v>0.34459459459459502</c:v>
                </c:pt>
                <c:pt idx="20">
                  <c:v>0.35714285714285698</c:v>
                </c:pt>
                <c:pt idx="21">
                  <c:v>0.36799999999999999</c:v>
                </c:pt>
                <c:pt idx="22">
                  <c:v>0.36936936936936904</c:v>
                </c:pt>
                <c:pt idx="23">
                  <c:v>0.38016528925619802</c:v>
                </c:pt>
                <c:pt idx="24">
                  <c:v>0.39534883720930203</c:v>
                </c:pt>
                <c:pt idx="25">
                  <c:v>0.39534883720930203</c:v>
                </c:pt>
                <c:pt idx="26">
                  <c:v>0.39849624060150396</c:v>
                </c:pt>
                <c:pt idx="27">
                  <c:v>0.40659340659340698</c:v>
                </c:pt>
                <c:pt idx="28">
                  <c:v>0.407407407407407</c:v>
                </c:pt>
                <c:pt idx="29">
                  <c:v>0.41044776119402998</c:v>
                </c:pt>
                <c:pt idx="30">
                  <c:v>0.42328042328042303</c:v>
                </c:pt>
                <c:pt idx="31">
                  <c:v>0.42399999999999999</c:v>
                </c:pt>
                <c:pt idx="32">
                  <c:v>0.42857142857142899</c:v>
                </c:pt>
                <c:pt idx="33">
                  <c:v>0.43055555555555602</c:v>
                </c:pt>
                <c:pt idx="34">
                  <c:v>0.43801652892561999</c:v>
                </c:pt>
                <c:pt idx="35">
                  <c:v>0.44247787610619499</c:v>
                </c:pt>
                <c:pt idx="36">
                  <c:v>0.46451612903225803</c:v>
                </c:pt>
                <c:pt idx="37">
                  <c:v>0.47058823529411797</c:v>
                </c:pt>
                <c:pt idx="38">
                  <c:v>0.471014492753623</c:v>
                </c:pt>
                <c:pt idx="39">
                  <c:v>0.48412698412698396</c:v>
                </c:pt>
                <c:pt idx="40">
                  <c:v>0.48571428571428599</c:v>
                </c:pt>
                <c:pt idx="41">
                  <c:v>0.49</c:v>
                </c:pt>
                <c:pt idx="42">
                  <c:v>0.49324324324324303</c:v>
                </c:pt>
                <c:pt idx="43">
                  <c:v>0.5</c:v>
                </c:pt>
                <c:pt idx="44">
                  <c:v>0.51807228915662595</c:v>
                </c:pt>
                <c:pt idx="45">
                  <c:v>0.54109589041095907</c:v>
                </c:pt>
                <c:pt idx="46">
                  <c:v>0.56153846153846099</c:v>
                </c:pt>
                <c:pt idx="47">
                  <c:v>0.57407407407407396</c:v>
                </c:pt>
                <c:pt idx="48">
                  <c:v>0.62962962962962998</c:v>
                </c:pt>
                <c:pt idx="49">
                  <c:v>0.66216216216216195</c:v>
                </c:pt>
              </c:numCache>
            </c:numRef>
          </c:val>
          <c:extLst>
            <c:ext xmlns:c16="http://schemas.microsoft.com/office/drawing/2014/chart" uri="{C3380CC4-5D6E-409C-BE32-E72D297353CC}">
              <c16:uniqueId val="{00000002-A745-4066-8A78-E1C2230AA659}"/>
            </c:ext>
          </c:extLst>
        </c:ser>
        <c:dLbls>
          <c:showLegendKey val="0"/>
          <c:showVal val="0"/>
          <c:showCatName val="0"/>
          <c:showSerName val="0"/>
          <c:showPercent val="0"/>
          <c:showBubbleSize val="0"/>
        </c:dLbls>
        <c:gapWidth val="70"/>
        <c:axId val="777912296"/>
        <c:axId val="777905080"/>
      </c:barChart>
      <c:catAx>
        <c:axId val="777912296"/>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crossAx val="777905080"/>
        <c:crosses val="autoZero"/>
        <c:auto val="1"/>
        <c:lblAlgn val="ctr"/>
        <c:lblOffset val="100"/>
        <c:tickLblSkip val="1"/>
        <c:noMultiLvlLbl val="0"/>
      </c:catAx>
      <c:valAx>
        <c:axId val="777905080"/>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77912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050" b="1"/>
              <a:t>Percentage completed primary and booster course by 24 months, Aberdeen City</a:t>
            </a:r>
            <a:r>
              <a:rPr lang="en-GB" sz="1050" b="1" baseline="0"/>
              <a:t> and Scotland, 2017</a:t>
            </a:r>
            <a:endParaRPr lang="en-GB" sz="1050" b="1"/>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Immunisations!$N$6</c:f>
              <c:strCache>
                <c:ptCount val="1"/>
                <c:pt idx="0">
                  <c:v>Aberdeen City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Immunisations!$O$5:$R$5</c:f>
              <c:strCache>
                <c:ptCount val="4"/>
                <c:pt idx="0">
                  <c:v>DTP/Pol/Hib</c:v>
                </c:pt>
                <c:pt idx="1">
                  <c:v>MMR1</c:v>
                </c:pt>
                <c:pt idx="2">
                  <c:v>Hib/MenC</c:v>
                </c:pt>
                <c:pt idx="3">
                  <c:v>PCVB</c:v>
                </c:pt>
              </c:strCache>
            </c:strRef>
          </c:cat>
          <c:val>
            <c:numRef>
              <c:f>Immunisations!$O$6:$R$6</c:f>
              <c:numCache>
                <c:formatCode>0.0%</c:formatCode>
                <c:ptCount val="4"/>
                <c:pt idx="0">
                  <c:v>0.95899999999999996</c:v>
                </c:pt>
                <c:pt idx="1">
                  <c:v>0.91100000000000003</c:v>
                </c:pt>
                <c:pt idx="2">
                  <c:v>0.90200000000000002</c:v>
                </c:pt>
                <c:pt idx="3">
                  <c:v>0.89500000000000002</c:v>
                </c:pt>
              </c:numCache>
            </c:numRef>
          </c:val>
          <c:extLst>
            <c:ext xmlns:c16="http://schemas.microsoft.com/office/drawing/2014/chart" uri="{C3380CC4-5D6E-409C-BE32-E72D297353CC}">
              <c16:uniqueId val="{00000000-FAC1-4F61-BF55-AA02A0D71B3F}"/>
            </c:ext>
          </c:extLst>
        </c:ser>
        <c:ser>
          <c:idx val="1"/>
          <c:order val="1"/>
          <c:tx>
            <c:strRef>
              <c:f>Immunisations!$N$7</c:f>
              <c:strCache>
                <c:ptCount val="1"/>
                <c:pt idx="0">
                  <c:v>Scotland</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Immunisations!$O$5:$R$5</c:f>
              <c:strCache>
                <c:ptCount val="4"/>
                <c:pt idx="0">
                  <c:v>DTP/Pol/Hib</c:v>
                </c:pt>
                <c:pt idx="1">
                  <c:v>MMR1</c:v>
                </c:pt>
                <c:pt idx="2">
                  <c:v>Hib/MenC</c:v>
                </c:pt>
                <c:pt idx="3">
                  <c:v>PCVB</c:v>
                </c:pt>
              </c:strCache>
            </c:strRef>
          </c:cat>
          <c:val>
            <c:numRef>
              <c:f>Immunisations!$O$7:$R$7</c:f>
              <c:numCache>
                <c:formatCode>0.0%</c:formatCode>
                <c:ptCount val="4"/>
                <c:pt idx="0">
                  <c:v>0.97599999999999998</c:v>
                </c:pt>
                <c:pt idx="1">
                  <c:v>0.94599999999999995</c:v>
                </c:pt>
                <c:pt idx="2">
                  <c:v>0.94799999999999995</c:v>
                </c:pt>
                <c:pt idx="3">
                  <c:v>0.94599999999999995</c:v>
                </c:pt>
              </c:numCache>
            </c:numRef>
          </c:val>
          <c:extLst>
            <c:ext xmlns:c16="http://schemas.microsoft.com/office/drawing/2014/chart" uri="{C3380CC4-5D6E-409C-BE32-E72D297353CC}">
              <c16:uniqueId val="{00000001-FAC1-4F61-BF55-AA02A0D71B3F}"/>
            </c:ext>
          </c:extLst>
        </c:ser>
        <c:dLbls>
          <c:dLblPos val="outEnd"/>
          <c:showLegendKey val="0"/>
          <c:showVal val="1"/>
          <c:showCatName val="0"/>
          <c:showSerName val="0"/>
          <c:showPercent val="0"/>
          <c:showBubbleSize val="0"/>
        </c:dLbls>
        <c:gapWidth val="100"/>
        <c:overlap val="-24"/>
        <c:axId val="640457312"/>
        <c:axId val="640463216"/>
      </c:barChart>
      <c:catAx>
        <c:axId val="64045731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40463216"/>
        <c:crosses val="autoZero"/>
        <c:auto val="1"/>
        <c:lblAlgn val="ctr"/>
        <c:lblOffset val="100"/>
        <c:noMultiLvlLbl val="0"/>
      </c:catAx>
      <c:valAx>
        <c:axId val="64046321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40457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050" b="0"/>
              <a:t>Percentage complete primary and booster course by 24 months, local authorities,</a:t>
            </a:r>
            <a:r>
              <a:rPr lang="en-GB" sz="1050" b="0" baseline="0"/>
              <a:t> Scotland, 2017</a:t>
            </a:r>
            <a:endParaRPr lang="en-GB" sz="1050" b="0"/>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Immunisations!$B$49</c:f>
              <c:strCache>
                <c:ptCount val="1"/>
                <c:pt idx="0">
                  <c:v>DTP/Pol/Hib</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Immunisations!$A$50:$A$82</c:f>
              <c:strCache>
                <c:ptCount val="33"/>
                <c:pt idx="0">
                  <c:v>Aberdeen City</c:v>
                </c:pt>
                <c:pt idx="1">
                  <c:v>Shetland Islands</c:v>
                </c:pt>
                <c:pt idx="2">
                  <c:v>Edinburgh City</c:v>
                </c:pt>
                <c:pt idx="3">
                  <c:v>Fife</c:v>
                </c:pt>
                <c:pt idx="4">
                  <c:v>East Lothian</c:v>
                </c:pt>
                <c:pt idx="5">
                  <c:v>Highland</c:v>
                </c:pt>
                <c:pt idx="6">
                  <c:v>Aberdeenshire</c:v>
                </c:pt>
                <c:pt idx="7">
                  <c:v>Glasgow City</c:v>
                </c:pt>
                <c:pt idx="8">
                  <c:v>Perth &amp; Kinross</c:v>
                </c:pt>
                <c:pt idx="9">
                  <c:v>Na h-Eileanan Siar</c:v>
                </c:pt>
                <c:pt idx="10">
                  <c:v>Argyll &amp; Bute</c:v>
                </c:pt>
                <c:pt idx="11">
                  <c:v>Moray</c:v>
                </c:pt>
                <c:pt idx="12">
                  <c:v>Dundee City</c:v>
                </c:pt>
                <c:pt idx="13">
                  <c:v>West Lothian</c:v>
                </c:pt>
                <c:pt idx="14">
                  <c:v>Falkirk</c:v>
                </c:pt>
                <c:pt idx="15">
                  <c:v>Stirling</c:v>
                </c:pt>
                <c:pt idx="16">
                  <c:v>Clackmannanshire</c:v>
                </c:pt>
                <c:pt idx="17">
                  <c:v>Midlothian</c:v>
                </c:pt>
                <c:pt idx="18">
                  <c:v>North Ayrshire</c:v>
                </c:pt>
                <c:pt idx="19">
                  <c:v>Renfrewshire</c:v>
                </c:pt>
                <c:pt idx="20">
                  <c:v>Scottish Borders</c:v>
                </c:pt>
                <c:pt idx="21">
                  <c:v>Angus</c:v>
                </c:pt>
                <c:pt idx="22">
                  <c:v>Orkney Islands</c:v>
                </c:pt>
                <c:pt idx="23">
                  <c:v>West Dunbartonshire</c:v>
                </c:pt>
                <c:pt idx="24">
                  <c:v>Inverclyde</c:v>
                </c:pt>
                <c:pt idx="25">
                  <c:v>North Lanarkshire</c:v>
                </c:pt>
                <c:pt idx="26">
                  <c:v>Dumfries &amp; Galloway</c:v>
                </c:pt>
                <c:pt idx="27">
                  <c:v>South Ayrshire</c:v>
                </c:pt>
                <c:pt idx="28">
                  <c:v>East Dunbartonshire</c:v>
                </c:pt>
                <c:pt idx="29">
                  <c:v>East Ayrshire</c:v>
                </c:pt>
                <c:pt idx="30">
                  <c:v>East Renfrewshire</c:v>
                </c:pt>
                <c:pt idx="31">
                  <c:v>South Lanarkshire</c:v>
                </c:pt>
                <c:pt idx="32">
                  <c:v>Scotland</c:v>
                </c:pt>
              </c:strCache>
            </c:strRef>
          </c:cat>
          <c:val>
            <c:numRef>
              <c:f>Immunisations!$B$50:$B$82</c:f>
              <c:numCache>
                <c:formatCode>General</c:formatCode>
                <c:ptCount val="33"/>
                <c:pt idx="0">
                  <c:v>95.9</c:v>
                </c:pt>
                <c:pt idx="1">
                  <c:v>94.5</c:v>
                </c:pt>
                <c:pt idx="2">
                  <c:v>97</c:v>
                </c:pt>
                <c:pt idx="3">
                  <c:v>97.5</c:v>
                </c:pt>
                <c:pt idx="4">
                  <c:v>96.4</c:v>
                </c:pt>
                <c:pt idx="5">
                  <c:v>96.9</c:v>
                </c:pt>
                <c:pt idx="6">
                  <c:v>97.8</c:v>
                </c:pt>
                <c:pt idx="7">
                  <c:v>96.4</c:v>
                </c:pt>
                <c:pt idx="8">
                  <c:v>98.1</c:v>
                </c:pt>
                <c:pt idx="9">
                  <c:v>98</c:v>
                </c:pt>
                <c:pt idx="10">
                  <c:v>97.4</c:v>
                </c:pt>
                <c:pt idx="11">
                  <c:v>97.6</c:v>
                </c:pt>
                <c:pt idx="12">
                  <c:v>98</c:v>
                </c:pt>
                <c:pt idx="13">
                  <c:v>98.3</c:v>
                </c:pt>
                <c:pt idx="14">
                  <c:v>97.7</c:v>
                </c:pt>
                <c:pt idx="15">
                  <c:v>97.9</c:v>
                </c:pt>
                <c:pt idx="16">
                  <c:v>98.5</c:v>
                </c:pt>
                <c:pt idx="17">
                  <c:v>97.9</c:v>
                </c:pt>
                <c:pt idx="18">
                  <c:v>98.4</c:v>
                </c:pt>
                <c:pt idx="19">
                  <c:v>98.3</c:v>
                </c:pt>
                <c:pt idx="20">
                  <c:v>97.3</c:v>
                </c:pt>
                <c:pt idx="21">
                  <c:v>98.3</c:v>
                </c:pt>
                <c:pt idx="22">
                  <c:v>97.6</c:v>
                </c:pt>
                <c:pt idx="23">
                  <c:v>98.4</c:v>
                </c:pt>
                <c:pt idx="24">
                  <c:v>98.7</c:v>
                </c:pt>
                <c:pt idx="25">
                  <c:v>98.2</c:v>
                </c:pt>
                <c:pt idx="26">
                  <c:v>98.2</c:v>
                </c:pt>
                <c:pt idx="27">
                  <c:v>99</c:v>
                </c:pt>
                <c:pt idx="28">
                  <c:v>99.4</c:v>
                </c:pt>
                <c:pt idx="29">
                  <c:v>98.7</c:v>
                </c:pt>
                <c:pt idx="30">
                  <c:v>98.8</c:v>
                </c:pt>
                <c:pt idx="31">
                  <c:v>98.8</c:v>
                </c:pt>
                <c:pt idx="32">
                  <c:v>97.6</c:v>
                </c:pt>
              </c:numCache>
            </c:numRef>
          </c:val>
          <c:extLst>
            <c:ext xmlns:c16="http://schemas.microsoft.com/office/drawing/2014/chart" uri="{C3380CC4-5D6E-409C-BE32-E72D297353CC}">
              <c16:uniqueId val="{00000000-A291-42D8-866A-2338EFF70994}"/>
            </c:ext>
          </c:extLst>
        </c:ser>
        <c:ser>
          <c:idx val="1"/>
          <c:order val="1"/>
          <c:tx>
            <c:strRef>
              <c:f>Immunisations!$C$49</c:f>
              <c:strCache>
                <c:ptCount val="1"/>
                <c:pt idx="0">
                  <c:v>MMR1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Immunisations!$A$50:$A$82</c:f>
              <c:strCache>
                <c:ptCount val="33"/>
                <c:pt idx="0">
                  <c:v>Aberdeen City</c:v>
                </c:pt>
                <c:pt idx="1">
                  <c:v>Shetland Islands</c:v>
                </c:pt>
                <c:pt idx="2">
                  <c:v>Edinburgh City</c:v>
                </c:pt>
                <c:pt idx="3">
                  <c:v>Fife</c:v>
                </c:pt>
                <c:pt idx="4">
                  <c:v>East Lothian</c:v>
                </c:pt>
                <c:pt idx="5">
                  <c:v>Highland</c:v>
                </c:pt>
                <c:pt idx="6">
                  <c:v>Aberdeenshire</c:v>
                </c:pt>
                <c:pt idx="7">
                  <c:v>Glasgow City</c:v>
                </c:pt>
                <c:pt idx="8">
                  <c:v>Perth &amp; Kinross</c:v>
                </c:pt>
                <c:pt idx="9">
                  <c:v>Na h-Eileanan Siar</c:v>
                </c:pt>
                <c:pt idx="10">
                  <c:v>Argyll &amp; Bute</c:v>
                </c:pt>
                <c:pt idx="11">
                  <c:v>Moray</c:v>
                </c:pt>
                <c:pt idx="12">
                  <c:v>Dundee City</c:v>
                </c:pt>
                <c:pt idx="13">
                  <c:v>West Lothian</c:v>
                </c:pt>
                <c:pt idx="14">
                  <c:v>Falkirk</c:v>
                </c:pt>
                <c:pt idx="15">
                  <c:v>Stirling</c:v>
                </c:pt>
                <c:pt idx="16">
                  <c:v>Clackmannanshire</c:v>
                </c:pt>
                <c:pt idx="17">
                  <c:v>Midlothian</c:v>
                </c:pt>
                <c:pt idx="18">
                  <c:v>North Ayrshire</c:v>
                </c:pt>
                <c:pt idx="19">
                  <c:v>Renfrewshire</c:v>
                </c:pt>
                <c:pt idx="20">
                  <c:v>Scottish Borders</c:v>
                </c:pt>
                <c:pt idx="21">
                  <c:v>Angus</c:v>
                </c:pt>
                <c:pt idx="22">
                  <c:v>Orkney Islands</c:v>
                </c:pt>
                <c:pt idx="23">
                  <c:v>West Dunbartonshire</c:v>
                </c:pt>
                <c:pt idx="24">
                  <c:v>Inverclyde</c:v>
                </c:pt>
                <c:pt idx="25">
                  <c:v>North Lanarkshire</c:v>
                </c:pt>
                <c:pt idx="26">
                  <c:v>Dumfries &amp; Galloway</c:v>
                </c:pt>
                <c:pt idx="27">
                  <c:v>South Ayrshire</c:v>
                </c:pt>
                <c:pt idx="28">
                  <c:v>East Dunbartonshire</c:v>
                </c:pt>
                <c:pt idx="29">
                  <c:v>East Ayrshire</c:v>
                </c:pt>
                <c:pt idx="30">
                  <c:v>East Renfrewshire</c:v>
                </c:pt>
                <c:pt idx="31">
                  <c:v>South Lanarkshire</c:v>
                </c:pt>
                <c:pt idx="32">
                  <c:v>Scotland</c:v>
                </c:pt>
              </c:strCache>
            </c:strRef>
          </c:cat>
          <c:val>
            <c:numRef>
              <c:f>Immunisations!$C$50:$C$82</c:f>
              <c:numCache>
                <c:formatCode>General</c:formatCode>
                <c:ptCount val="33"/>
                <c:pt idx="0">
                  <c:v>91.1</c:v>
                </c:pt>
                <c:pt idx="1">
                  <c:v>90.2</c:v>
                </c:pt>
                <c:pt idx="2">
                  <c:v>93.6</c:v>
                </c:pt>
                <c:pt idx="3">
                  <c:v>93.1</c:v>
                </c:pt>
                <c:pt idx="4">
                  <c:v>93.2</c:v>
                </c:pt>
                <c:pt idx="5">
                  <c:v>93.4</c:v>
                </c:pt>
                <c:pt idx="6">
                  <c:v>93.9</c:v>
                </c:pt>
                <c:pt idx="7">
                  <c:v>93.8</c:v>
                </c:pt>
                <c:pt idx="8">
                  <c:v>93.2</c:v>
                </c:pt>
                <c:pt idx="9">
                  <c:v>93.1</c:v>
                </c:pt>
                <c:pt idx="10">
                  <c:v>94.5</c:v>
                </c:pt>
                <c:pt idx="11">
                  <c:v>94.2</c:v>
                </c:pt>
                <c:pt idx="12">
                  <c:v>94.8</c:v>
                </c:pt>
                <c:pt idx="13">
                  <c:v>94.9</c:v>
                </c:pt>
                <c:pt idx="14">
                  <c:v>95</c:v>
                </c:pt>
                <c:pt idx="15">
                  <c:v>95.3</c:v>
                </c:pt>
                <c:pt idx="16">
                  <c:v>95</c:v>
                </c:pt>
                <c:pt idx="17">
                  <c:v>94.5</c:v>
                </c:pt>
                <c:pt idx="18">
                  <c:v>94.6</c:v>
                </c:pt>
                <c:pt idx="19">
                  <c:v>95.8</c:v>
                </c:pt>
                <c:pt idx="20">
                  <c:v>95.1</c:v>
                </c:pt>
                <c:pt idx="21">
                  <c:v>95.3</c:v>
                </c:pt>
                <c:pt idx="22">
                  <c:v>96.1</c:v>
                </c:pt>
                <c:pt idx="23">
                  <c:v>95.1</c:v>
                </c:pt>
                <c:pt idx="24">
                  <c:v>96.9</c:v>
                </c:pt>
                <c:pt idx="25">
                  <c:v>96.1</c:v>
                </c:pt>
                <c:pt idx="26">
                  <c:v>96.5</c:v>
                </c:pt>
                <c:pt idx="27">
                  <c:v>96.5</c:v>
                </c:pt>
                <c:pt idx="28">
                  <c:v>97.3</c:v>
                </c:pt>
                <c:pt idx="29">
                  <c:v>97.3</c:v>
                </c:pt>
                <c:pt idx="30">
                  <c:v>97.3</c:v>
                </c:pt>
                <c:pt idx="31">
                  <c:v>96.9</c:v>
                </c:pt>
                <c:pt idx="32">
                  <c:v>94.6</c:v>
                </c:pt>
              </c:numCache>
            </c:numRef>
          </c:val>
          <c:extLst>
            <c:ext xmlns:c16="http://schemas.microsoft.com/office/drawing/2014/chart" uri="{C3380CC4-5D6E-409C-BE32-E72D297353CC}">
              <c16:uniqueId val="{00000001-A291-42D8-866A-2338EFF70994}"/>
            </c:ext>
          </c:extLst>
        </c:ser>
        <c:ser>
          <c:idx val="2"/>
          <c:order val="2"/>
          <c:tx>
            <c:strRef>
              <c:f>Immunisations!$D$49</c:f>
              <c:strCache>
                <c:ptCount val="1"/>
                <c:pt idx="0">
                  <c:v>Hib/MenC</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Immunisations!$A$50:$A$82</c:f>
              <c:strCache>
                <c:ptCount val="33"/>
                <c:pt idx="0">
                  <c:v>Aberdeen City</c:v>
                </c:pt>
                <c:pt idx="1">
                  <c:v>Shetland Islands</c:v>
                </c:pt>
                <c:pt idx="2">
                  <c:v>Edinburgh City</c:v>
                </c:pt>
                <c:pt idx="3">
                  <c:v>Fife</c:v>
                </c:pt>
                <c:pt idx="4">
                  <c:v>East Lothian</c:v>
                </c:pt>
                <c:pt idx="5">
                  <c:v>Highland</c:v>
                </c:pt>
                <c:pt idx="6">
                  <c:v>Aberdeenshire</c:v>
                </c:pt>
                <c:pt idx="7">
                  <c:v>Glasgow City</c:v>
                </c:pt>
                <c:pt idx="8">
                  <c:v>Perth &amp; Kinross</c:v>
                </c:pt>
                <c:pt idx="9">
                  <c:v>Na h-Eileanan Siar</c:v>
                </c:pt>
                <c:pt idx="10">
                  <c:v>Argyll &amp; Bute</c:v>
                </c:pt>
                <c:pt idx="11">
                  <c:v>Moray</c:v>
                </c:pt>
                <c:pt idx="12">
                  <c:v>Dundee City</c:v>
                </c:pt>
                <c:pt idx="13">
                  <c:v>West Lothian</c:v>
                </c:pt>
                <c:pt idx="14">
                  <c:v>Falkirk</c:v>
                </c:pt>
                <c:pt idx="15">
                  <c:v>Stirling</c:v>
                </c:pt>
                <c:pt idx="16">
                  <c:v>Clackmannanshire</c:v>
                </c:pt>
                <c:pt idx="17">
                  <c:v>Midlothian</c:v>
                </c:pt>
                <c:pt idx="18">
                  <c:v>North Ayrshire</c:v>
                </c:pt>
                <c:pt idx="19">
                  <c:v>Renfrewshire</c:v>
                </c:pt>
                <c:pt idx="20">
                  <c:v>Scottish Borders</c:v>
                </c:pt>
                <c:pt idx="21">
                  <c:v>Angus</c:v>
                </c:pt>
                <c:pt idx="22">
                  <c:v>Orkney Islands</c:v>
                </c:pt>
                <c:pt idx="23">
                  <c:v>West Dunbartonshire</c:v>
                </c:pt>
                <c:pt idx="24">
                  <c:v>Inverclyde</c:v>
                </c:pt>
                <c:pt idx="25">
                  <c:v>North Lanarkshire</c:v>
                </c:pt>
                <c:pt idx="26">
                  <c:v>Dumfries &amp; Galloway</c:v>
                </c:pt>
                <c:pt idx="27">
                  <c:v>South Ayrshire</c:v>
                </c:pt>
                <c:pt idx="28">
                  <c:v>East Dunbartonshire</c:v>
                </c:pt>
                <c:pt idx="29">
                  <c:v>East Ayrshire</c:v>
                </c:pt>
                <c:pt idx="30">
                  <c:v>East Renfrewshire</c:v>
                </c:pt>
                <c:pt idx="31">
                  <c:v>South Lanarkshire</c:v>
                </c:pt>
                <c:pt idx="32">
                  <c:v>Scotland</c:v>
                </c:pt>
              </c:strCache>
            </c:strRef>
          </c:cat>
          <c:val>
            <c:numRef>
              <c:f>Immunisations!$D$50:$D$82</c:f>
              <c:numCache>
                <c:formatCode>General</c:formatCode>
                <c:ptCount val="33"/>
                <c:pt idx="0">
                  <c:v>90.2</c:v>
                </c:pt>
                <c:pt idx="1">
                  <c:v>91.5</c:v>
                </c:pt>
                <c:pt idx="2">
                  <c:v>93</c:v>
                </c:pt>
                <c:pt idx="3">
                  <c:v>93.4</c:v>
                </c:pt>
                <c:pt idx="4">
                  <c:v>93.1</c:v>
                </c:pt>
                <c:pt idx="5">
                  <c:v>93.4</c:v>
                </c:pt>
                <c:pt idx="6">
                  <c:v>94.1</c:v>
                </c:pt>
                <c:pt idx="7">
                  <c:v>93.7</c:v>
                </c:pt>
                <c:pt idx="8">
                  <c:v>93.8</c:v>
                </c:pt>
                <c:pt idx="9">
                  <c:v>93.5</c:v>
                </c:pt>
                <c:pt idx="10">
                  <c:v>94.9</c:v>
                </c:pt>
                <c:pt idx="11">
                  <c:v>94.7</c:v>
                </c:pt>
                <c:pt idx="12">
                  <c:v>95</c:v>
                </c:pt>
                <c:pt idx="13">
                  <c:v>95.3</c:v>
                </c:pt>
                <c:pt idx="14">
                  <c:v>95.3</c:v>
                </c:pt>
                <c:pt idx="15">
                  <c:v>95.4</c:v>
                </c:pt>
                <c:pt idx="16">
                  <c:v>95.5</c:v>
                </c:pt>
                <c:pt idx="17">
                  <c:v>95.6</c:v>
                </c:pt>
                <c:pt idx="18">
                  <c:v>95.5</c:v>
                </c:pt>
                <c:pt idx="19">
                  <c:v>95.7</c:v>
                </c:pt>
                <c:pt idx="20">
                  <c:v>95.5</c:v>
                </c:pt>
                <c:pt idx="21">
                  <c:v>95.7</c:v>
                </c:pt>
                <c:pt idx="22">
                  <c:v>95.2</c:v>
                </c:pt>
                <c:pt idx="23">
                  <c:v>96.3</c:v>
                </c:pt>
                <c:pt idx="24">
                  <c:v>97.2</c:v>
                </c:pt>
                <c:pt idx="25">
                  <c:v>97.1</c:v>
                </c:pt>
                <c:pt idx="26">
                  <c:v>96.9</c:v>
                </c:pt>
                <c:pt idx="27">
                  <c:v>97.1</c:v>
                </c:pt>
                <c:pt idx="28">
                  <c:v>97.7</c:v>
                </c:pt>
                <c:pt idx="29">
                  <c:v>97.7</c:v>
                </c:pt>
                <c:pt idx="30">
                  <c:v>97.5</c:v>
                </c:pt>
                <c:pt idx="31">
                  <c:v>98</c:v>
                </c:pt>
                <c:pt idx="32">
                  <c:v>94.8</c:v>
                </c:pt>
              </c:numCache>
            </c:numRef>
          </c:val>
          <c:extLst>
            <c:ext xmlns:c16="http://schemas.microsoft.com/office/drawing/2014/chart" uri="{C3380CC4-5D6E-409C-BE32-E72D297353CC}">
              <c16:uniqueId val="{00000002-A291-42D8-866A-2338EFF70994}"/>
            </c:ext>
          </c:extLst>
        </c:ser>
        <c:ser>
          <c:idx val="3"/>
          <c:order val="3"/>
          <c:tx>
            <c:strRef>
              <c:f>Immunisations!$E$49</c:f>
              <c:strCache>
                <c:ptCount val="1"/>
                <c:pt idx="0">
                  <c:v>PCVB</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Immunisations!$A$50:$A$82</c:f>
              <c:strCache>
                <c:ptCount val="33"/>
                <c:pt idx="0">
                  <c:v>Aberdeen City</c:v>
                </c:pt>
                <c:pt idx="1">
                  <c:v>Shetland Islands</c:v>
                </c:pt>
                <c:pt idx="2">
                  <c:v>Edinburgh City</c:v>
                </c:pt>
                <c:pt idx="3">
                  <c:v>Fife</c:v>
                </c:pt>
                <c:pt idx="4">
                  <c:v>East Lothian</c:v>
                </c:pt>
                <c:pt idx="5">
                  <c:v>Highland</c:v>
                </c:pt>
                <c:pt idx="6">
                  <c:v>Aberdeenshire</c:v>
                </c:pt>
                <c:pt idx="7">
                  <c:v>Glasgow City</c:v>
                </c:pt>
                <c:pt idx="8">
                  <c:v>Perth &amp; Kinross</c:v>
                </c:pt>
                <c:pt idx="9">
                  <c:v>Na h-Eileanan Siar</c:v>
                </c:pt>
                <c:pt idx="10">
                  <c:v>Argyll &amp; Bute</c:v>
                </c:pt>
                <c:pt idx="11">
                  <c:v>Moray</c:v>
                </c:pt>
                <c:pt idx="12">
                  <c:v>Dundee City</c:v>
                </c:pt>
                <c:pt idx="13">
                  <c:v>West Lothian</c:v>
                </c:pt>
                <c:pt idx="14">
                  <c:v>Falkirk</c:v>
                </c:pt>
                <c:pt idx="15">
                  <c:v>Stirling</c:v>
                </c:pt>
                <c:pt idx="16">
                  <c:v>Clackmannanshire</c:v>
                </c:pt>
                <c:pt idx="17">
                  <c:v>Midlothian</c:v>
                </c:pt>
                <c:pt idx="18">
                  <c:v>North Ayrshire</c:v>
                </c:pt>
                <c:pt idx="19">
                  <c:v>Renfrewshire</c:v>
                </c:pt>
                <c:pt idx="20">
                  <c:v>Scottish Borders</c:v>
                </c:pt>
                <c:pt idx="21">
                  <c:v>Angus</c:v>
                </c:pt>
                <c:pt idx="22">
                  <c:v>Orkney Islands</c:v>
                </c:pt>
                <c:pt idx="23">
                  <c:v>West Dunbartonshire</c:v>
                </c:pt>
                <c:pt idx="24">
                  <c:v>Inverclyde</c:v>
                </c:pt>
                <c:pt idx="25">
                  <c:v>North Lanarkshire</c:v>
                </c:pt>
                <c:pt idx="26">
                  <c:v>Dumfries &amp; Galloway</c:v>
                </c:pt>
                <c:pt idx="27">
                  <c:v>South Ayrshire</c:v>
                </c:pt>
                <c:pt idx="28">
                  <c:v>East Dunbartonshire</c:v>
                </c:pt>
                <c:pt idx="29">
                  <c:v>East Ayrshire</c:v>
                </c:pt>
                <c:pt idx="30">
                  <c:v>East Renfrewshire</c:v>
                </c:pt>
                <c:pt idx="31">
                  <c:v>South Lanarkshire</c:v>
                </c:pt>
                <c:pt idx="32">
                  <c:v>Scotland</c:v>
                </c:pt>
              </c:strCache>
            </c:strRef>
          </c:cat>
          <c:val>
            <c:numRef>
              <c:f>Immunisations!$E$50:$E$82</c:f>
              <c:numCache>
                <c:formatCode>General</c:formatCode>
                <c:ptCount val="33"/>
                <c:pt idx="0">
                  <c:v>89.5</c:v>
                </c:pt>
                <c:pt idx="1">
                  <c:v>91.1</c:v>
                </c:pt>
                <c:pt idx="2">
                  <c:v>92.2</c:v>
                </c:pt>
                <c:pt idx="3">
                  <c:v>93.1</c:v>
                </c:pt>
                <c:pt idx="4">
                  <c:v>93.2</c:v>
                </c:pt>
                <c:pt idx="5">
                  <c:v>93.3</c:v>
                </c:pt>
                <c:pt idx="6">
                  <c:v>93.6</c:v>
                </c:pt>
                <c:pt idx="7">
                  <c:v>93.7</c:v>
                </c:pt>
                <c:pt idx="8">
                  <c:v>93.8</c:v>
                </c:pt>
                <c:pt idx="9">
                  <c:v>94.3</c:v>
                </c:pt>
                <c:pt idx="10">
                  <c:v>94.5</c:v>
                </c:pt>
                <c:pt idx="11">
                  <c:v>94.8</c:v>
                </c:pt>
                <c:pt idx="12">
                  <c:v>94.8</c:v>
                </c:pt>
                <c:pt idx="13">
                  <c:v>95.3</c:v>
                </c:pt>
                <c:pt idx="14">
                  <c:v>95.3</c:v>
                </c:pt>
                <c:pt idx="15">
                  <c:v>95.3</c:v>
                </c:pt>
                <c:pt idx="16">
                  <c:v>95.3</c:v>
                </c:pt>
                <c:pt idx="17">
                  <c:v>95.3</c:v>
                </c:pt>
                <c:pt idx="18">
                  <c:v>95.4</c:v>
                </c:pt>
                <c:pt idx="19">
                  <c:v>95.5</c:v>
                </c:pt>
                <c:pt idx="20">
                  <c:v>95.7</c:v>
                </c:pt>
                <c:pt idx="21">
                  <c:v>95.8</c:v>
                </c:pt>
                <c:pt idx="22">
                  <c:v>96.1</c:v>
                </c:pt>
                <c:pt idx="23">
                  <c:v>96.5</c:v>
                </c:pt>
                <c:pt idx="24">
                  <c:v>96.9</c:v>
                </c:pt>
                <c:pt idx="25">
                  <c:v>97</c:v>
                </c:pt>
                <c:pt idx="26">
                  <c:v>97.2</c:v>
                </c:pt>
                <c:pt idx="27">
                  <c:v>97.3</c:v>
                </c:pt>
                <c:pt idx="28">
                  <c:v>97.3</c:v>
                </c:pt>
                <c:pt idx="29">
                  <c:v>97.5</c:v>
                </c:pt>
                <c:pt idx="30">
                  <c:v>97.6</c:v>
                </c:pt>
                <c:pt idx="31">
                  <c:v>97.9</c:v>
                </c:pt>
                <c:pt idx="32">
                  <c:v>94.6</c:v>
                </c:pt>
              </c:numCache>
            </c:numRef>
          </c:val>
          <c:extLst>
            <c:ext xmlns:c16="http://schemas.microsoft.com/office/drawing/2014/chart" uri="{C3380CC4-5D6E-409C-BE32-E72D297353CC}">
              <c16:uniqueId val="{00000003-A291-42D8-866A-2338EFF70994}"/>
            </c:ext>
          </c:extLst>
        </c:ser>
        <c:dLbls>
          <c:showLegendKey val="0"/>
          <c:showVal val="0"/>
          <c:showCatName val="0"/>
          <c:showSerName val="0"/>
          <c:showPercent val="0"/>
          <c:showBubbleSize val="0"/>
        </c:dLbls>
        <c:gapWidth val="100"/>
        <c:overlap val="-24"/>
        <c:axId val="684476440"/>
        <c:axId val="684474800"/>
      </c:barChart>
      <c:catAx>
        <c:axId val="68447644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crossAx val="684474800"/>
        <c:crosses val="autoZero"/>
        <c:auto val="1"/>
        <c:lblAlgn val="ctr"/>
        <c:lblOffset val="100"/>
        <c:noMultiLvlLbl val="0"/>
      </c:catAx>
      <c:valAx>
        <c:axId val="684474800"/>
        <c:scaling>
          <c:orientation val="minMax"/>
          <c:max val="100"/>
          <c:min val="8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Percentage</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crossAx val="684476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a:t>BMI distribution of P1 children, Aberdeen  City and Scotland, 2009/10 to 2016/17</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Sheet2!$A$51</c:f>
              <c:strCache>
                <c:ptCount val="1"/>
                <c:pt idx="0">
                  <c:v>Scotland % at risk of underweight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Sheet2!$B$50:$I$50</c:f>
              <c:strCache>
                <c:ptCount val="8"/>
                <c:pt idx="0">
                  <c:v>09/10</c:v>
                </c:pt>
                <c:pt idx="1">
                  <c:v>10/11</c:v>
                </c:pt>
                <c:pt idx="2">
                  <c:v>11/12</c:v>
                </c:pt>
                <c:pt idx="3">
                  <c:v>12/13</c:v>
                </c:pt>
                <c:pt idx="4">
                  <c:v>13/14</c:v>
                </c:pt>
                <c:pt idx="5">
                  <c:v>14/15</c:v>
                </c:pt>
                <c:pt idx="6">
                  <c:v>15/16</c:v>
                </c:pt>
                <c:pt idx="7">
                  <c:v>16/17</c:v>
                </c:pt>
              </c:strCache>
            </c:strRef>
          </c:cat>
          <c:val>
            <c:numRef>
              <c:f>Sheet2!$B$51:$I$51</c:f>
              <c:numCache>
                <c:formatCode>General</c:formatCode>
                <c:ptCount val="8"/>
                <c:pt idx="0">
                  <c:v>1.499858298271239</c:v>
                </c:pt>
                <c:pt idx="1">
                  <c:v>1.8115942028985508</c:v>
                </c:pt>
                <c:pt idx="2">
                  <c:v>1.2394172831973151</c:v>
                </c:pt>
                <c:pt idx="3">
                  <c:v>1.1521076035426849</c:v>
                </c:pt>
                <c:pt idx="4">
                  <c:v>1.0144532315244068</c:v>
                </c:pt>
                <c:pt idx="5">
                  <c:v>1.1046807891097037</c:v>
                </c:pt>
                <c:pt idx="6">
                  <c:v>1.137611945856374</c:v>
                </c:pt>
                <c:pt idx="7">
                  <c:v>0.9683867336839449</c:v>
                </c:pt>
              </c:numCache>
            </c:numRef>
          </c:val>
          <c:smooth val="0"/>
          <c:extLst>
            <c:ext xmlns:c16="http://schemas.microsoft.com/office/drawing/2014/chart" uri="{C3380CC4-5D6E-409C-BE32-E72D297353CC}">
              <c16:uniqueId val="{00000000-FAE5-4B40-BAB2-2B7CD459562F}"/>
            </c:ext>
          </c:extLst>
        </c:ser>
        <c:ser>
          <c:idx val="1"/>
          <c:order val="1"/>
          <c:tx>
            <c:strRef>
              <c:f>Sheet2!$A$52</c:f>
              <c:strCache>
                <c:ptCount val="1"/>
                <c:pt idx="0">
                  <c:v>Aberdeen % at risk of underweight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Sheet2!$B$50:$I$50</c:f>
              <c:strCache>
                <c:ptCount val="8"/>
                <c:pt idx="0">
                  <c:v>09/10</c:v>
                </c:pt>
                <c:pt idx="1">
                  <c:v>10/11</c:v>
                </c:pt>
                <c:pt idx="2">
                  <c:v>11/12</c:v>
                </c:pt>
                <c:pt idx="3">
                  <c:v>12/13</c:v>
                </c:pt>
                <c:pt idx="4">
                  <c:v>13/14</c:v>
                </c:pt>
                <c:pt idx="5">
                  <c:v>14/15</c:v>
                </c:pt>
                <c:pt idx="6">
                  <c:v>15/16</c:v>
                </c:pt>
                <c:pt idx="7">
                  <c:v>16/17</c:v>
                </c:pt>
              </c:strCache>
            </c:strRef>
          </c:cat>
          <c:val>
            <c:numRef>
              <c:f>Sheet2!$B$52:$I$52</c:f>
              <c:numCache>
                <c:formatCode>General</c:formatCode>
                <c:ptCount val="8"/>
                <c:pt idx="0">
                  <c:v>2.1192052980132452</c:v>
                </c:pt>
                <c:pt idx="1">
                  <c:v>2.3755656108597285</c:v>
                </c:pt>
                <c:pt idx="2">
                  <c:v>2.1595680863827234</c:v>
                </c:pt>
                <c:pt idx="3">
                  <c:v>1.1698880976602237</c:v>
                </c:pt>
                <c:pt idx="4">
                  <c:v>0.67010309278350511</c:v>
                </c:pt>
                <c:pt idx="5">
                  <c:v>1.1046817464492371</c:v>
                </c:pt>
                <c:pt idx="6">
                  <c:v>2.6680348896870187</c:v>
                </c:pt>
                <c:pt idx="7">
                  <c:v>0.73490813648293962</c:v>
                </c:pt>
              </c:numCache>
            </c:numRef>
          </c:val>
          <c:smooth val="0"/>
          <c:extLst>
            <c:ext xmlns:c16="http://schemas.microsoft.com/office/drawing/2014/chart" uri="{C3380CC4-5D6E-409C-BE32-E72D297353CC}">
              <c16:uniqueId val="{00000001-FAE5-4B40-BAB2-2B7CD459562F}"/>
            </c:ext>
          </c:extLst>
        </c:ser>
        <c:ser>
          <c:idx val="2"/>
          <c:order val="2"/>
          <c:tx>
            <c:strRef>
              <c:f>Sheet2!$A$53</c:f>
              <c:strCache>
                <c:ptCount val="1"/>
                <c:pt idx="0">
                  <c:v>Scotland % at risk of overweight and obesity combined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Sheet2!$B$50:$I$50</c:f>
              <c:strCache>
                <c:ptCount val="8"/>
                <c:pt idx="0">
                  <c:v>09/10</c:v>
                </c:pt>
                <c:pt idx="1">
                  <c:v>10/11</c:v>
                </c:pt>
                <c:pt idx="2">
                  <c:v>11/12</c:v>
                </c:pt>
                <c:pt idx="3">
                  <c:v>12/13</c:v>
                </c:pt>
                <c:pt idx="4">
                  <c:v>13/14</c:v>
                </c:pt>
                <c:pt idx="5">
                  <c:v>14/15</c:v>
                </c:pt>
                <c:pt idx="6">
                  <c:v>15/16</c:v>
                </c:pt>
                <c:pt idx="7">
                  <c:v>16/17</c:v>
                </c:pt>
              </c:strCache>
            </c:strRef>
          </c:cat>
          <c:val>
            <c:numRef>
              <c:f>Sheet2!$B$53:$I$53</c:f>
              <c:numCache>
                <c:formatCode>General</c:formatCode>
                <c:ptCount val="8"/>
                <c:pt idx="0">
                  <c:v>21.571363170630679</c:v>
                </c:pt>
                <c:pt idx="1">
                  <c:v>21.461920046688064</c:v>
                </c:pt>
                <c:pt idx="2">
                  <c:v>21.890016017084889</c:v>
                </c:pt>
                <c:pt idx="3">
                  <c:v>21.291022013156443</c:v>
                </c:pt>
                <c:pt idx="4">
                  <c:v>22.594309608217436</c:v>
                </c:pt>
                <c:pt idx="5">
                  <c:v>21.798791584771056</c:v>
                </c:pt>
                <c:pt idx="6">
                  <c:v>22.080098307546223</c:v>
                </c:pt>
                <c:pt idx="7">
                  <c:v>22.924954879776436</c:v>
                </c:pt>
              </c:numCache>
            </c:numRef>
          </c:val>
          <c:smooth val="0"/>
          <c:extLst>
            <c:ext xmlns:c16="http://schemas.microsoft.com/office/drawing/2014/chart" uri="{C3380CC4-5D6E-409C-BE32-E72D297353CC}">
              <c16:uniqueId val="{00000002-FAE5-4B40-BAB2-2B7CD459562F}"/>
            </c:ext>
          </c:extLst>
        </c:ser>
        <c:ser>
          <c:idx val="3"/>
          <c:order val="3"/>
          <c:tx>
            <c:strRef>
              <c:f>Sheet2!$A$54</c:f>
              <c:strCache>
                <c:ptCount val="1"/>
                <c:pt idx="0">
                  <c:v>Aberdeen% at risk of overweight and obesity combined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trendline>
            <c:spPr>
              <a:ln w="19050" cap="rnd">
                <a:solidFill>
                  <a:schemeClr val="accent4"/>
                </a:solidFill>
                <a:prstDash val="sysDot"/>
              </a:ln>
              <a:effectLst/>
            </c:spPr>
            <c:trendlineType val="linear"/>
            <c:dispRSqr val="0"/>
            <c:dispEq val="0"/>
          </c:trendline>
          <c:cat>
            <c:strRef>
              <c:f>Sheet2!$B$50:$I$50</c:f>
              <c:strCache>
                <c:ptCount val="8"/>
                <c:pt idx="0">
                  <c:v>09/10</c:v>
                </c:pt>
                <c:pt idx="1">
                  <c:v>10/11</c:v>
                </c:pt>
                <c:pt idx="2">
                  <c:v>11/12</c:v>
                </c:pt>
                <c:pt idx="3">
                  <c:v>12/13</c:v>
                </c:pt>
                <c:pt idx="4">
                  <c:v>13/14</c:v>
                </c:pt>
                <c:pt idx="5">
                  <c:v>14/15</c:v>
                </c:pt>
                <c:pt idx="6">
                  <c:v>15/16</c:v>
                </c:pt>
                <c:pt idx="7">
                  <c:v>16/17</c:v>
                </c:pt>
              </c:strCache>
            </c:strRef>
          </c:cat>
          <c:val>
            <c:numRef>
              <c:f>Sheet2!$B$54:$I$54</c:f>
              <c:numCache>
                <c:formatCode>General</c:formatCode>
                <c:ptCount val="8"/>
                <c:pt idx="0">
                  <c:v>20.52980132450331</c:v>
                </c:pt>
                <c:pt idx="1">
                  <c:v>18.156108597285066</c:v>
                </c:pt>
                <c:pt idx="2">
                  <c:v>21.775644871025797</c:v>
                </c:pt>
                <c:pt idx="3">
                  <c:v>20.396744659206512</c:v>
                </c:pt>
                <c:pt idx="4">
                  <c:v>25.257731958762886</c:v>
                </c:pt>
                <c:pt idx="5">
                  <c:v>21.725407680168331</c:v>
                </c:pt>
                <c:pt idx="6">
                  <c:v>21.087737301180091</c:v>
                </c:pt>
                <c:pt idx="7">
                  <c:v>21.889763779527559</c:v>
                </c:pt>
              </c:numCache>
            </c:numRef>
          </c:val>
          <c:smooth val="0"/>
          <c:extLst>
            <c:ext xmlns:c16="http://schemas.microsoft.com/office/drawing/2014/chart" uri="{C3380CC4-5D6E-409C-BE32-E72D297353CC}">
              <c16:uniqueId val="{00000003-FAE5-4B40-BAB2-2B7CD459562F}"/>
            </c:ext>
          </c:extLst>
        </c:ser>
        <c:dLbls>
          <c:showLegendKey val="0"/>
          <c:showVal val="0"/>
          <c:showCatName val="0"/>
          <c:showSerName val="0"/>
          <c:showPercent val="0"/>
          <c:showBubbleSize val="0"/>
        </c:dLbls>
        <c:marker val="1"/>
        <c:smooth val="0"/>
        <c:axId val="748000264"/>
        <c:axId val="748000920"/>
      </c:lineChart>
      <c:catAx>
        <c:axId val="748000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8000920"/>
        <c:crosses val="autoZero"/>
        <c:auto val="1"/>
        <c:lblAlgn val="ctr"/>
        <c:lblOffset val="100"/>
        <c:noMultiLvlLbl val="0"/>
      </c:catAx>
      <c:valAx>
        <c:axId val="748000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Percentage of P1 children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8000264"/>
        <c:crosses val="autoZero"/>
        <c:crossBetween val="between"/>
      </c:valAx>
      <c:spPr>
        <a:noFill/>
        <a:ln>
          <a:noFill/>
        </a:ln>
        <a:effectLst/>
      </c:spPr>
    </c:plotArea>
    <c:legend>
      <c:legendPos val="b"/>
      <c:layout>
        <c:manualLayout>
          <c:xMode val="edge"/>
          <c:yMode val="edge"/>
          <c:x val="9.7151793525809257E-2"/>
          <c:y val="0.73170219521578383"/>
          <c:w val="0.81402974628171487"/>
          <c:h val="0.2405198496763539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r>
              <a:rPr lang="en-US" sz="1050" b="0"/>
              <a:t>Proportion of population by age group by neighbourhood, Aberdeen City, 2016</a:t>
            </a:r>
          </a:p>
        </c:rich>
      </c:tx>
      <c:overlay val="0"/>
      <c:spPr>
        <a:noFill/>
        <a:ln>
          <a:noFill/>
        </a:ln>
        <a:effectLst/>
      </c:spPr>
      <c:txPr>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endParaRPr lang="en-US"/>
        </a:p>
      </c:txPr>
    </c:title>
    <c:autoTitleDeleted val="0"/>
    <c:plotArea>
      <c:layout/>
      <c:barChart>
        <c:barDir val="bar"/>
        <c:grouping val="stacked"/>
        <c:varyColors val="0"/>
        <c:ser>
          <c:idx val="0"/>
          <c:order val="0"/>
          <c:tx>
            <c:strRef>
              <c:f>'Population by neighbourhood'!$B$44</c:f>
              <c:strCache>
                <c:ptCount val="1"/>
                <c:pt idx="0">
                  <c:v>0-14 years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'Population by neighbourhood'!$A$45:$A$82</c:f>
              <c:strCache>
                <c:ptCount val="38"/>
                <c:pt idx="0">
                  <c:v>Hanover </c:v>
                </c:pt>
                <c:pt idx="1">
                  <c:v>City Centre </c:v>
                </c:pt>
                <c:pt idx="2">
                  <c:v>Old Aberdeen </c:v>
                </c:pt>
                <c:pt idx="3">
                  <c:v>George Street </c:v>
                </c:pt>
                <c:pt idx="4">
                  <c:v>Rosemount </c:v>
                </c:pt>
                <c:pt idx="5">
                  <c:v>Ferryhill </c:v>
                </c:pt>
                <c:pt idx="6">
                  <c:v>Froghall, Powis &amp; Sunnybank </c:v>
                </c:pt>
                <c:pt idx="7">
                  <c:v>Seaton </c:v>
                </c:pt>
                <c:pt idx="8">
                  <c:v>Danestone </c:v>
                </c:pt>
                <c:pt idx="9">
                  <c:v>Ashgrove </c:v>
                </c:pt>
                <c:pt idx="10">
                  <c:v>Garthdee </c:v>
                </c:pt>
                <c:pt idx="11">
                  <c:v>Balgownie &amp; Donmouth </c:v>
                </c:pt>
                <c:pt idx="12">
                  <c:v>Hilton </c:v>
                </c:pt>
                <c:pt idx="13">
                  <c:v>Braeside, Mannofield, Broomhill &amp; Seafield </c:v>
                </c:pt>
                <c:pt idx="14">
                  <c:v>West End </c:v>
                </c:pt>
                <c:pt idx="15">
                  <c:v>Stockethill </c:v>
                </c:pt>
                <c:pt idx="16">
                  <c:v>Aberdeen City</c:v>
                </c:pt>
                <c:pt idx="17">
                  <c:v>Dyce </c:v>
                </c:pt>
                <c:pt idx="18">
                  <c:v>Bucksburn </c:v>
                </c:pt>
                <c:pt idx="19">
                  <c:v>Oldmachar </c:v>
                </c:pt>
                <c:pt idx="20">
                  <c:v>Sheddocksley </c:v>
                </c:pt>
                <c:pt idx="21">
                  <c:v>Cove </c:v>
                </c:pt>
                <c:pt idx="22">
                  <c:v>Hazlehead </c:v>
                </c:pt>
                <c:pt idx="23">
                  <c:v>Summerhill </c:v>
                </c:pt>
                <c:pt idx="24">
                  <c:v>Culter </c:v>
                </c:pt>
                <c:pt idx="25">
                  <c:v>Kincorth, Leggart &amp; Nigg </c:v>
                </c:pt>
                <c:pt idx="26">
                  <c:v>Torry </c:v>
                </c:pt>
                <c:pt idx="27">
                  <c:v>Denmore </c:v>
                </c:pt>
                <c:pt idx="28">
                  <c:v>Midstocket </c:v>
                </c:pt>
                <c:pt idx="29">
                  <c:v>Heathryfold </c:v>
                </c:pt>
                <c:pt idx="30">
                  <c:v>Mastrick </c:v>
                </c:pt>
                <c:pt idx="31">
                  <c:v>Cults, Bieldside &amp; Milltimber </c:v>
                </c:pt>
                <c:pt idx="32">
                  <c:v>Woodside </c:v>
                </c:pt>
                <c:pt idx="33">
                  <c:v>Northfield </c:v>
                </c:pt>
                <c:pt idx="34">
                  <c:v>Tillydrone </c:v>
                </c:pt>
                <c:pt idx="35">
                  <c:v>Cummings Park </c:v>
                </c:pt>
                <c:pt idx="36">
                  <c:v>Kingswells </c:v>
                </c:pt>
                <c:pt idx="37">
                  <c:v>Middlefield </c:v>
                </c:pt>
              </c:strCache>
            </c:strRef>
          </c:cat>
          <c:val>
            <c:numRef>
              <c:f>'Population by neighbourhood'!$B$45:$B$82</c:f>
              <c:numCache>
                <c:formatCode>0%</c:formatCode>
                <c:ptCount val="38"/>
                <c:pt idx="0">
                  <c:v>6.6545123062898809E-2</c:v>
                </c:pt>
                <c:pt idx="1">
                  <c:v>7.2740740740740745E-2</c:v>
                </c:pt>
                <c:pt idx="2">
                  <c:v>7.5071933036882033E-2</c:v>
                </c:pt>
                <c:pt idx="3">
                  <c:v>7.6317968534363789E-2</c:v>
                </c:pt>
                <c:pt idx="4">
                  <c:v>9.1308398775455879E-2</c:v>
                </c:pt>
                <c:pt idx="5">
                  <c:v>0.10348605577689243</c:v>
                </c:pt>
                <c:pt idx="6">
                  <c:v>0.10634588563458856</c:v>
                </c:pt>
                <c:pt idx="7">
                  <c:v>0.10637535816618911</c:v>
                </c:pt>
                <c:pt idx="8">
                  <c:v>0.12072780919596754</c:v>
                </c:pt>
                <c:pt idx="9">
                  <c:v>0.12408491947291361</c:v>
                </c:pt>
                <c:pt idx="10">
                  <c:v>0.12969408316541492</c:v>
                </c:pt>
                <c:pt idx="11">
                  <c:v>0.12983338572775857</c:v>
                </c:pt>
                <c:pt idx="12">
                  <c:v>0.13214656964656965</c:v>
                </c:pt>
                <c:pt idx="13">
                  <c:v>0.13567876493728198</c:v>
                </c:pt>
                <c:pt idx="14">
                  <c:v>0.13949563145353455</c:v>
                </c:pt>
                <c:pt idx="15">
                  <c:v>0.1408943292530602</c:v>
                </c:pt>
                <c:pt idx="16">
                  <c:v>0.14093717368604247</c:v>
                </c:pt>
                <c:pt idx="17">
                  <c:v>0.14168979340117174</c:v>
                </c:pt>
                <c:pt idx="18">
                  <c:v>0.14406120331950206</c:v>
                </c:pt>
                <c:pt idx="19">
                  <c:v>0.14694007649808755</c:v>
                </c:pt>
                <c:pt idx="20">
                  <c:v>0.14864185110663983</c:v>
                </c:pt>
                <c:pt idx="21">
                  <c:v>0.15060240963855423</c:v>
                </c:pt>
                <c:pt idx="22">
                  <c:v>0.15110851808634773</c:v>
                </c:pt>
                <c:pt idx="23">
                  <c:v>0.15240030480060959</c:v>
                </c:pt>
                <c:pt idx="24">
                  <c:v>0.15711947626841244</c:v>
                </c:pt>
                <c:pt idx="25">
                  <c:v>0.1579772228607251</c:v>
                </c:pt>
                <c:pt idx="26">
                  <c:v>0.16901544401544402</c:v>
                </c:pt>
                <c:pt idx="27">
                  <c:v>0.16953242835595778</c:v>
                </c:pt>
                <c:pt idx="28">
                  <c:v>0.17217700915564599</c:v>
                </c:pt>
                <c:pt idx="29">
                  <c:v>0.17372473532242541</c:v>
                </c:pt>
                <c:pt idx="30">
                  <c:v>0.17429106474050293</c:v>
                </c:pt>
                <c:pt idx="31">
                  <c:v>0.17598847158425651</c:v>
                </c:pt>
                <c:pt idx="32">
                  <c:v>0.17971789883268482</c:v>
                </c:pt>
                <c:pt idx="33">
                  <c:v>0.20092336103416436</c:v>
                </c:pt>
                <c:pt idx="34">
                  <c:v>0.20369705671213209</c:v>
                </c:pt>
                <c:pt idx="35">
                  <c:v>0.20631464344039194</c:v>
                </c:pt>
                <c:pt idx="36">
                  <c:v>0.20974995502788271</c:v>
                </c:pt>
                <c:pt idx="37">
                  <c:v>0.22050754458161864</c:v>
                </c:pt>
              </c:numCache>
            </c:numRef>
          </c:val>
          <c:extLst>
            <c:ext xmlns:c16="http://schemas.microsoft.com/office/drawing/2014/chart" uri="{C3380CC4-5D6E-409C-BE32-E72D297353CC}">
              <c16:uniqueId val="{00000000-2F09-4E5C-89BA-94B20803FC3D}"/>
            </c:ext>
          </c:extLst>
        </c:ser>
        <c:ser>
          <c:idx val="1"/>
          <c:order val="1"/>
          <c:tx>
            <c:strRef>
              <c:f>'Population by neighbourhood'!$C$44</c:f>
              <c:strCache>
                <c:ptCount val="1"/>
                <c:pt idx="0">
                  <c:v>15-64 years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'Population by neighbourhood'!$A$45:$A$82</c:f>
              <c:strCache>
                <c:ptCount val="38"/>
                <c:pt idx="0">
                  <c:v>Hanover </c:v>
                </c:pt>
                <c:pt idx="1">
                  <c:v>City Centre </c:v>
                </c:pt>
                <c:pt idx="2">
                  <c:v>Old Aberdeen </c:v>
                </c:pt>
                <c:pt idx="3">
                  <c:v>George Street </c:v>
                </c:pt>
                <c:pt idx="4">
                  <c:v>Rosemount </c:v>
                </c:pt>
                <c:pt idx="5">
                  <c:v>Ferryhill </c:v>
                </c:pt>
                <c:pt idx="6">
                  <c:v>Froghall, Powis &amp; Sunnybank </c:v>
                </c:pt>
                <c:pt idx="7">
                  <c:v>Seaton </c:v>
                </c:pt>
                <c:pt idx="8">
                  <c:v>Danestone </c:v>
                </c:pt>
                <c:pt idx="9">
                  <c:v>Ashgrove </c:v>
                </c:pt>
                <c:pt idx="10">
                  <c:v>Garthdee </c:v>
                </c:pt>
                <c:pt idx="11">
                  <c:v>Balgownie &amp; Donmouth </c:v>
                </c:pt>
                <c:pt idx="12">
                  <c:v>Hilton </c:v>
                </c:pt>
                <c:pt idx="13">
                  <c:v>Braeside, Mannofield, Broomhill &amp; Seafield </c:v>
                </c:pt>
                <c:pt idx="14">
                  <c:v>West End </c:v>
                </c:pt>
                <c:pt idx="15">
                  <c:v>Stockethill </c:v>
                </c:pt>
                <c:pt idx="16">
                  <c:v>Aberdeen City</c:v>
                </c:pt>
                <c:pt idx="17">
                  <c:v>Dyce </c:v>
                </c:pt>
                <c:pt idx="18">
                  <c:v>Bucksburn </c:v>
                </c:pt>
                <c:pt idx="19">
                  <c:v>Oldmachar </c:v>
                </c:pt>
                <c:pt idx="20">
                  <c:v>Sheddocksley </c:v>
                </c:pt>
                <c:pt idx="21">
                  <c:v>Cove </c:v>
                </c:pt>
                <c:pt idx="22">
                  <c:v>Hazlehead </c:v>
                </c:pt>
                <c:pt idx="23">
                  <c:v>Summerhill </c:v>
                </c:pt>
                <c:pt idx="24">
                  <c:v>Culter </c:v>
                </c:pt>
                <c:pt idx="25">
                  <c:v>Kincorth, Leggart &amp; Nigg </c:v>
                </c:pt>
                <c:pt idx="26">
                  <c:v>Torry </c:v>
                </c:pt>
                <c:pt idx="27">
                  <c:v>Denmore </c:v>
                </c:pt>
                <c:pt idx="28">
                  <c:v>Midstocket </c:v>
                </c:pt>
                <c:pt idx="29">
                  <c:v>Heathryfold </c:v>
                </c:pt>
                <c:pt idx="30">
                  <c:v>Mastrick </c:v>
                </c:pt>
                <c:pt idx="31">
                  <c:v>Cults, Bieldside &amp; Milltimber </c:v>
                </c:pt>
                <c:pt idx="32">
                  <c:v>Woodside </c:v>
                </c:pt>
                <c:pt idx="33">
                  <c:v>Northfield </c:v>
                </c:pt>
                <c:pt idx="34">
                  <c:v>Tillydrone </c:v>
                </c:pt>
                <c:pt idx="35">
                  <c:v>Cummings Park </c:v>
                </c:pt>
                <c:pt idx="36">
                  <c:v>Kingswells </c:v>
                </c:pt>
                <c:pt idx="37">
                  <c:v>Middlefield </c:v>
                </c:pt>
              </c:strCache>
            </c:strRef>
          </c:cat>
          <c:val>
            <c:numRef>
              <c:f>'Population by neighbourhood'!$C$45:$C$82</c:f>
              <c:numCache>
                <c:formatCode>0%</c:formatCode>
                <c:ptCount val="38"/>
                <c:pt idx="0">
                  <c:v>0.86495637452793328</c:v>
                </c:pt>
                <c:pt idx="1">
                  <c:v>0.86266666666666669</c:v>
                </c:pt>
                <c:pt idx="2">
                  <c:v>0.86424274130264189</c:v>
                </c:pt>
                <c:pt idx="3">
                  <c:v>0.86047474468672369</c:v>
                </c:pt>
                <c:pt idx="4">
                  <c:v>0.82084387062425135</c:v>
                </c:pt>
                <c:pt idx="5">
                  <c:v>0.76972111553784861</c:v>
                </c:pt>
                <c:pt idx="6">
                  <c:v>0.83368200836820083</c:v>
                </c:pt>
                <c:pt idx="7">
                  <c:v>0.76181948424068768</c:v>
                </c:pt>
                <c:pt idx="8">
                  <c:v>0.67961642488320628</c:v>
                </c:pt>
                <c:pt idx="9">
                  <c:v>0.77672035139092244</c:v>
                </c:pt>
                <c:pt idx="10">
                  <c:v>0.72156072540758376</c:v>
                </c:pt>
                <c:pt idx="11">
                  <c:v>0.63690663313423457</c:v>
                </c:pt>
                <c:pt idx="12">
                  <c:v>0.69308731808731805</c:v>
                </c:pt>
                <c:pt idx="13">
                  <c:v>0.64981815482817484</c:v>
                </c:pt>
                <c:pt idx="14">
                  <c:v>0.75059571088165211</c:v>
                </c:pt>
                <c:pt idx="15">
                  <c:v>0.64476642518111416</c:v>
                </c:pt>
                <c:pt idx="16">
                  <c:v>0.70751392272885483</c:v>
                </c:pt>
                <c:pt idx="17">
                  <c:v>0.6139377119950663</c:v>
                </c:pt>
                <c:pt idx="18">
                  <c:v>0.66208506224066388</c:v>
                </c:pt>
                <c:pt idx="19">
                  <c:v>0.67881427964300889</c:v>
                </c:pt>
                <c:pt idx="20">
                  <c:v>0.62223340040241448</c:v>
                </c:pt>
                <c:pt idx="21">
                  <c:v>0.715985894798707</c:v>
                </c:pt>
                <c:pt idx="22">
                  <c:v>0.6143523920653442</c:v>
                </c:pt>
                <c:pt idx="23">
                  <c:v>0.6405892811785624</c:v>
                </c:pt>
                <c:pt idx="24">
                  <c:v>0.64791325695581015</c:v>
                </c:pt>
                <c:pt idx="25">
                  <c:v>0.66680597638700245</c:v>
                </c:pt>
                <c:pt idx="26">
                  <c:v>0.7096525096525097</c:v>
                </c:pt>
                <c:pt idx="27">
                  <c:v>0.68627450980392157</c:v>
                </c:pt>
                <c:pt idx="28">
                  <c:v>0.64623601220752802</c:v>
                </c:pt>
                <c:pt idx="29">
                  <c:v>0.67564966313763231</c:v>
                </c:pt>
                <c:pt idx="30">
                  <c:v>0.648876404494382</c:v>
                </c:pt>
                <c:pt idx="31">
                  <c:v>0.62766819778438265</c:v>
                </c:pt>
                <c:pt idx="32">
                  <c:v>0.68482490272373542</c:v>
                </c:pt>
                <c:pt idx="33">
                  <c:v>0.6701754385964912</c:v>
                </c:pt>
                <c:pt idx="34">
                  <c:v>0.69310839913854994</c:v>
                </c:pt>
                <c:pt idx="35">
                  <c:v>0.65813826891671201</c:v>
                </c:pt>
                <c:pt idx="36">
                  <c:v>0.65983090483899987</c:v>
                </c:pt>
                <c:pt idx="37">
                  <c:v>0.66632373113854593</c:v>
                </c:pt>
              </c:numCache>
            </c:numRef>
          </c:val>
          <c:extLst>
            <c:ext xmlns:c16="http://schemas.microsoft.com/office/drawing/2014/chart" uri="{C3380CC4-5D6E-409C-BE32-E72D297353CC}">
              <c16:uniqueId val="{00000001-2F09-4E5C-89BA-94B20803FC3D}"/>
            </c:ext>
          </c:extLst>
        </c:ser>
        <c:ser>
          <c:idx val="2"/>
          <c:order val="2"/>
          <c:tx>
            <c:strRef>
              <c:f>'Population by neighbourhood'!$D$44</c:f>
              <c:strCache>
                <c:ptCount val="1"/>
                <c:pt idx="0">
                  <c:v>65+ years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'Population by neighbourhood'!$A$45:$A$82</c:f>
              <c:strCache>
                <c:ptCount val="38"/>
                <c:pt idx="0">
                  <c:v>Hanover </c:v>
                </c:pt>
                <c:pt idx="1">
                  <c:v>City Centre </c:v>
                </c:pt>
                <c:pt idx="2">
                  <c:v>Old Aberdeen </c:v>
                </c:pt>
                <c:pt idx="3">
                  <c:v>George Street </c:v>
                </c:pt>
                <c:pt idx="4">
                  <c:v>Rosemount </c:v>
                </c:pt>
                <c:pt idx="5">
                  <c:v>Ferryhill </c:v>
                </c:pt>
                <c:pt idx="6">
                  <c:v>Froghall, Powis &amp; Sunnybank </c:v>
                </c:pt>
                <c:pt idx="7">
                  <c:v>Seaton </c:v>
                </c:pt>
                <c:pt idx="8">
                  <c:v>Danestone </c:v>
                </c:pt>
                <c:pt idx="9">
                  <c:v>Ashgrove </c:v>
                </c:pt>
                <c:pt idx="10">
                  <c:v>Garthdee </c:v>
                </c:pt>
                <c:pt idx="11">
                  <c:v>Balgownie &amp; Donmouth </c:v>
                </c:pt>
                <c:pt idx="12">
                  <c:v>Hilton </c:v>
                </c:pt>
                <c:pt idx="13">
                  <c:v>Braeside, Mannofield, Broomhill &amp; Seafield </c:v>
                </c:pt>
                <c:pt idx="14">
                  <c:v>West End </c:v>
                </c:pt>
                <c:pt idx="15">
                  <c:v>Stockethill </c:v>
                </c:pt>
                <c:pt idx="16">
                  <c:v>Aberdeen City</c:v>
                </c:pt>
                <c:pt idx="17">
                  <c:v>Dyce </c:v>
                </c:pt>
                <c:pt idx="18">
                  <c:v>Bucksburn </c:v>
                </c:pt>
                <c:pt idx="19">
                  <c:v>Oldmachar </c:v>
                </c:pt>
                <c:pt idx="20">
                  <c:v>Sheddocksley </c:v>
                </c:pt>
                <c:pt idx="21">
                  <c:v>Cove </c:v>
                </c:pt>
                <c:pt idx="22">
                  <c:v>Hazlehead </c:v>
                </c:pt>
                <c:pt idx="23">
                  <c:v>Summerhill </c:v>
                </c:pt>
                <c:pt idx="24">
                  <c:v>Culter </c:v>
                </c:pt>
                <c:pt idx="25">
                  <c:v>Kincorth, Leggart &amp; Nigg </c:v>
                </c:pt>
                <c:pt idx="26">
                  <c:v>Torry </c:v>
                </c:pt>
                <c:pt idx="27">
                  <c:v>Denmore </c:v>
                </c:pt>
                <c:pt idx="28">
                  <c:v>Midstocket </c:v>
                </c:pt>
                <c:pt idx="29">
                  <c:v>Heathryfold </c:v>
                </c:pt>
                <c:pt idx="30">
                  <c:v>Mastrick </c:v>
                </c:pt>
                <c:pt idx="31">
                  <c:v>Cults, Bieldside &amp; Milltimber </c:v>
                </c:pt>
                <c:pt idx="32">
                  <c:v>Woodside </c:v>
                </c:pt>
                <c:pt idx="33">
                  <c:v>Northfield </c:v>
                </c:pt>
                <c:pt idx="34">
                  <c:v>Tillydrone </c:v>
                </c:pt>
                <c:pt idx="35">
                  <c:v>Cummings Park </c:v>
                </c:pt>
                <c:pt idx="36">
                  <c:v>Kingswells </c:v>
                </c:pt>
                <c:pt idx="37">
                  <c:v>Middlefield </c:v>
                </c:pt>
              </c:strCache>
            </c:strRef>
          </c:cat>
          <c:val>
            <c:numRef>
              <c:f>'Population by neighbourhood'!$D$45:$D$82</c:f>
              <c:numCache>
                <c:formatCode>0%</c:formatCode>
                <c:ptCount val="38"/>
                <c:pt idx="0">
                  <c:v>6.8498502409167855E-2</c:v>
                </c:pt>
                <c:pt idx="1">
                  <c:v>6.459259259259259E-2</c:v>
                </c:pt>
                <c:pt idx="2">
                  <c:v>6.0685325660476068E-2</c:v>
                </c:pt>
                <c:pt idx="3">
                  <c:v>6.3207286778912505E-2</c:v>
                </c:pt>
                <c:pt idx="4">
                  <c:v>8.7847730600292828E-2</c:v>
                </c:pt>
                <c:pt idx="5">
                  <c:v>0.12679282868525896</c:v>
                </c:pt>
                <c:pt idx="6">
                  <c:v>5.9972105997210597E-2</c:v>
                </c:pt>
                <c:pt idx="7">
                  <c:v>0.1318051575931232</c:v>
                </c:pt>
                <c:pt idx="8">
                  <c:v>0.19965576592082615</c:v>
                </c:pt>
                <c:pt idx="9">
                  <c:v>9.9194729136163978E-2</c:v>
                </c:pt>
                <c:pt idx="10">
                  <c:v>0.14874519142700129</c:v>
                </c:pt>
                <c:pt idx="11">
                  <c:v>0.23325998113800692</c:v>
                </c:pt>
                <c:pt idx="12">
                  <c:v>0.17476611226611227</c:v>
                </c:pt>
                <c:pt idx="13">
                  <c:v>0.21450308023454315</c:v>
                </c:pt>
                <c:pt idx="14">
                  <c:v>0.10990865766481335</c:v>
                </c:pt>
                <c:pt idx="15">
                  <c:v>0.21433924556582562</c:v>
                </c:pt>
                <c:pt idx="16">
                  <c:v>0.15154890358510267</c:v>
                </c:pt>
                <c:pt idx="17">
                  <c:v>0.24437249460376195</c:v>
                </c:pt>
                <c:pt idx="18">
                  <c:v>0.19385373443983403</c:v>
                </c:pt>
                <c:pt idx="19">
                  <c:v>0.17424564385890354</c:v>
                </c:pt>
                <c:pt idx="20">
                  <c:v>0.22912474849094566</c:v>
                </c:pt>
                <c:pt idx="21">
                  <c:v>0.13341169556273877</c:v>
                </c:pt>
                <c:pt idx="22">
                  <c:v>0.23453908984830804</c:v>
                </c:pt>
                <c:pt idx="23">
                  <c:v>0.20701041402082804</c:v>
                </c:pt>
                <c:pt idx="24">
                  <c:v>0.19496726677577741</c:v>
                </c:pt>
                <c:pt idx="25">
                  <c:v>0.1752168007522725</c:v>
                </c:pt>
                <c:pt idx="26">
                  <c:v>0.12133204633204633</c:v>
                </c:pt>
                <c:pt idx="27">
                  <c:v>0.14419306184012065</c:v>
                </c:pt>
                <c:pt idx="28">
                  <c:v>0.18158697863682605</c:v>
                </c:pt>
                <c:pt idx="29">
                  <c:v>0.15062560153994226</c:v>
                </c:pt>
                <c:pt idx="30">
                  <c:v>0.17683253076511504</c:v>
                </c:pt>
                <c:pt idx="31">
                  <c:v>0.19634333063136089</c:v>
                </c:pt>
                <c:pt idx="32">
                  <c:v>0.13545719844357976</c:v>
                </c:pt>
                <c:pt idx="33">
                  <c:v>0.12890120036934441</c:v>
                </c:pt>
                <c:pt idx="34">
                  <c:v>0.10319454414931802</c:v>
                </c:pt>
                <c:pt idx="35">
                  <c:v>0.13554708764289602</c:v>
                </c:pt>
                <c:pt idx="36">
                  <c:v>0.13041914013311748</c:v>
                </c:pt>
                <c:pt idx="37">
                  <c:v>0.11316872427983539</c:v>
                </c:pt>
              </c:numCache>
            </c:numRef>
          </c:val>
          <c:extLst>
            <c:ext xmlns:c16="http://schemas.microsoft.com/office/drawing/2014/chart" uri="{C3380CC4-5D6E-409C-BE32-E72D297353CC}">
              <c16:uniqueId val="{00000002-2F09-4E5C-89BA-94B20803FC3D}"/>
            </c:ext>
          </c:extLst>
        </c:ser>
        <c:dLbls>
          <c:showLegendKey val="0"/>
          <c:showVal val="0"/>
          <c:showCatName val="0"/>
          <c:showSerName val="0"/>
          <c:showPercent val="0"/>
          <c:showBubbleSize val="0"/>
        </c:dLbls>
        <c:gapWidth val="30"/>
        <c:overlap val="100"/>
        <c:axId val="411130640"/>
        <c:axId val="411130968"/>
      </c:barChart>
      <c:catAx>
        <c:axId val="411130640"/>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crossAx val="411130968"/>
        <c:crosses val="autoZero"/>
        <c:auto val="1"/>
        <c:lblAlgn val="ctr"/>
        <c:lblOffset val="100"/>
        <c:tickLblSkip val="1"/>
        <c:noMultiLvlLbl val="0"/>
      </c:catAx>
      <c:valAx>
        <c:axId val="411130968"/>
        <c:scaling>
          <c:orientation val="minMax"/>
          <c:max val="1"/>
        </c:scaling>
        <c:delete val="0"/>
        <c:axPos val="b"/>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11130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200"/>
              <a:t>Percentage of P1 pupils receiving a Letter 'C' by Intermediate Zone, Aberdeen City, 2016/17</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20"/>
            <c:invertIfNegative val="0"/>
            <c:bubble3D val="0"/>
            <c:spPr>
              <a:solidFill>
                <a:schemeClr val="accent2"/>
              </a:solidFill>
              <a:ln>
                <a:noFill/>
              </a:ln>
              <a:effectLst/>
            </c:spPr>
            <c:extLst>
              <c:ext xmlns:c16="http://schemas.microsoft.com/office/drawing/2014/chart" uri="{C3380CC4-5D6E-409C-BE32-E72D297353CC}">
                <c16:uniqueId val="{00000001-95D6-4846-9FEA-03B39376CEE0}"/>
              </c:ext>
            </c:extLst>
          </c:dPt>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5D6-4846-9FEA-03B39376CEE0}"/>
                </c:ext>
              </c:extLst>
            </c:dLbl>
            <c:dLbl>
              <c:idx val="2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5D6-4846-9FEA-03B39376CEE0}"/>
                </c:ext>
              </c:extLst>
            </c:dLbl>
            <c:dLbl>
              <c:idx val="49"/>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5D6-4846-9FEA-03B39376CEE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Dental!$U$39:$U$88</c:f>
              <c:strCache>
                <c:ptCount val="50"/>
                <c:pt idx="0">
                  <c:v>Torry East</c:v>
                </c:pt>
                <c:pt idx="1">
                  <c:v>Torry West</c:v>
                </c:pt>
                <c:pt idx="2">
                  <c:v>Tillydrone</c:v>
                </c:pt>
                <c:pt idx="3">
                  <c:v>Northfield</c:v>
                </c:pt>
                <c:pt idx="4">
                  <c:v>City Centre East (Aberdeen City)</c:v>
                </c:pt>
                <c:pt idx="5">
                  <c:v>Hanover North</c:v>
                </c:pt>
                <c:pt idx="6">
                  <c:v>Froghall, Powis and Sunnybank</c:v>
                </c:pt>
                <c:pt idx="7">
                  <c:v>Woodside (Aberdeen City)</c:v>
                </c:pt>
                <c:pt idx="8">
                  <c:v>Kincorth, Leggart and Nigg North</c:v>
                </c:pt>
                <c:pt idx="9">
                  <c:v>Ashgrove</c:v>
                </c:pt>
                <c:pt idx="10">
                  <c:v>Old Aberdeen</c:v>
                </c:pt>
                <c:pt idx="11">
                  <c:v>Garthdee</c:v>
                </c:pt>
                <c:pt idx="12">
                  <c:v>Hilton</c:v>
                </c:pt>
                <c:pt idx="13">
                  <c:v>Kincorth, Leggart and Nigg South</c:v>
                </c:pt>
                <c:pt idx="14">
                  <c:v>Stockethill</c:v>
                </c:pt>
                <c:pt idx="15">
                  <c:v>George Street</c:v>
                </c:pt>
                <c:pt idx="16">
                  <c:v>Bucksburn North</c:v>
                </c:pt>
                <c:pt idx="17">
                  <c:v>Heathryfold and Middlefield</c:v>
                </c:pt>
                <c:pt idx="18">
                  <c:v>Cummings Park</c:v>
                </c:pt>
                <c:pt idx="19">
                  <c:v>Seaton</c:v>
                </c:pt>
                <c:pt idx="20">
                  <c:v>Aberdeen City</c:v>
                </c:pt>
                <c:pt idx="21">
                  <c:v>Mastrick</c:v>
                </c:pt>
                <c:pt idx="22">
                  <c:v>Denmore</c:v>
                </c:pt>
                <c:pt idx="23">
                  <c:v>Ferryhill South</c:v>
                </c:pt>
                <c:pt idx="24">
                  <c:v>Cove North</c:v>
                </c:pt>
                <c:pt idx="25">
                  <c:v>Bucksburn South</c:v>
                </c:pt>
                <c:pt idx="26">
                  <c:v>Braeside, Mannofield, Broomhill and Seafield North</c:v>
                </c:pt>
                <c:pt idx="27">
                  <c:v>Oldmachar East</c:v>
                </c:pt>
                <c:pt idx="28">
                  <c:v>Rosemount</c:v>
                </c:pt>
                <c:pt idx="29">
                  <c:v>Summerhill</c:v>
                </c:pt>
                <c:pt idx="30">
                  <c:v>Hanover South</c:v>
                </c:pt>
                <c:pt idx="31">
                  <c:v>Sheddocksley</c:v>
                </c:pt>
                <c:pt idx="32">
                  <c:v>Culter</c:v>
                </c:pt>
                <c:pt idx="33">
                  <c:v>Balgownie and Donmouth West</c:v>
                </c:pt>
                <c:pt idx="34">
                  <c:v>Cults, Bieldside and Milltimber East</c:v>
                </c:pt>
                <c:pt idx="35">
                  <c:v>Danestone</c:v>
                </c:pt>
                <c:pt idx="36">
                  <c:v>City Centre West (Aberdeen City)</c:v>
                </c:pt>
                <c:pt idx="37">
                  <c:v>Dyce</c:v>
                </c:pt>
                <c:pt idx="38">
                  <c:v>Oldmachar West</c:v>
                </c:pt>
                <c:pt idx="39">
                  <c:v>Cults, Bieldside and Milltimber West</c:v>
                </c:pt>
                <c:pt idx="40">
                  <c:v>Ferryhill North</c:v>
                </c:pt>
                <c:pt idx="41">
                  <c:v>Midstocket</c:v>
                </c:pt>
                <c:pt idx="42">
                  <c:v>West End North</c:v>
                </c:pt>
                <c:pt idx="43">
                  <c:v>Hazlehead</c:v>
                </c:pt>
                <c:pt idx="44">
                  <c:v>Braeside, Mannofield, Broomhill and Seafield East</c:v>
                </c:pt>
                <c:pt idx="45">
                  <c:v>Balgownie and Donmouth East</c:v>
                </c:pt>
                <c:pt idx="46">
                  <c:v>Kingswells</c:v>
                </c:pt>
                <c:pt idx="47">
                  <c:v>Braeside, Mannofield, Broomhill and Seafield South</c:v>
                </c:pt>
                <c:pt idx="48">
                  <c:v>West End South</c:v>
                </c:pt>
                <c:pt idx="49">
                  <c:v>Cove South</c:v>
                </c:pt>
              </c:strCache>
            </c:strRef>
          </c:cat>
          <c:val>
            <c:numRef>
              <c:f>Dental!$V$39:$V$88</c:f>
              <c:numCache>
                <c:formatCode>0.0%</c:formatCode>
                <c:ptCount val="50"/>
                <c:pt idx="0">
                  <c:v>0.3442622951</c:v>
                </c:pt>
                <c:pt idx="1">
                  <c:v>0.39024390240000001</c:v>
                </c:pt>
                <c:pt idx="2">
                  <c:v>0.45652173910000005</c:v>
                </c:pt>
                <c:pt idx="3">
                  <c:v>0.49253731340000001</c:v>
                </c:pt>
                <c:pt idx="4">
                  <c:v>0.5</c:v>
                </c:pt>
                <c:pt idx="5">
                  <c:v>0.5</c:v>
                </c:pt>
                <c:pt idx="6">
                  <c:v>0.5</c:v>
                </c:pt>
                <c:pt idx="7">
                  <c:v>0.5</c:v>
                </c:pt>
                <c:pt idx="8">
                  <c:v>0.52631578950000002</c:v>
                </c:pt>
                <c:pt idx="9">
                  <c:v>0.53125</c:v>
                </c:pt>
                <c:pt idx="10">
                  <c:v>0.5384615385</c:v>
                </c:pt>
                <c:pt idx="11">
                  <c:v>0.56603773580000005</c:v>
                </c:pt>
                <c:pt idx="12">
                  <c:v>0.56756756760000004</c:v>
                </c:pt>
                <c:pt idx="13">
                  <c:v>0.60975609759999994</c:v>
                </c:pt>
                <c:pt idx="14">
                  <c:v>0.62711864409999996</c:v>
                </c:pt>
                <c:pt idx="15">
                  <c:v>0.65625</c:v>
                </c:pt>
                <c:pt idx="16">
                  <c:v>0.65789473679999999</c:v>
                </c:pt>
                <c:pt idx="17">
                  <c:v>0.66666666669999997</c:v>
                </c:pt>
                <c:pt idx="18">
                  <c:v>0.66666666669999997</c:v>
                </c:pt>
                <c:pt idx="19">
                  <c:v>0.68</c:v>
                </c:pt>
                <c:pt idx="20">
                  <c:v>0.69399999999999995</c:v>
                </c:pt>
                <c:pt idx="21">
                  <c:v>0.71014492750000002</c:v>
                </c:pt>
                <c:pt idx="22">
                  <c:v>0.72972972970000005</c:v>
                </c:pt>
                <c:pt idx="23">
                  <c:v>0.75</c:v>
                </c:pt>
                <c:pt idx="24">
                  <c:v>0.75</c:v>
                </c:pt>
                <c:pt idx="25">
                  <c:v>0.75</c:v>
                </c:pt>
                <c:pt idx="26">
                  <c:v>0.75862068969999996</c:v>
                </c:pt>
                <c:pt idx="27">
                  <c:v>0.7692307692</c:v>
                </c:pt>
                <c:pt idx="28">
                  <c:v>0.77272727270000008</c:v>
                </c:pt>
                <c:pt idx="29">
                  <c:v>0.77419354839999999</c:v>
                </c:pt>
                <c:pt idx="30">
                  <c:v>0.78947368420000008</c:v>
                </c:pt>
                <c:pt idx="31">
                  <c:v>0.80392156859999997</c:v>
                </c:pt>
                <c:pt idx="32">
                  <c:v>0.8125</c:v>
                </c:pt>
                <c:pt idx="33">
                  <c:v>0.81481481479999995</c:v>
                </c:pt>
                <c:pt idx="34">
                  <c:v>0.81538461539999996</c:v>
                </c:pt>
                <c:pt idx="35">
                  <c:v>0.81818181820000002</c:v>
                </c:pt>
                <c:pt idx="36">
                  <c:v>0.82352941180000006</c:v>
                </c:pt>
                <c:pt idx="37">
                  <c:v>0.82608695649999997</c:v>
                </c:pt>
                <c:pt idx="38">
                  <c:v>0.8297872340000001</c:v>
                </c:pt>
                <c:pt idx="39">
                  <c:v>0.84444444439999999</c:v>
                </c:pt>
                <c:pt idx="40">
                  <c:v>0.86363636359999996</c:v>
                </c:pt>
                <c:pt idx="41">
                  <c:v>0.86486486490000003</c:v>
                </c:pt>
                <c:pt idx="42">
                  <c:v>0.875</c:v>
                </c:pt>
                <c:pt idx="43">
                  <c:v>0.87878787880000009</c:v>
                </c:pt>
                <c:pt idx="44">
                  <c:v>0.88059701489999997</c:v>
                </c:pt>
                <c:pt idx="45">
                  <c:v>0.88888888890000006</c:v>
                </c:pt>
                <c:pt idx="46">
                  <c:v>0.9</c:v>
                </c:pt>
                <c:pt idx="47">
                  <c:v>0.92105263160000006</c:v>
                </c:pt>
                <c:pt idx="48">
                  <c:v>0.97297297299999996</c:v>
                </c:pt>
                <c:pt idx="49">
                  <c:v>1</c:v>
                </c:pt>
              </c:numCache>
            </c:numRef>
          </c:val>
          <c:extLst>
            <c:ext xmlns:c16="http://schemas.microsoft.com/office/drawing/2014/chart" uri="{C3380CC4-5D6E-409C-BE32-E72D297353CC}">
              <c16:uniqueId val="{00000002-95D6-4846-9FEA-03B39376CEE0}"/>
            </c:ext>
          </c:extLst>
        </c:ser>
        <c:dLbls>
          <c:showLegendKey val="0"/>
          <c:showVal val="0"/>
          <c:showCatName val="0"/>
          <c:showSerName val="0"/>
          <c:showPercent val="0"/>
          <c:showBubbleSize val="0"/>
        </c:dLbls>
        <c:gapWidth val="100"/>
        <c:overlap val="-24"/>
        <c:axId val="397346696"/>
        <c:axId val="397355880"/>
      </c:barChart>
      <c:catAx>
        <c:axId val="3973466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crossAx val="397355880"/>
        <c:crosses val="autoZero"/>
        <c:auto val="1"/>
        <c:lblAlgn val="ctr"/>
        <c:lblOffset val="100"/>
        <c:noMultiLvlLbl val="0"/>
      </c:catAx>
      <c:valAx>
        <c:axId val="397355880"/>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73466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1"/>
              <a:t>Rate of alcohol- and drug-related hospital stays per 100,000 population</a:t>
            </a:r>
            <a:r>
              <a:rPr lang="en-GB" sz="1200" b="1" baseline="0"/>
              <a:t> aged 11-25 years, Aberdeen City and Scotland</a:t>
            </a:r>
            <a:r>
              <a:rPr lang="en-GB" sz="1200" b="1"/>
              <a:t>, 2005/06-2007/08 to 2014/15-2016/17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'alcohol and drug related hosp '!$L$9</c:f>
              <c:strCache>
                <c:ptCount val="1"/>
                <c:pt idx="0">
                  <c:v>Aberdeen alcohol</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'alcohol and drug related hosp '!$K$10:$K$19</c:f>
              <c:strCache>
                <c:ptCount val="10"/>
                <c:pt idx="0">
                  <c:v>2005/06-2007/08</c:v>
                </c:pt>
                <c:pt idx="1">
                  <c:v>2006/07-2008/09</c:v>
                </c:pt>
                <c:pt idx="2">
                  <c:v>2007/08-2009/10</c:v>
                </c:pt>
                <c:pt idx="3">
                  <c:v>2008/09-2010/11</c:v>
                </c:pt>
                <c:pt idx="4">
                  <c:v>2009/10-2011/12</c:v>
                </c:pt>
                <c:pt idx="5">
                  <c:v>2010/11-2012/13</c:v>
                </c:pt>
                <c:pt idx="6">
                  <c:v>2011/12-2013/14</c:v>
                </c:pt>
                <c:pt idx="7">
                  <c:v>2012/13-2014/15</c:v>
                </c:pt>
                <c:pt idx="8">
                  <c:v>2013/14-2015/16</c:v>
                </c:pt>
                <c:pt idx="9">
                  <c:v>2014/15-2016/17</c:v>
                </c:pt>
              </c:strCache>
            </c:strRef>
          </c:cat>
          <c:val>
            <c:numRef>
              <c:f>'alcohol and drug related hosp '!$L$10:$L$19</c:f>
              <c:numCache>
                <c:formatCode>0.0</c:formatCode>
                <c:ptCount val="10"/>
                <c:pt idx="0">
                  <c:v>607.94142314581904</c:v>
                </c:pt>
                <c:pt idx="1">
                  <c:v>615.87112389203298</c:v>
                </c:pt>
                <c:pt idx="2">
                  <c:v>594.75623379963497</c:v>
                </c:pt>
                <c:pt idx="3">
                  <c:v>536.03181394510398</c:v>
                </c:pt>
                <c:pt idx="4">
                  <c:v>490.977231064666</c:v>
                </c:pt>
                <c:pt idx="5">
                  <c:v>415.40575364297001</c:v>
                </c:pt>
                <c:pt idx="6">
                  <c:v>366.89819489271503</c:v>
                </c:pt>
                <c:pt idx="7">
                  <c:v>320.85919757173502</c:v>
                </c:pt>
                <c:pt idx="8">
                  <c:v>287.26485095276098</c:v>
                </c:pt>
                <c:pt idx="9">
                  <c:v>268.06490580142599</c:v>
                </c:pt>
              </c:numCache>
            </c:numRef>
          </c:val>
          <c:smooth val="0"/>
          <c:extLst>
            <c:ext xmlns:c16="http://schemas.microsoft.com/office/drawing/2014/chart" uri="{C3380CC4-5D6E-409C-BE32-E72D297353CC}">
              <c16:uniqueId val="{00000000-88D2-4C01-8A5A-1C09BEDCF1F7}"/>
            </c:ext>
          </c:extLst>
        </c:ser>
        <c:ser>
          <c:idx val="1"/>
          <c:order val="1"/>
          <c:tx>
            <c:strRef>
              <c:f>'alcohol and drug related hosp '!$M$9</c:f>
              <c:strCache>
                <c:ptCount val="1"/>
                <c:pt idx="0">
                  <c:v>Scotland alcohol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'alcohol and drug related hosp '!$K$10:$K$19</c:f>
              <c:strCache>
                <c:ptCount val="10"/>
                <c:pt idx="0">
                  <c:v>2005/06-2007/08</c:v>
                </c:pt>
                <c:pt idx="1">
                  <c:v>2006/07-2008/09</c:v>
                </c:pt>
                <c:pt idx="2">
                  <c:v>2007/08-2009/10</c:v>
                </c:pt>
                <c:pt idx="3">
                  <c:v>2008/09-2010/11</c:v>
                </c:pt>
                <c:pt idx="4">
                  <c:v>2009/10-2011/12</c:v>
                </c:pt>
                <c:pt idx="5">
                  <c:v>2010/11-2012/13</c:v>
                </c:pt>
                <c:pt idx="6">
                  <c:v>2011/12-2013/14</c:v>
                </c:pt>
                <c:pt idx="7">
                  <c:v>2012/13-2014/15</c:v>
                </c:pt>
                <c:pt idx="8">
                  <c:v>2013/14-2015/16</c:v>
                </c:pt>
                <c:pt idx="9">
                  <c:v>2014/15-2016/17</c:v>
                </c:pt>
              </c:strCache>
            </c:strRef>
          </c:cat>
          <c:val>
            <c:numRef>
              <c:f>'alcohol and drug related hosp '!$M$10:$M$19</c:f>
              <c:numCache>
                <c:formatCode>0.0</c:formatCode>
                <c:ptCount val="10"/>
                <c:pt idx="0">
                  <c:v>457.33382031337601</c:v>
                </c:pt>
                <c:pt idx="1">
                  <c:v>473.329475893145</c:v>
                </c:pt>
                <c:pt idx="2">
                  <c:v>455.20663086861998</c:v>
                </c:pt>
                <c:pt idx="3">
                  <c:v>412.69387912588098</c:v>
                </c:pt>
                <c:pt idx="4">
                  <c:v>386.68545882785003</c:v>
                </c:pt>
                <c:pt idx="5">
                  <c:v>355.56102807984598</c:v>
                </c:pt>
                <c:pt idx="6">
                  <c:v>326.93687780296301</c:v>
                </c:pt>
                <c:pt idx="7">
                  <c:v>291.049548221441</c:v>
                </c:pt>
                <c:pt idx="8">
                  <c:v>272.18892886624002</c:v>
                </c:pt>
                <c:pt idx="9">
                  <c:v>256.09576618154802</c:v>
                </c:pt>
              </c:numCache>
            </c:numRef>
          </c:val>
          <c:smooth val="0"/>
          <c:extLst>
            <c:ext xmlns:c16="http://schemas.microsoft.com/office/drawing/2014/chart" uri="{C3380CC4-5D6E-409C-BE32-E72D297353CC}">
              <c16:uniqueId val="{00000001-88D2-4C01-8A5A-1C09BEDCF1F7}"/>
            </c:ext>
          </c:extLst>
        </c:ser>
        <c:ser>
          <c:idx val="2"/>
          <c:order val="2"/>
          <c:tx>
            <c:strRef>
              <c:f>'alcohol and drug related hosp '!$N$9</c:f>
              <c:strCache>
                <c:ptCount val="1"/>
                <c:pt idx="0">
                  <c:v>Aberdeen drugs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'alcohol and drug related hosp '!$K$10:$K$19</c:f>
              <c:strCache>
                <c:ptCount val="10"/>
                <c:pt idx="0">
                  <c:v>2005/06-2007/08</c:v>
                </c:pt>
                <c:pt idx="1">
                  <c:v>2006/07-2008/09</c:v>
                </c:pt>
                <c:pt idx="2">
                  <c:v>2007/08-2009/10</c:v>
                </c:pt>
                <c:pt idx="3">
                  <c:v>2008/09-2010/11</c:v>
                </c:pt>
                <c:pt idx="4">
                  <c:v>2009/10-2011/12</c:v>
                </c:pt>
                <c:pt idx="5">
                  <c:v>2010/11-2012/13</c:v>
                </c:pt>
                <c:pt idx="6">
                  <c:v>2011/12-2013/14</c:v>
                </c:pt>
                <c:pt idx="7">
                  <c:v>2012/13-2014/15</c:v>
                </c:pt>
                <c:pt idx="8">
                  <c:v>2013/14-2015/16</c:v>
                </c:pt>
                <c:pt idx="9">
                  <c:v>2014/15-2016/17</c:v>
                </c:pt>
              </c:strCache>
            </c:strRef>
          </c:cat>
          <c:val>
            <c:numRef>
              <c:f>'alcohol and drug related hosp '!$N$10:$N$19</c:f>
              <c:numCache>
                <c:formatCode>0.0</c:formatCode>
                <c:ptCount val="10"/>
                <c:pt idx="0">
                  <c:v>175.917202965917</c:v>
                </c:pt>
                <c:pt idx="1">
                  <c:v>176.869644537358</c:v>
                </c:pt>
                <c:pt idx="2">
                  <c:v>165.89573915313099</c:v>
                </c:pt>
                <c:pt idx="3">
                  <c:v>140.58745467704699</c:v>
                </c:pt>
                <c:pt idx="4">
                  <c:v>122.948737952073</c:v>
                </c:pt>
                <c:pt idx="5">
                  <c:v>88.879563783526393</c:v>
                </c:pt>
                <c:pt idx="6">
                  <c:v>72.208424676658595</c:v>
                </c:pt>
                <c:pt idx="7">
                  <c:v>47.027260117572098</c:v>
                </c:pt>
                <c:pt idx="8">
                  <c:v>53.438375546258598</c:v>
                </c:pt>
              </c:numCache>
            </c:numRef>
          </c:val>
          <c:smooth val="0"/>
          <c:extLst>
            <c:ext xmlns:c16="http://schemas.microsoft.com/office/drawing/2014/chart" uri="{C3380CC4-5D6E-409C-BE32-E72D297353CC}">
              <c16:uniqueId val="{00000002-88D2-4C01-8A5A-1C09BEDCF1F7}"/>
            </c:ext>
          </c:extLst>
        </c:ser>
        <c:ser>
          <c:idx val="3"/>
          <c:order val="3"/>
          <c:tx>
            <c:strRef>
              <c:f>'alcohol and drug related hosp '!$O$9</c:f>
              <c:strCache>
                <c:ptCount val="1"/>
                <c:pt idx="0">
                  <c:v>Scotland drugs</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'alcohol and drug related hosp '!$K$10:$K$19</c:f>
              <c:strCache>
                <c:ptCount val="10"/>
                <c:pt idx="0">
                  <c:v>2005/06-2007/08</c:v>
                </c:pt>
                <c:pt idx="1">
                  <c:v>2006/07-2008/09</c:v>
                </c:pt>
                <c:pt idx="2">
                  <c:v>2007/08-2009/10</c:v>
                </c:pt>
                <c:pt idx="3">
                  <c:v>2008/09-2010/11</c:v>
                </c:pt>
                <c:pt idx="4">
                  <c:v>2009/10-2011/12</c:v>
                </c:pt>
                <c:pt idx="5">
                  <c:v>2010/11-2012/13</c:v>
                </c:pt>
                <c:pt idx="6">
                  <c:v>2011/12-2013/14</c:v>
                </c:pt>
                <c:pt idx="7">
                  <c:v>2012/13-2014/15</c:v>
                </c:pt>
                <c:pt idx="8">
                  <c:v>2013/14-2015/16</c:v>
                </c:pt>
                <c:pt idx="9">
                  <c:v>2014/15-2016/17</c:v>
                </c:pt>
              </c:strCache>
            </c:strRef>
          </c:cat>
          <c:val>
            <c:numRef>
              <c:f>'alcohol and drug related hosp '!$O$10:$O$19</c:f>
              <c:numCache>
                <c:formatCode>0.0</c:formatCode>
                <c:ptCount val="10"/>
                <c:pt idx="0">
                  <c:v>121.98114113084</c:v>
                </c:pt>
                <c:pt idx="1">
                  <c:v>123.934136718415</c:v>
                </c:pt>
                <c:pt idx="2">
                  <c:v>116.408128853962</c:v>
                </c:pt>
                <c:pt idx="3">
                  <c:v>107.137588153491</c:v>
                </c:pt>
                <c:pt idx="4">
                  <c:v>97.958233502616906</c:v>
                </c:pt>
                <c:pt idx="5">
                  <c:v>92.721141361702706</c:v>
                </c:pt>
                <c:pt idx="6">
                  <c:v>88.743516243785606</c:v>
                </c:pt>
                <c:pt idx="7">
                  <c:v>90.948869021263903</c:v>
                </c:pt>
                <c:pt idx="8">
                  <c:v>101.444143078444</c:v>
                </c:pt>
              </c:numCache>
            </c:numRef>
          </c:val>
          <c:smooth val="0"/>
          <c:extLst>
            <c:ext xmlns:c16="http://schemas.microsoft.com/office/drawing/2014/chart" uri="{C3380CC4-5D6E-409C-BE32-E72D297353CC}">
              <c16:uniqueId val="{00000003-88D2-4C01-8A5A-1C09BEDCF1F7}"/>
            </c:ext>
          </c:extLst>
        </c:ser>
        <c:dLbls>
          <c:showLegendKey val="0"/>
          <c:showVal val="0"/>
          <c:showCatName val="0"/>
          <c:showSerName val="0"/>
          <c:showPercent val="0"/>
          <c:showBubbleSize val="0"/>
        </c:dLbls>
        <c:marker val="1"/>
        <c:smooth val="0"/>
        <c:axId val="397348008"/>
        <c:axId val="397351288"/>
      </c:lineChart>
      <c:catAx>
        <c:axId val="397348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97351288"/>
        <c:crosses val="autoZero"/>
        <c:auto val="1"/>
        <c:lblAlgn val="ctr"/>
        <c:lblOffset val="100"/>
        <c:noMultiLvlLbl val="0"/>
      </c:catAx>
      <c:valAx>
        <c:axId val="3973512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7348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a:t>Teenage pregnancy rate</a:t>
            </a:r>
            <a:r>
              <a:rPr lang="en-GB" sz="1200" baseline="0"/>
              <a:t>, Aberdeen City and Scotland, 2002-2004 to 2013-2015</a:t>
            </a:r>
            <a:endParaRPr lang="en-GB"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'Teenage pregnancies'!$B$20</c:f>
              <c:strCache>
                <c:ptCount val="1"/>
                <c:pt idx="0">
                  <c:v>Aberdeen City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'Teenage pregnancies'!$A$21:$A$32</c:f>
              <c:strCache>
                <c:ptCount val="12"/>
                <c:pt idx="0">
                  <c:v>2002-2004</c:v>
                </c:pt>
                <c:pt idx="1">
                  <c:v>2003-2005</c:v>
                </c:pt>
                <c:pt idx="2">
                  <c:v>2004-2006</c:v>
                </c:pt>
                <c:pt idx="3">
                  <c:v>2005-2007</c:v>
                </c:pt>
                <c:pt idx="4">
                  <c:v>2006-2008</c:v>
                </c:pt>
                <c:pt idx="5">
                  <c:v>2007-2009</c:v>
                </c:pt>
                <c:pt idx="6">
                  <c:v>2008-2010</c:v>
                </c:pt>
                <c:pt idx="7">
                  <c:v>2009-2011</c:v>
                </c:pt>
                <c:pt idx="8">
                  <c:v>2010-2012</c:v>
                </c:pt>
                <c:pt idx="9">
                  <c:v>2011-2013</c:v>
                </c:pt>
                <c:pt idx="10">
                  <c:v>2012-2014</c:v>
                </c:pt>
                <c:pt idx="11">
                  <c:v>2013-2015</c:v>
                </c:pt>
              </c:strCache>
            </c:strRef>
          </c:cat>
          <c:val>
            <c:numRef>
              <c:f>'Teenage pregnancies'!$B$21:$B$32</c:f>
              <c:numCache>
                <c:formatCode>0.0</c:formatCode>
                <c:ptCount val="12"/>
                <c:pt idx="0">
                  <c:v>57.663273754444099</c:v>
                </c:pt>
                <c:pt idx="1">
                  <c:v>57.735154509348099</c:v>
                </c:pt>
                <c:pt idx="2">
                  <c:v>59.638726942559501</c:v>
                </c:pt>
                <c:pt idx="3">
                  <c:v>58.249708284714103</c:v>
                </c:pt>
                <c:pt idx="4">
                  <c:v>55.1629815363574</c:v>
                </c:pt>
                <c:pt idx="5">
                  <c:v>50.685855633011002</c:v>
                </c:pt>
                <c:pt idx="6">
                  <c:v>47.816672681342503</c:v>
                </c:pt>
                <c:pt idx="7">
                  <c:v>44.762386713898003</c:v>
                </c:pt>
                <c:pt idx="8">
                  <c:v>44.0971387352729</c:v>
                </c:pt>
                <c:pt idx="9">
                  <c:v>41.823165160897403</c:v>
                </c:pt>
                <c:pt idx="10">
                  <c:v>40.267022696929203</c:v>
                </c:pt>
                <c:pt idx="11">
                  <c:v>36.389465632171301</c:v>
                </c:pt>
              </c:numCache>
            </c:numRef>
          </c:val>
          <c:smooth val="0"/>
          <c:extLst>
            <c:ext xmlns:c16="http://schemas.microsoft.com/office/drawing/2014/chart" uri="{C3380CC4-5D6E-409C-BE32-E72D297353CC}">
              <c16:uniqueId val="{00000000-BB99-4368-A151-208B90D04BFF}"/>
            </c:ext>
          </c:extLst>
        </c:ser>
        <c:ser>
          <c:idx val="1"/>
          <c:order val="1"/>
          <c:tx>
            <c:strRef>
              <c:f>'Teenage pregnancies'!$C$20</c:f>
              <c:strCache>
                <c:ptCount val="1"/>
                <c:pt idx="0">
                  <c:v>Scotland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'Teenage pregnancies'!$A$21:$A$32</c:f>
              <c:strCache>
                <c:ptCount val="12"/>
                <c:pt idx="0">
                  <c:v>2002-2004</c:v>
                </c:pt>
                <c:pt idx="1">
                  <c:v>2003-2005</c:v>
                </c:pt>
                <c:pt idx="2">
                  <c:v>2004-2006</c:v>
                </c:pt>
                <c:pt idx="3">
                  <c:v>2005-2007</c:v>
                </c:pt>
                <c:pt idx="4">
                  <c:v>2006-2008</c:v>
                </c:pt>
                <c:pt idx="5">
                  <c:v>2007-2009</c:v>
                </c:pt>
                <c:pt idx="6">
                  <c:v>2008-2010</c:v>
                </c:pt>
                <c:pt idx="7">
                  <c:v>2009-2011</c:v>
                </c:pt>
                <c:pt idx="8">
                  <c:v>2010-2012</c:v>
                </c:pt>
                <c:pt idx="9">
                  <c:v>2011-2013</c:v>
                </c:pt>
                <c:pt idx="10">
                  <c:v>2012-2014</c:v>
                </c:pt>
                <c:pt idx="11">
                  <c:v>2013-2015</c:v>
                </c:pt>
              </c:strCache>
            </c:strRef>
          </c:cat>
          <c:val>
            <c:numRef>
              <c:f>'Teenage pregnancies'!$C$21:$C$32</c:f>
              <c:numCache>
                <c:formatCode>0.0</c:formatCode>
                <c:ptCount val="12"/>
                <c:pt idx="0">
                  <c:v>54.548756051882002</c:v>
                </c:pt>
                <c:pt idx="1">
                  <c:v>55.610789632435299</c:v>
                </c:pt>
                <c:pt idx="2">
                  <c:v>56.695769309610597</c:v>
                </c:pt>
                <c:pt idx="3">
                  <c:v>57.316916123511298</c:v>
                </c:pt>
                <c:pt idx="4">
                  <c:v>56.565898055250997</c:v>
                </c:pt>
                <c:pt idx="5">
                  <c:v>54.459310857932401</c:v>
                </c:pt>
                <c:pt idx="6">
                  <c:v>51.418519228181999</c:v>
                </c:pt>
                <c:pt idx="7">
                  <c:v>47.864039094085499</c:v>
                </c:pt>
                <c:pt idx="8">
                  <c:v>44.694832550638999</c:v>
                </c:pt>
                <c:pt idx="9">
                  <c:v>41.188946083916797</c:v>
                </c:pt>
                <c:pt idx="10">
                  <c:v>37.948948150601602</c:v>
                </c:pt>
                <c:pt idx="11">
                  <c:v>34.854448108357303</c:v>
                </c:pt>
              </c:numCache>
            </c:numRef>
          </c:val>
          <c:smooth val="0"/>
          <c:extLst>
            <c:ext xmlns:c16="http://schemas.microsoft.com/office/drawing/2014/chart" uri="{C3380CC4-5D6E-409C-BE32-E72D297353CC}">
              <c16:uniqueId val="{00000001-BB99-4368-A151-208B90D04BFF}"/>
            </c:ext>
          </c:extLst>
        </c:ser>
        <c:dLbls>
          <c:showLegendKey val="0"/>
          <c:showVal val="0"/>
          <c:showCatName val="0"/>
          <c:showSerName val="0"/>
          <c:showPercent val="0"/>
          <c:showBubbleSize val="0"/>
        </c:dLbls>
        <c:marker val="1"/>
        <c:smooth val="0"/>
        <c:axId val="736872160"/>
        <c:axId val="736866584"/>
      </c:lineChart>
      <c:catAx>
        <c:axId val="736872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36866584"/>
        <c:crosses val="autoZero"/>
        <c:auto val="1"/>
        <c:lblAlgn val="ctr"/>
        <c:lblOffset val="100"/>
        <c:noMultiLvlLbl val="0"/>
      </c:catAx>
      <c:valAx>
        <c:axId val="736866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Crude rate per 1,000 population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6872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100"/>
              <a:t>Percentage of women who smoke during pregancy by Intermediate Zone,</a:t>
            </a:r>
            <a:r>
              <a:rPr lang="en-GB" sz="1100" baseline="0"/>
              <a:t> Aberdeen City, 2014/15 to 2016/17</a:t>
            </a:r>
            <a:endParaRPr lang="en-GB" sz="1100"/>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Sheet3!$L$4</c:f>
              <c:strCache>
                <c:ptCount val="1"/>
                <c:pt idx="0">
                  <c:v>Percentage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Sheet3!$K$5:$K$53</c:f>
              <c:strCache>
                <c:ptCount val="49"/>
                <c:pt idx="0">
                  <c:v>West End North</c:v>
                </c:pt>
                <c:pt idx="1">
                  <c:v>Braeside, Mannofield, Broomhill and Seafield North</c:v>
                </c:pt>
                <c:pt idx="2">
                  <c:v>Cults, Bieldside and Milltimber West</c:v>
                </c:pt>
                <c:pt idx="3">
                  <c:v>Cults, Bieldside and Milltimber East</c:v>
                </c:pt>
                <c:pt idx="4">
                  <c:v>Braeside, Mannofield, Broomhill and Seafield East</c:v>
                </c:pt>
                <c:pt idx="5">
                  <c:v>Braeside, Mannofield, Broomhill and Seafield South</c:v>
                </c:pt>
                <c:pt idx="6">
                  <c:v>Ferryhill North</c:v>
                </c:pt>
                <c:pt idx="7">
                  <c:v>Midstocket</c:v>
                </c:pt>
                <c:pt idx="8">
                  <c:v>Ferryhill South</c:v>
                </c:pt>
                <c:pt idx="9">
                  <c:v>West End South</c:v>
                </c:pt>
                <c:pt idx="10">
                  <c:v>Oldmachar West</c:v>
                </c:pt>
                <c:pt idx="11">
                  <c:v>Hazlehead</c:v>
                </c:pt>
                <c:pt idx="12">
                  <c:v>Kingswells</c:v>
                </c:pt>
                <c:pt idx="13">
                  <c:v>Hanover North</c:v>
                </c:pt>
                <c:pt idx="14">
                  <c:v>Denmore</c:v>
                </c:pt>
                <c:pt idx="15">
                  <c:v>Froghall, Powis and Sunnybank</c:v>
                </c:pt>
                <c:pt idx="16">
                  <c:v>Oldmachar East</c:v>
                </c:pt>
                <c:pt idx="17">
                  <c:v>Danestone</c:v>
                </c:pt>
                <c:pt idx="18">
                  <c:v>Rosemount</c:v>
                </c:pt>
                <c:pt idx="19">
                  <c:v>Bucksburn South</c:v>
                </c:pt>
                <c:pt idx="20">
                  <c:v>City Centre West (Aberdeen City)</c:v>
                </c:pt>
                <c:pt idx="21">
                  <c:v>Ashgrove</c:v>
                </c:pt>
                <c:pt idx="22">
                  <c:v>Culter</c:v>
                </c:pt>
                <c:pt idx="23">
                  <c:v>Cove South</c:v>
                </c:pt>
                <c:pt idx="24">
                  <c:v>George Street</c:v>
                </c:pt>
                <c:pt idx="25">
                  <c:v>Hanover South</c:v>
                </c:pt>
                <c:pt idx="26">
                  <c:v>Hilton</c:v>
                </c:pt>
                <c:pt idx="27">
                  <c:v>Balgownie and Donmouth East</c:v>
                </c:pt>
                <c:pt idx="28">
                  <c:v>Bucksburn North</c:v>
                </c:pt>
                <c:pt idx="29">
                  <c:v>Balgownie and Donmouth West</c:v>
                </c:pt>
                <c:pt idx="30">
                  <c:v>Kincorth, Leggart and Nigg South</c:v>
                </c:pt>
                <c:pt idx="31">
                  <c:v>Stockethill</c:v>
                </c:pt>
                <c:pt idx="32">
                  <c:v>Cove North</c:v>
                </c:pt>
                <c:pt idx="33">
                  <c:v>Sheddocksley</c:v>
                </c:pt>
                <c:pt idx="34">
                  <c:v>Garthdee</c:v>
                </c:pt>
                <c:pt idx="35">
                  <c:v>Kincorth, Leggart and Nigg North</c:v>
                </c:pt>
                <c:pt idx="36">
                  <c:v>Seaton</c:v>
                </c:pt>
                <c:pt idx="37">
                  <c:v>Dyce</c:v>
                </c:pt>
                <c:pt idx="38">
                  <c:v>City Centre East (Aberdeen City)</c:v>
                </c:pt>
                <c:pt idx="39">
                  <c:v>Summerhill</c:v>
                </c:pt>
                <c:pt idx="40">
                  <c:v>Torry West</c:v>
                </c:pt>
                <c:pt idx="41">
                  <c:v>Woodside (Aberdeen City)</c:v>
                </c:pt>
                <c:pt idx="42">
                  <c:v>Tillydrone</c:v>
                </c:pt>
                <c:pt idx="43">
                  <c:v>Old Aberdeen</c:v>
                </c:pt>
                <c:pt idx="44">
                  <c:v>Mastrick</c:v>
                </c:pt>
                <c:pt idx="45">
                  <c:v>Northfield</c:v>
                </c:pt>
                <c:pt idx="46">
                  <c:v>Heathryfold and Middlefield</c:v>
                </c:pt>
                <c:pt idx="47">
                  <c:v>Cummings Park</c:v>
                </c:pt>
                <c:pt idx="48">
                  <c:v>Torry East</c:v>
                </c:pt>
              </c:strCache>
            </c:strRef>
          </c:cat>
          <c:val>
            <c:numRef>
              <c:f>Sheet3!$L$5:$L$53</c:f>
              <c:numCache>
                <c:formatCode>0.0</c:formatCode>
                <c:ptCount val="49"/>
                <c:pt idx="0">
                  <c:v>0</c:v>
                </c:pt>
                <c:pt idx="1">
                  <c:v>0</c:v>
                </c:pt>
                <c:pt idx="2">
                  <c:v>1.5625</c:v>
                </c:pt>
                <c:pt idx="3">
                  <c:v>1.98675496688742</c:v>
                </c:pt>
                <c:pt idx="4">
                  <c:v>2.0547945205479499</c:v>
                </c:pt>
                <c:pt idx="5">
                  <c:v>2.5862068965517202</c:v>
                </c:pt>
                <c:pt idx="6">
                  <c:v>3.5353535353535399</c:v>
                </c:pt>
                <c:pt idx="7">
                  <c:v>3.7878787878787898</c:v>
                </c:pt>
                <c:pt idx="8">
                  <c:v>4.2424242424242404</c:v>
                </c:pt>
                <c:pt idx="9">
                  <c:v>4.3859649122807003</c:v>
                </c:pt>
                <c:pt idx="10">
                  <c:v>4.7619047619047601</c:v>
                </c:pt>
                <c:pt idx="11">
                  <c:v>4.9645390070922</c:v>
                </c:pt>
                <c:pt idx="12">
                  <c:v>5.1282051282051304</c:v>
                </c:pt>
                <c:pt idx="13">
                  <c:v>5.2173913043478297</c:v>
                </c:pt>
                <c:pt idx="14">
                  <c:v>5.9602649006622501</c:v>
                </c:pt>
                <c:pt idx="15">
                  <c:v>6.5989847715736003</c:v>
                </c:pt>
                <c:pt idx="16">
                  <c:v>6.875</c:v>
                </c:pt>
                <c:pt idx="17">
                  <c:v>7.2727272727272698</c:v>
                </c:pt>
                <c:pt idx="18">
                  <c:v>8.0645161290322598</c:v>
                </c:pt>
                <c:pt idx="19">
                  <c:v>8.1871345029239802</c:v>
                </c:pt>
                <c:pt idx="20">
                  <c:v>8.1967213114754092</c:v>
                </c:pt>
                <c:pt idx="21">
                  <c:v>8.3870967741935498</c:v>
                </c:pt>
                <c:pt idx="22">
                  <c:v>8.8000000000000007</c:v>
                </c:pt>
                <c:pt idx="23">
                  <c:v>9.0090090090090094</c:v>
                </c:pt>
                <c:pt idx="24">
                  <c:v>9.2827004219409304</c:v>
                </c:pt>
                <c:pt idx="25">
                  <c:v>9.67741935483871</c:v>
                </c:pt>
                <c:pt idx="26">
                  <c:v>10.1214574898785</c:v>
                </c:pt>
                <c:pt idx="27">
                  <c:v>10.294117647058799</c:v>
                </c:pt>
                <c:pt idx="28">
                  <c:v>10.596026490066199</c:v>
                </c:pt>
                <c:pt idx="29">
                  <c:v>16.239316239316199</c:v>
                </c:pt>
                <c:pt idx="30">
                  <c:v>16.410256410256402</c:v>
                </c:pt>
                <c:pt idx="31">
                  <c:v>17.435897435897399</c:v>
                </c:pt>
                <c:pt idx="32">
                  <c:v>18.115942028985501</c:v>
                </c:pt>
                <c:pt idx="33">
                  <c:v>18.232044198895</c:v>
                </c:pt>
                <c:pt idx="34">
                  <c:v>18.848167539266999</c:v>
                </c:pt>
                <c:pt idx="35">
                  <c:v>18.902439024390201</c:v>
                </c:pt>
                <c:pt idx="36">
                  <c:v>20</c:v>
                </c:pt>
                <c:pt idx="37">
                  <c:v>20.5298013245033</c:v>
                </c:pt>
                <c:pt idx="38">
                  <c:v>21.505376344085999</c:v>
                </c:pt>
                <c:pt idx="39">
                  <c:v>21.641791044776099</c:v>
                </c:pt>
                <c:pt idx="40">
                  <c:v>21.951219512195099</c:v>
                </c:pt>
                <c:pt idx="41">
                  <c:v>23.076923076923102</c:v>
                </c:pt>
                <c:pt idx="42">
                  <c:v>23.867069486404802</c:v>
                </c:pt>
                <c:pt idx="43">
                  <c:v>25.196850393700799</c:v>
                </c:pt>
                <c:pt idx="44">
                  <c:v>26.457399103139</c:v>
                </c:pt>
                <c:pt idx="45">
                  <c:v>30.081300813008099</c:v>
                </c:pt>
                <c:pt idx="46">
                  <c:v>30.241935483871</c:v>
                </c:pt>
                <c:pt idx="47">
                  <c:v>31.788079470198699</c:v>
                </c:pt>
                <c:pt idx="48">
                  <c:v>36.170212765957402</c:v>
                </c:pt>
              </c:numCache>
            </c:numRef>
          </c:val>
          <c:extLst>
            <c:ext xmlns:c16="http://schemas.microsoft.com/office/drawing/2014/chart" uri="{C3380CC4-5D6E-409C-BE32-E72D297353CC}">
              <c16:uniqueId val="{00000000-0915-4D60-98AE-C14F31E039D3}"/>
            </c:ext>
          </c:extLst>
        </c:ser>
        <c:dLbls>
          <c:showLegendKey val="0"/>
          <c:showVal val="0"/>
          <c:showCatName val="0"/>
          <c:showSerName val="0"/>
          <c:showPercent val="0"/>
          <c:showBubbleSize val="0"/>
        </c:dLbls>
        <c:gapWidth val="100"/>
        <c:overlap val="-24"/>
        <c:axId val="912149448"/>
        <c:axId val="912151744"/>
      </c:barChart>
      <c:catAx>
        <c:axId val="91214944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2"/>
                </a:solidFill>
                <a:latin typeface="+mn-lt"/>
                <a:ea typeface="+mn-ea"/>
                <a:cs typeface="+mn-cs"/>
              </a:defRPr>
            </a:pPr>
            <a:endParaRPr lang="en-US"/>
          </a:p>
        </c:txPr>
        <c:crossAx val="912151744"/>
        <c:crosses val="autoZero"/>
        <c:auto val="1"/>
        <c:lblAlgn val="ctr"/>
        <c:lblOffset val="100"/>
        <c:noMultiLvlLbl val="0"/>
      </c:catAx>
      <c:valAx>
        <c:axId val="91215174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Percentage</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912149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r>
              <a:rPr lang="en-US" sz="1200" b="0"/>
              <a:t>Prevalence of problem drinking, Aberdeen City and Scotland, 2015</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Wellbeing!$D$13</c:f>
              <c:strCache>
                <c:ptCount val="1"/>
                <c:pt idx="0">
                  <c:v>Aberdeen City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Wellbeing!$C$14:$C$15</c:f>
              <c:strCache>
                <c:ptCount val="2"/>
                <c:pt idx="0">
                  <c:v>Males problem drinking</c:v>
                </c:pt>
                <c:pt idx="1">
                  <c:v>Females problem drinking</c:v>
                </c:pt>
              </c:strCache>
            </c:strRef>
          </c:cat>
          <c:val>
            <c:numRef>
              <c:f>Wellbeing!$D$14:$D$15</c:f>
              <c:numCache>
                <c:formatCode>0.0%</c:formatCode>
                <c:ptCount val="2"/>
                <c:pt idx="0">
                  <c:v>0.28179972949999998</c:v>
                </c:pt>
                <c:pt idx="1">
                  <c:v>0.14167046950000001</c:v>
                </c:pt>
              </c:numCache>
            </c:numRef>
          </c:val>
          <c:extLst>
            <c:ext xmlns:c16="http://schemas.microsoft.com/office/drawing/2014/chart" uri="{C3380CC4-5D6E-409C-BE32-E72D297353CC}">
              <c16:uniqueId val="{00000000-4303-4096-BD9E-0D4F89D78424}"/>
            </c:ext>
          </c:extLst>
        </c:ser>
        <c:ser>
          <c:idx val="1"/>
          <c:order val="1"/>
          <c:tx>
            <c:strRef>
              <c:f>Wellbeing!$E$13</c:f>
              <c:strCache>
                <c:ptCount val="1"/>
                <c:pt idx="0">
                  <c:v>Scotland</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Wellbeing!$C$14:$C$15</c:f>
              <c:strCache>
                <c:ptCount val="2"/>
                <c:pt idx="0">
                  <c:v>Males problem drinking</c:v>
                </c:pt>
                <c:pt idx="1">
                  <c:v>Females problem drinking</c:v>
                </c:pt>
              </c:strCache>
            </c:strRef>
          </c:cat>
          <c:val>
            <c:numRef>
              <c:f>Wellbeing!$E$14:$E$15</c:f>
              <c:numCache>
                <c:formatCode>0.0%</c:formatCode>
                <c:ptCount val="2"/>
                <c:pt idx="0">
                  <c:v>0.24068925799999999</c:v>
                </c:pt>
                <c:pt idx="1">
                  <c:v>0.11575841119999999</c:v>
                </c:pt>
              </c:numCache>
            </c:numRef>
          </c:val>
          <c:extLst>
            <c:ext xmlns:c16="http://schemas.microsoft.com/office/drawing/2014/chart" uri="{C3380CC4-5D6E-409C-BE32-E72D297353CC}">
              <c16:uniqueId val="{00000001-4303-4096-BD9E-0D4F89D78424}"/>
            </c:ext>
          </c:extLst>
        </c:ser>
        <c:dLbls>
          <c:dLblPos val="outEnd"/>
          <c:showLegendKey val="0"/>
          <c:showVal val="1"/>
          <c:showCatName val="0"/>
          <c:showSerName val="0"/>
          <c:showPercent val="0"/>
          <c:showBubbleSize val="0"/>
        </c:dLbls>
        <c:gapWidth val="100"/>
        <c:overlap val="-24"/>
        <c:axId val="715757888"/>
        <c:axId val="715758544"/>
      </c:barChart>
      <c:catAx>
        <c:axId val="71575788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15758544"/>
        <c:crosses val="autoZero"/>
        <c:auto val="1"/>
        <c:lblAlgn val="ctr"/>
        <c:lblOffset val="100"/>
        <c:noMultiLvlLbl val="0"/>
      </c:catAx>
      <c:valAx>
        <c:axId val="71575854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Percentage</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15757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100"/>
              <a:t>Rate of alcohol-related</a:t>
            </a:r>
            <a:r>
              <a:rPr lang="en-GB" sz="1100" baseline="0"/>
              <a:t> hospital stays, Aberdeen City and Scotland, 2002/03 to 2016/17</a:t>
            </a:r>
          </a:p>
        </c:rich>
      </c:tx>
      <c:layout>
        <c:manualLayout>
          <c:xMode val="edge"/>
          <c:yMode val="edge"/>
          <c:x val="0.12612239931865191"/>
          <c:y val="9.5215424898833605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758173159368581"/>
          <c:y val="5.0925925925925923E-2"/>
          <c:w val="0.83565102178263728"/>
          <c:h val="0.64972404491105273"/>
        </c:manualLayout>
      </c:layout>
      <c:lineChart>
        <c:grouping val="standard"/>
        <c:varyColors val="0"/>
        <c:ser>
          <c:idx val="0"/>
          <c:order val="0"/>
          <c:tx>
            <c:strRef>
              <c:f>Sheet1!$B$24</c:f>
              <c:strCache>
                <c:ptCount val="1"/>
                <c:pt idx="0">
                  <c:v>Aberdeen City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5"/>
              <c:layout>
                <c:manualLayout>
                  <c:x val="-4.3800949020562203E-2"/>
                  <c:y val="9.7707145092938125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2-3E85-40D8-AE32-F21388A6E537}"/>
                </c:ext>
              </c:extLst>
            </c:dLbl>
            <c:dLbl>
              <c:idx val="14"/>
              <c:layout>
                <c:manualLayout>
                  <c:x val="-1.2166930283489476E-2"/>
                  <c:y val="-0.11574074074074074"/>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3-3E85-40D8-AE32-F21388A6E53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Sheet1!$A$25:$A$39</c:f>
              <c:strCache>
                <c:ptCount val="15"/>
                <c:pt idx="0">
                  <c:v>2002/03</c:v>
                </c:pt>
                <c:pt idx="1">
                  <c:v>2003/04</c:v>
                </c:pt>
                <c:pt idx="2">
                  <c:v>2004/05</c:v>
                </c:pt>
                <c:pt idx="3">
                  <c:v>2005/06</c:v>
                </c:pt>
                <c:pt idx="4">
                  <c:v>2006/07</c:v>
                </c:pt>
                <c:pt idx="5">
                  <c:v>2007/08</c:v>
                </c:pt>
                <c:pt idx="6">
                  <c:v>2008/09</c:v>
                </c:pt>
                <c:pt idx="7">
                  <c:v>2009/10</c:v>
                </c:pt>
                <c:pt idx="8">
                  <c:v>2010/11</c:v>
                </c:pt>
                <c:pt idx="9">
                  <c:v>2011/12</c:v>
                </c:pt>
                <c:pt idx="10">
                  <c:v>2012/13</c:v>
                </c:pt>
                <c:pt idx="11">
                  <c:v>2013/14</c:v>
                </c:pt>
                <c:pt idx="12">
                  <c:v>2014/15</c:v>
                </c:pt>
                <c:pt idx="13">
                  <c:v>2015/16</c:v>
                </c:pt>
                <c:pt idx="14">
                  <c:v>2016/17</c:v>
                </c:pt>
              </c:strCache>
            </c:strRef>
          </c:cat>
          <c:val>
            <c:numRef>
              <c:f>Sheet1!$B$25:$B$39</c:f>
              <c:numCache>
                <c:formatCode>#,##0</c:formatCode>
                <c:ptCount val="15"/>
                <c:pt idx="0">
                  <c:v>741.10085590000006</c:v>
                </c:pt>
                <c:pt idx="1">
                  <c:v>940.02011100000004</c:v>
                </c:pt>
                <c:pt idx="2">
                  <c:v>871.52306180000005</c:v>
                </c:pt>
                <c:pt idx="3">
                  <c:v>943.96961659999999</c:v>
                </c:pt>
                <c:pt idx="4">
                  <c:v>996.30180540000003</c:v>
                </c:pt>
                <c:pt idx="5">
                  <c:v>1073.928525</c:v>
                </c:pt>
                <c:pt idx="6">
                  <c:v>1071.511812</c:v>
                </c:pt>
                <c:pt idx="7">
                  <c:v>1050.7468289999999</c:v>
                </c:pt>
                <c:pt idx="8">
                  <c:v>922.89580100000001</c:v>
                </c:pt>
                <c:pt idx="9">
                  <c:v>961.72360510849796</c:v>
                </c:pt>
                <c:pt idx="10">
                  <c:v>855.484791697422</c:v>
                </c:pt>
                <c:pt idx="11">
                  <c:v>794.07970530539399</c:v>
                </c:pt>
                <c:pt idx="12">
                  <c:v>722.44916141064004</c:v>
                </c:pt>
                <c:pt idx="13">
                  <c:v>762.75271103355999</c:v>
                </c:pt>
                <c:pt idx="14">
                  <c:v>705.36109682538404</c:v>
                </c:pt>
              </c:numCache>
            </c:numRef>
          </c:val>
          <c:smooth val="0"/>
          <c:extLst>
            <c:ext xmlns:c16="http://schemas.microsoft.com/office/drawing/2014/chart" uri="{C3380CC4-5D6E-409C-BE32-E72D297353CC}">
              <c16:uniqueId val="{00000000-3E85-40D8-AE32-F21388A6E537}"/>
            </c:ext>
          </c:extLst>
        </c:ser>
        <c:ser>
          <c:idx val="1"/>
          <c:order val="1"/>
          <c:tx>
            <c:strRef>
              <c:f>Sheet1!$C$24</c:f>
              <c:strCache>
                <c:ptCount val="1"/>
                <c:pt idx="0">
                  <c:v>Scotland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Sheet1!$A$25:$A$39</c:f>
              <c:strCache>
                <c:ptCount val="15"/>
                <c:pt idx="0">
                  <c:v>2002/03</c:v>
                </c:pt>
                <c:pt idx="1">
                  <c:v>2003/04</c:v>
                </c:pt>
                <c:pt idx="2">
                  <c:v>2004/05</c:v>
                </c:pt>
                <c:pt idx="3">
                  <c:v>2005/06</c:v>
                </c:pt>
                <c:pt idx="4">
                  <c:v>2006/07</c:v>
                </c:pt>
                <c:pt idx="5">
                  <c:v>2007/08</c:v>
                </c:pt>
                <c:pt idx="6">
                  <c:v>2008/09</c:v>
                </c:pt>
                <c:pt idx="7">
                  <c:v>2009/10</c:v>
                </c:pt>
                <c:pt idx="8">
                  <c:v>2010/11</c:v>
                </c:pt>
                <c:pt idx="9">
                  <c:v>2011/12</c:v>
                </c:pt>
                <c:pt idx="10">
                  <c:v>2012/13</c:v>
                </c:pt>
                <c:pt idx="11">
                  <c:v>2013/14</c:v>
                </c:pt>
                <c:pt idx="12">
                  <c:v>2014/15</c:v>
                </c:pt>
                <c:pt idx="13">
                  <c:v>2015/16</c:v>
                </c:pt>
                <c:pt idx="14">
                  <c:v>2016/17</c:v>
                </c:pt>
              </c:strCache>
            </c:strRef>
          </c:cat>
          <c:val>
            <c:numRef>
              <c:f>Sheet1!$C$25:$C$39</c:f>
              <c:numCache>
                <c:formatCode>#,##0</c:formatCode>
                <c:ptCount val="15"/>
                <c:pt idx="0">
                  <c:v>743.09365530000002</c:v>
                </c:pt>
                <c:pt idx="1">
                  <c:v>740.62401999999997</c:v>
                </c:pt>
                <c:pt idx="2">
                  <c:v>795.47501009999996</c:v>
                </c:pt>
                <c:pt idx="3">
                  <c:v>779.44575150000003</c:v>
                </c:pt>
                <c:pt idx="4">
                  <c:v>809.42362360000004</c:v>
                </c:pt>
                <c:pt idx="5">
                  <c:v>855.59287719999998</c:v>
                </c:pt>
                <c:pt idx="6">
                  <c:v>828.20095460000005</c:v>
                </c:pt>
                <c:pt idx="7">
                  <c:v>771.39681719999999</c:v>
                </c:pt>
                <c:pt idx="8">
                  <c:v>759.69674580000003</c:v>
                </c:pt>
                <c:pt idx="9">
                  <c:v>749.96410719107598</c:v>
                </c:pt>
                <c:pt idx="10">
                  <c:v>698.98880123883202</c:v>
                </c:pt>
                <c:pt idx="11">
                  <c:v>706.78858237785403</c:v>
                </c:pt>
                <c:pt idx="12">
                  <c:v>676.28503527255805</c:v>
                </c:pt>
                <c:pt idx="13">
                  <c:v>673.17215884346399</c:v>
                </c:pt>
                <c:pt idx="14">
                  <c:v>680.752088872542</c:v>
                </c:pt>
              </c:numCache>
            </c:numRef>
          </c:val>
          <c:smooth val="0"/>
          <c:extLst>
            <c:ext xmlns:c16="http://schemas.microsoft.com/office/drawing/2014/chart" uri="{C3380CC4-5D6E-409C-BE32-E72D297353CC}">
              <c16:uniqueId val="{00000001-3E85-40D8-AE32-F21388A6E537}"/>
            </c:ext>
          </c:extLst>
        </c:ser>
        <c:dLbls>
          <c:showLegendKey val="0"/>
          <c:showVal val="0"/>
          <c:showCatName val="0"/>
          <c:showSerName val="0"/>
          <c:showPercent val="0"/>
          <c:showBubbleSize val="0"/>
        </c:dLbls>
        <c:marker val="1"/>
        <c:smooth val="0"/>
        <c:axId val="431196520"/>
        <c:axId val="431201112"/>
      </c:lineChart>
      <c:catAx>
        <c:axId val="431196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31201112"/>
        <c:crosses val="autoZero"/>
        <c:auto val="1"/>
        <c:lblAlgn val="ctr"/>
        <c:lblOffset val="100"/>
        <c:noMultiLvlLbl val="0"/>
      </c:catAx>
      <c:valAx>
        <c:axId val="431201112"/>
        <c:scaling>
          <c:orientation val="minMax"/>
          <c:max val="1300"/>
          <c:min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t>Rate per 100,000 population</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1196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b="0">
                <a:effectLst/>
              </a:rPr>
              <a:t>Rate</a:t>
            </a:r>
            <a:r>
              <a:rPr lang="en-GB" sz="1000" b="0" baseline="0">
                <a:effectLst/>
              </a:rPr>
              <a:t> </a:t>
            </a:r>
            <a:r>
              <a:rPr lang="en-GB" sz="1000" b="0">
                <a:effectLst/>
              </a:rPr>
              <a:t>of alcohol-related mortality, Aberdeen City and Scotland, 2002-2006 to 2012-2016</a:t>
            </a:r>
          </a:p>
        </c:rich>
      </c:tx>
      <c:layout>
        <c:manualLayout>
          <c:xMode val="edge"/>
          <c:yMode val="edge"/>
          <c:x val="0.12570822397200351"/>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'Alcohol profiles ScotPHO'!$B$62</c:f>
              <c:strCache>
                <c:ptCount val="1"/>
                <c:pt idx="0">
                  <c:v>Aberdeen City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'Alcohol profiles ScotPHO'!$A$63:$A$73</c:f>
              <c:strCache>
                <c:ptCount val="11"/>
                <c:pt idx="0">
                  <c:v>2002-2006</c:v>
                </c:pt>
                <c:pt idx="1">
                  <c:v>2003-2007</c:v>
                </c:pt>
                <c:pt idx="2">
                  <c:v>2004-2008</c:v>
                </c:pt>
                <c:pt idx="3">
                  <c:v>2005-2009</c:v>
                </c:pt>
                <c:pt idx="4">
                  <c:v>2006-2010</c:v>
                </c:pt>
                <c:pt idx="5">
                  <c:v>2007-2011</c:v>
                </c:pt>
                <c:pt idx="6">
                  <c:v>2008-2012</c:v>
                </c:pt>
                <c:pt idx="7">
                  <c:v>2009-2013</c:v>
                </c:pt>
                <c:pt idx="8">
                  <c:v>2010-2014</c:v>
                </c:pt>
                <c:pt idx="9">
                  <c:v>2011-2015</c:v>
                </c:pt>
                <c:pt idx="10">
                  <c:v>2012-2016</c:v>
                </c:pt>
              </c:strCache>
            </c:strRef>
          </c:cat>
          <c:val>
            <c:numRef>
              <c:f>'Alcohol profiles ScotPHO'!$B$63:$B$73</c:f>
              <c:numCache>
                <c:formatCode>0.0</c:formatCode>
                <c:ptCount val="11"/>
                <c:pt idx="0">
                  <c:v>22.261043698534099</c:v>
                </c:pt>
                <c:pt idx="1">
                  <c:v>23.503930503055098</c:v>
                </c:pt>
                <c:pt idx="2">
                  <c:v>23.5855639354407</c:v>
                </c:pt>
                <c:pt idx="3">
                  <c:v>24.957088424211701</c:v>
                </c:pt>
                <c:pt idx="4">
                  <c:v>24.3504128190602</c:v>
                </c:pt>
                <c:pt idx="5">
                  <c:v>23.5893559701539</c:v>
                </c:pt>
                <c:pt idx="6">
                  <c:v>21.5327468271337</c:v>
                </c:pt>
                <c:pt idx="7">
                  <c:v>21.8862574132967</c:v>
                </c:pt>
                <c:pt idx="8">
                  <c:v>21.488948179209</c:v>
                </c:pt>
                <c:pt idx="9">
                  <c:v>20.935478683522</c:v>
                </c:pt>
                <c:pt idx="10">
                  <c:v>23.071628011331399</c:v>
                </c:pt>
              </c:numCache>
            </c:numRef>
          </c:val>
          <c:smooth val="0"/>
          <c:extLst>
            <c:ext xmlns:c16="http://schemas.microsoft.com/office/drawing/2014/chart" uri="{C3380CC4-5D6E-409C-BE32-E72D297353CC}">
              <c16:uniqueId val="{00000000-927C-4CAF-8E5B-1E267135D521}"/>
            </c:ext>
          </c:extLst>
        </c:ser>
        <c:ser>
          <c:idx val="1"/>
          <c:order val="1"/>
          <c:tx>
            <c:strRef>
              <c:f>'Alcohol profiles ScotPHO'!$C$62</c:f>
              <c:strCache>
                <c:ptCount val="1"/>
                <c:pt idx="0">
                  <c:v>Scotland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'Alcohol profiles ScotPHO'!$A$63:$A$73</c:f>
              <c:strCache>
                <c:ptCount val="11"/>
                <c:pt idx="0">
                  <c:v>2002-2006</c:v>
                </c:pt>
                <c:pt idx="1">
                  <c:v>2003-2007</c:v>
                </c:pt>
                <c:pt idx="2">
                  <c:v>2004-2008</c:v>
                </c:pt>
                <c:pt idx="3">
                  <c:v>2005-2009</c:v>
                </c:pt>
                <c:pt idx="4">
                  <c:v>2006-2010</c:v>
                </c:pt>
                <c:pt idx="5">
                  <c:v>2007-2011</c:v>
                </c:pt>
                <c:pt idx="6">
                  <c:v>2008-2012</c:v>
                </c:pt>
                <c:pt idx="7">
                  <c:v>2009-2013</c:v>
                </c:pt>
                <c:pt idx="8">
                  <c:v>2010-2014</c:v>
                </c:pt>
                <c:pt idx="9">
                  <c:v>2011-2015</c:v>
                </c:pt>
                <c:pt idx="10">
                  <c:v>2012-2016</c:v>
                </c:pt>
              </c:strCache>
            </c:strRef>
          </c:cat>
          <c:val>
            <c:numRef>
              <c:f>'Alcohol profiles ScotPHO'!$C$63:$C$73</c:f>
              <c:numCache>
                <c:formatCode>0.0</c:formatCode>
                <c:ptCount val="11"/>
                <c:pt idx="0">
                  <c:v>31.9926164151851</c:v>
                </c:pt>
                <c:pt idx="1">
                  <c:v>31.211639894716502</c:v>
                </c:pt>
                <c:pt idx="2">
                  <c:v>30.266296923863401</c:v>
                </c:pt>
                <c:pt idx="3">
                  <c:v>29.116587187983001</c:v>
                </c:pt>
                <c:pt idx="4">
                  <c:v>27.9780800854085</c:v>
                </c:pt>
                <c:pt idx="5">
                  <c:v>26.523845345322101</c:v>
                </c:pt>
                <c:pt idx="6">
                  <c:v>25.069167606071101</c:v>
                </c:pt>
                <c:pt idx="7">
                  <c:v>23.645394664591599</c:v>
                </c:pt>
                <c:pt idx="8">
                  <c:v>22.961322105360502</c:v>
                </c:pt>
                <c:pt idx="9">
                  <c:v>22.1323798605425</c:v>
                </c:pt>
                <c:pt idx="10">
                  <c:v>22.017749163818898</c:v>
                </c:pt>
              </c:numCache>
            </c:numRef>
          </c:val>
          <c:smooth val="0"/>
          <c:extLst>
            <c:ext xmlns:c16="http://schemas.microsoft.com/office/drawing/2014/chart" uri="{C3380CC4-5D6E-409C-BE32-E72D297353CC}">
              <c16:uniqueId val="{00000001-927C-4CAF-8E5B-1E267135D521}"/>
            </c:ext>
          </c:extLst>
        </c:ser>
        <c:dLbls>
          <c:showLegendKey val="0"/>
          <c:showVal val="0"/>
          <c:showCatName val="0"/>
          <c:showSerName val="0"/>
          <c:showPercent val="0"/>
          <c:showBubbleSize val="0"/>
        </c:dLbls>
        <c:marker val="1"/>
        <c:smooth val="0"/>
        <c:axId val="431200128"/>
        <c:axId val="431201440"/>
      </c:lineChart>
      <c:catAx>
        <c:axId val="431200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431201440"/>
        <c:crosses val="autoZero"/>
        <c:auto val="1"/>
        <c:lblAlgn val="ctr"/>
        <c:lblOffset val="100"/>
        <c:noMultiLvlLbl val="0"/>
      </c:catAx>
      <c:valAx>
        <c:axId val="431201440"/>
        <c:scaling>
          <c:orientation val="minMax"/>
          <c:min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t>Rate per 100,000 population</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31200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100" b="1"/>
              <a:t>Rate of alcohol-related mortality, Intermediate Zone, Aberdeen, 2012-2016</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bar"/>
        <c:grouping val="clustered"/>
        <c:varyColors val="0"/>
        <c:ser>
          <c:idx val="0"/>
          <c:order val="0"/>
          <c:tx>
            <c:strRef>
              <c:f>'Alcohol profiles ScotPHO'!$L$80</c:f>
              <c:strCache>
                <c:ptCount val="1"/>
                <c:pt idx="0">
                  <c:v>Rate* of alcohol-related mortality by Intermediate Zone, Aberdeen City, 2012-2016</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'Alcohol profiles ScotPHO'!$K$81:$K$129</c:f>
              <c:strCache>
                <c:ptCount val="49"/>
                <c:pt idx="0">
                  <c:v>Cove South</c:v>
                </c:pt>
                <c:pt idx="1">
                  <c:v>Denmore</c:v>
                </c:pt>
                <c:pt idx="2">
                  <c:v>Braeside, Mannofield, Broomhill and Seafield South</c:v>
                </c:pt>
                <c:pt idx="3">
                  <c:v>Braeside, Mannofield, Broomhill and Seafield East</c:v>
                </c:pt>
                <c:pt idx="4">
                  <c:v>Hilton</c:v>
                </c:pt>
                <c:pt idx="5">
                  <c:v>Cummings Park</c:v>
                </c:pt>
                <c:pt idx="6">
                  <c:v>Balgownie and Donmouth West</c:v>
                </c:pt>
                <c:pt idx="7">
                  <c:v>Froghall, Powis and Sunnybank</c:v>
                </c:pt>
                <c:pt idx="8">
                  <c:v>Balgownie and Donmouth East</c:v>
                </c:pt>
                <c:pt idx="9">
                  <c:v>Braeside, Mannofield, Broomhill and Seafield North</c:v>
                </c:pt>
                <c:pt idx="10">
                  <c:v>West End South</c:v>
                </c:pt>
                <c:pt idx="11">
                  <c:v>Danestone</c:v>
                </c:pt>
                <c:pt idx="12">
                  <c:v>Kingswells</c:v>
                </c:pt>
                <c:pt idx="13">
                  <c:v>Midstocket</c:v>
                </c:pt>
                <c:pt idx="14">
                  <c:v>Dyce</c:v>
                </c:pt>
                <c:pt idx="15">
                  <c:v>Cults, Bieldside and Milltimber East</c:v>
                </c:pt>
                <c:pt idx="16">
                  <c:v>Mastrick</c:v>
                </c:pt>
                <c:pt idx="17">
                  <c:v>Oldmachar East</c:v>
                </c:pt>
                <c:pt idx="18">
                  <c:v>Northfield</c:v>
                </c:pt>
                <c:pt idx="19">
                  <c:v>Stockethill</c:v>
                </c:pt>
                <c:pt idx="20">
                  <c:v>Summerhill</c:v>
                </c:pt>
                <c:pt idx="21">
                  <c:v>Hazlehead</c:v>
                </c:pt>
                <c:pt idx="22">
                  <c:v>Oldmachar West</c:v>
                </c:pt>
                <c:pt idx="23">
                  <c:v>Kincorth, Leggart and Nigg North</c:v>
                </c:pt>
                <c:pt idx="24">
                  <c:v>Cults, Bieldside and Milltimber West</c:v>
                </c:pt>
                <c:pt idx="25">
                  <c:v>Kincorth, Leggart and Nigg South</c:v>
                </c:pt>
                <c:pt idx="26">
                  <c:v>Culter</c:v>
                </c:pt>
                <c:pt idx="27">
                  <c:v>Bucksburn North</c:v>
                </c:pt>
                <c:pt idx="28">
                  <c:v>Torry West</c:v>
                </c:pt>
                <c:pt idx="29">
                  <c:v>West End North</c:v>
                </c:pt>
                <c:pt idx="30">
                  <c:v>Cove North</c:v>
                </c:pt>
                <c:pt idx="31">
                  <c:v>Ferryhill South</c:v>
                </c:pt>
                <c:pt idx="32">
                  <c:v>Rosemount</c:v>
                </c:pt>
                <c:pt idx="33">
                  <c:v>Heathryfold and Middlefield</c:v>
                </c:pt>
                <c:pt idx="34">
                  <c:v>Hanover South</c:v>
                </c:pt>
                <c:pt idx="35">
                  <c:v>Garthdee</c:v>
                </c:pt>
                <c:pt idx="36">
                  <c:v>Bucksburn South</c:v>
                </c:pt>
                <c:pt idx="37">
                  <c:v>City Centre West (Aberdeen City)</c:v>
                </c:pt>
                <c:pt idx="38">
                  <c:v>Ashgrove</c:v>
                </c:pt>
                <c:pt idx="39">
                  <c:v>Old Aberdeen</c:v>
                </c:pt>
                <c:pt idx="40">
                  <c:v>Sheddocksley</c:v>
                </c:pt>
                <c:pt idx="41">
                  <c:v>Ferryhill North</c:v>
                </c:pt>
                <c:pt idx="42">
                  <c:v>Seaton</c:v>
                </c:pt>
                <c:pt idx="43">
                  <c:v>Tillydrone</c:v>
                </c:pt>
                <c:pt idx="44">
                  <c:v>George Street</c:v>
                </c:pt>
                <c:pt idx="45">
                  <c:v>Torry East</c:v>
                </c:pt>
                <c:pt idx="46">
                  <c:v>Hanover North</c:v>
                </c:pt>
                <c:pt idx="47">
                  <c:v>City Centre East (Aberdeen City)</c:v>
                </c:pt>
                <c:pt idx="48">
                  <c:v>Woodside (Aberdeen City)</c:v>
                </c:pt>
              </c:strCache>
            </c:strRef>
          </c:cat>
          <c:val>
            <c:numRef>
              <c:f>'Alcohol profiles ScotPHO'!$L$81:$L$129</c:f>
              <c:numCache>
                <c:formatCode>0.0</c:formatCode>
                <c:ptCount val="49"/>
                <c:pt idx="0">
                  <c:v>0</c:v>
                </c:pt>
                <c:pt idx="1">
                  <c:v>0</c:v>
                </c:pt>
                <c:pt idx="2">
                  <c:v>0</c:v>
                </c:pt>
                <c:pt idx="3">
                  <c:v>0</c:v>
                </c:pt>
                <c:pt idx="4">
                  <c:v>4.1152263374485596</c:v>
                </c:pt>
                <c:pt idx="5">
                  <c:v>4.8076923076923102</c:v>
                </c:pt>
                <c:pt idx="6">
                  <c:v>5.3435114503816799</c:v>
                </c:pt>
                <c:pt idx="7">
                  <c:v>5.6726094003241503</c:v>
                </c:pt>
                <c:pt idx="8">
                  <c:v>6.4741035856573701</c:v>
                </c:pt>
                <c:pt idx="9">
                  <c:v>8.1174254484542292</c:v>
                </c:pt>
                <c:pt idx="10">
                  <c:v>8.3014048531289895</c:v>
                </c:pt>
                <c:pt idx="11">
                  <c:v>10.8081935462692</c:v>
                </c:pt>
                <c:pt idx="12">
                  <c:v>12.295574795574799</c:v>
                </c:pt>
                <c:pt idx="13">
                  <c:v>12.7829360100376</c:v>
                </c:pt>
                <c:pt idx="14">
                  <c:v>13.364354107230101</c:v>
                </c:pt>
                <c:pt idx="15">
                  <c:v>13.608940452013799</c:v>
                </c:pt>
                <c:pt idx="16">
                  <c:v>14.288095634986799</c:v>
                </c:pt>
                <c:pt idx="17">
                  <c:v>14.9155355922273</c:v>
                </c:pt>
                <c:pt idx="18">
                  <c:v>16.044347971326498</c:v>
                </c:pt>
                <c:pt idx="19">
                  <c:v>16.631417330429901</c:v>
                </c:pt>
                <c:pt idx="20">
                  <c:v>16.746962316874701</c:v>
                </c:pt>
                <c:pt idx="21">
                  <c:v>17.832952677491399</c:v>
                </c:pt>
                <c:pt idx="22">
                  <c:v>20.155466213019899</c:v>
                </c:pt>
                <c:pt idx="23">
                  <c:v>20.927704703558302</c:v>
                </c:pt>
                <c:pt idx="24">
                  <c:v>22.828963500461999</c:v>
                </c:pt>
                <c:pt idx="25">
                  <c:v>23.334055113782799</c:v>
                </c:pt>
                <c:pt idx="26">
                  <c:v>23.6280687154084</c:v>
                </c:pt>
                <c:pt idx="27">
                  <c:v>23.720980819447899</c:v>
                </c:pt>
                <c:pt idx="28">
                  <c:v>26.540102295845699</c:v>
                </c:pt>
                <c:pt idx="29">
                  <c:v>27.2521930588331</c:v>
                </c:pt>
                <c:pt idx="30">
                  <c:v>28.5375253527403</c:v>
                </c:pt>
                <c:pt idx="31">
                  <c:v>30.157328600682799</c:v>
                </c:pt>
                <c:pt idx="32">
                  <c:v>30.552137155586401</c:v>
                </c:pt>
                <c:pt idx="33">
                  <c:v>32.250177708194499</c:v>
                </c:pt>
                <c:pt idx="34">
                  <c:v>33.798693001422699</c:v>
                </c:pt>
                <c:pt idx="35">
                  <c:v>34.898252597016501</c:v>
                </c:pt>
                <c:pt idx="36">
                  <c:v>39.4089968950234</c:v>
                </c:pt>
                <c:pt idx="37">
                  <c:v>39.627988307718603</c:v>
                </c:pt>
                <c:pt idx="38">
                  <c:v>41.4164880898443</c:v>
                </c:pt>
                <c:pt idx="39">
                  <c:v>42.990187540126499</c:v>
                </c:pt>
                <c:pt idx="40">
                  <c:v>45.416107520727799</c:v>
                </c:pt>
                <c:pt idx="41">
                  <c:v>45.805325982169698</c:v>
                </c:pt>
                <c:pt idx="42">
                  <c:v>50.824089585404501</c:v>
                </c:pt>
                <c:pt idx="43">
                  <c:v>54.319760715261701</c:v>
                </c:pt>
                <c:pt idx="44">
                  <c:v>65.491287235079398</c:v>
                </c:pt>
                <c:pt idx="45">
                  <c:v>70.016934797875095</c:v>
                </c:pt>
                <c:pt idx="46">
                  <c:v>71.6643087480779</c:v>
                </c:pt>
                <c:pt idx="47">
                  <c:v>76.012175526738602</c:v>
                </c:pt>
                <c:pt idx="48">
                  <c:v>91.2634739487535</c:v>
                </c:pt>
              </c:numCache>
            </c:numRef>
          </c:val>
          <c:extLst>
            <c:ext xmlns:c16="http://schemas.microsoft.com/office/drawing/2014/chart" uri="{C3380CC4-5D6E-409C-BE32-E72D297353CC}">
              <c16:uniqueId val="{00000000-F146-4445-8A9D-F7AE7F5A85FB}"/>
            </c:ext>
          </c:extLst>
        </c:ser>
        <c:dLbls>
          <c:showLegendKey val="0"/>
          <c:showVal val="0"/>
          <c:showCatName val="0"/>
          <c:showSerName val="0"/>
          <c:showPercent val="0"/>
          <c:showBubbleSize val="0"/>
        </c:dLbls>
        <c:gapWidth val="100"/>
        <c:axId val="413006736"/>
        <c:axId val="413014280"/>
      </c:barChart>
      <c:catAx>
        <c:axId val="413006736"/>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2"/>
                </a:solidFill>
                <a:latin typeface="+mn-lt"/>
                <a:ea typeface="+mn-ea"/>
                <a:cs typeface="+mn-cs"/>
              </a:defRPr>
            </a:pPr>
            <a:endParaRPr lang="en-US"/>
          </a:p>
        </c:txPr>
        <c:crossAx val="413014280"/>
        <c:crosses val="autoZero"/>
        <c:auto val="1"/>
        <c:lblAlgn val="ctr"/>
        <c:lblOffset val="100"/>
        <c:tickLblSkip val="1"/>
        <c:tickMarkSkip val="1"/>
        <c:noMultiLvlLbl val="0"/>
      </c:catAx>
      <c:valAx>
        <c:axId val="413014280"/>
        <c:scaling>
          <c:orientation val="minMax"/>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Rate per 100,000 population</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13006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en-GB" sz="1000" b="1"/>
              <a:t>Estimated</a:t>
            </a:r>
            <a:r>
              <a:rPr lang="en-GB" sz="1000" b="1" baseline="0"/>
              <a:t> prevalence of problem drug use, Aberdeen City and Scotland, 2012/13</a:t>
            </a:r>
            <a:endParaRPr lang="en-GB" sz="1000" b="1"/>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'Prevalenc eof drug use'!$B$14</c:f>
              <c:strCache>
                <c:ptCount val="1"/>
                <c:pt idx="0">
                  <c:v>Aberdeen City</c:v>
                </c:pt>
              </c:strCache>
            </c:strRef>
          </c:tx>
          <c:spPr>
            <a:solidFill>
              <a:schemeClr val="accent1"/>
            </a:solidFill>
            <a:ln>
              <a:noFill/>
            </a:ln>
            <a:effectLst/>
          </c:spPr>
          <c:invertIfNegative val="0"/>
          <c:dLbls>
            <c:dLbl>
              <c:idx val="5"/>
              <c:layout>
                <c:manualLayout>
                  <c:x val="-2.1660649819494584E-2"/>
                  <c:y val="-9.259259259259258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426-47B7-A8C0-7471D7A0159A}"/>
                </c:ext>
              </c:extLst>
            </c:dLbl>
            <c:dLbl>
              <c:idx val="6"/>
              <c:layout>
                <c:manualLayout>
                  <c:x val="-1.684717208182912E-2"/>
                  <c:y val="-4.629629629629671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426-47B7-A8C0-7471D7A0159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'Prevalenc eof drug use'!$A$15:$A$22</c:f>
              <c:strCache>
                <c:ptCount val="8"/>
                <c:pt idx="0">
                  <c:v>Estimated prevalence</c:v>
                </c:pt>
                <c:pt idx="2">
                  <c:v>Males</c:v>
                </c:pt>
                <c:pt idx="3">
                  <c:v>Females</c:v>
                </c:pt>
                <c:pt idx="5">
                  <c:v>Males 15-24 years</c:v>
                </c:pt>
                <c:pt idx="6">
                  <c:v>Males 25 - 34 years</c:v>
                </c:pt>
                <c:pt idx="7">
                  <c:v>Males 35-64 years</c:v>
                </c:pt>
              </c:strCache>
            </c:strRef>
          </c:cat>
          <c:val>
            <c:numRef>
              <c:f>'Prevalenc eof drug use'!$B$15:$B$22</c:f>
              <c:numCache>
                <c:formatCode>General</c:formatCode>
                <c:ptCount val="8"/>
                <c:pt idx="0" formatCode="0.0%">
                  <c:v>1.9099999999999999E-2</c:v>
                </c:pt>
                <c:pt idx="2" formatCode="0.0%">
                  <c:v>2.41E-2</c:v>
                </c:pt>
                <c:pt idx="3" formatCode="0.0%">
                  <c:v>1.3999999999999999E-2</c:v>
                </c:pt>
                <c:pt idx="5" formatCode="0.0%">
                  <c:v>1.3006320400791043E-2</c:v>
                </c:pt>
                <c:pt idx="6" formatCode="0.0%">
                  <c:v>3.9331799932638363E-2</c:v>
                </c:pt>
                <c:pt idx="7" formatCode="0.0%">
                  <c:v>2.135553964490974E-2</c:v>
                </c:pt>
              </c:numCache>
            </c:numRef>
          </c:val>
          <c:extLst>
            <c:ext xmlns:c16="http://schemas.microsoft.com/office/drawing/2014/chart" uri="{C3380CC4-5D6E-409C-BE32-E72D297353CC}">
              <c16:uniqueId val="{00000002-2426-47B7-A8C0-7471D7A0159A}"/>
            </c:ext>
          </c:extLst>
        </c:ser>
        <c:ser>
          <c:idx val="1"/>
          <c:order val="1"/>
          <c:tx>
            <c:strRef>
              <c:f>'Prevalenc eof drug use'!$C$14</c:f>
              <c:strCache>
                <c:ptCount val="1"/>
                <c:pt idx="0">
                  <c:v>Scotland</c:v>
                </c:pt>
              </c:strCache>
            </c:strRef>
          </c:tx>
          <c:spPr>
            <a:solidFill>
              <a:schemeClr val="accent2"/>
            </a:solidFill>
            <a:ln>
              <a:noFill/>
            </a:ln>
            <a:effectLst/>
          </c:spPr>
          <c:invertIfNegative val="0"/>
          <c:dLbls>
            <c:dLbl>
              <c:idx val="0"/>
              <c:layout>
                <c:manualLayout>
                  <c:x val="2.1660649819494563E-2"/>
                  <c:y val="-9.259259259259258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426-47B7-A8C0-7471D7A0159A}"/>
                </c:ext>
              </c:extLst>
            </c:dLbl>
            <c:dLbl>
              <c:idx val="2"/>
              <c:layout>
                <c:manualLayout>
                  <c:x val="7.2202166064981952E-3"/>
                  <c:y val="-2.77777777777778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426-47B7-A8C0-7471D7A0159A}"/>
                </c:ext>
              </c:extLst>
            </c:dLbl>
            <c:dLbl>
              <c:idx val="3"/>
              <c:layout>
                <c:manualLayout>
                  <c:x val="1.9253910950661854E-2"/>
                  <c:y val="-9.259259259259343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426-47B7-A8C0-7471D7A0159A}"/>
                </c:ext>
              </c:extLst>
            </c:dLbl>
            <c:dLbl>
              <c:idx val="7"/>
              <c:layout>
                <c:manualLayout>
                  <c:x val="2.4067388688327317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426-47B7-A8C0-7471D7A0159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'Prevalenc eof drug use'!$A$15:$A$22</c:f>
              <c:strCache>
                <c:ptCount val="8"/>
                <c:pt idx="0">
                  <c:v>Estimated prevalence</c:v>
                </c:pt>
                <c:pt idx="2">
                  <c:v>Males</c:v>
                </c:pt>
                <c:pt idx="3">
                  <c:v>Females</c:v>
                </c:pt>
                <c:pt idx="5">
                  <c:v>Males 15-24 years</c:v>
                </c:pt>
                <c:pt idx="6">
                  <c:v>Males 25 - 34 years</c:v>
                </c:pt>
                <c:pt idx="7">
                  <c:v>Males 35-64 years</c:v>
                </c:pt>
              </c:strCache>
            </c:strRef>
          </c:cat>
          <c:val>
            <c:numRef>
              <c:f>'Prevalenc eof drug use'!$C$15:$C$22</c:f>
              <c:numCache>
                <c:formatCode>General</c:formatCode>
                <c:ptCount val="8"/>
                <c:pt idx="0" formatCode="0.0%">
                  <c:v>1.7399999999999999E-2</c:v>
                </c:pt>
                <c:pt idx="2" formatCode="0.0%">
                  <c:v>2.4900000000000002E-2</c:v>
                </c:pt>
                <c:pt idx="3" formatCode="0.0%">
                  <c:v>1.01E-2</c:v>
                </c:pt>
                <c:pt idx="5" formatCode="0.0%">
                  <c:v>1.8380941020525402E-2</c:v>
                </c:pt>
                <c:pt idx="6" formatCode="0.0%">
                  <c:v>4.4120543092881118E-2</c:v>
                </c:pt>
                <c:pt idx="7" formatCode="0.0%">
                  <c:v>2.1010629122868937E-2</c:v>
                </c:pt>
              </c:numCache>
            </c:numRef>
          </c:val>
          <c:extLst>
            <c:ext xmlns:c16="http://schemas.microsoft.com/office/drawing/2014/chart" uri="{C3380CC4-5D6E-409C-BE32-E72D297353CC}">
              <c16:uniqueId val="{00000007-2426-47B7-A8C0-7471D7A0159A}"/>
            </c:ext>
          </c:extLst>
        </c:ser>
        <c:dLbls>
          <c:dLblPos val="outEnd"/>
          <c:showLegendKey val="0"/>
          <c:showVal val="1"/>
          <c:showCatName val="0"/>
          <c:showSerName val="0"/>
          <c:showPercent val="0"/>
          <c:showBubbleSize val="0"/>
        </c:dLbls>
        <c:gapWidth val="219"/>
        <c:overlap val="-27"/>
        <c:axId val="641730440"/>
        <c:axId val="641732408"/>
      </c:barChart>
      <c:catAx>
        <c:axId val="641730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41732408"/>
        <c:crosses val="autoZero"/>
        <c:auto val="1"/>
        <c:lblAlgn val="ctr"/>
        <c:lblOffset val="100"/>
        <c:noMultiLvlLbl val="0"/>
      </c:catAx>
      <c:valAx>
        <c:axId val="6417324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1730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100" b="0"/>
              <a:t>Rate of drug-related hospital stays, Aberdeen City</a:t>
            </a:r>
            <a:r>
              <a:rPr lang="en-GB" sz="1100" b="0" baseline="0"/>
              <a:t> and Scotland, 2002/03-2004/05 to 2014/15 to 2016/17</a:t>
            </a:r>
            <a:endParaRPr lang="en-GB" sz="1100" b="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Sheet1!$B$23</c:f>
              <c:strCache>
                <c:ptCount val="1"/>
                <c:pt idx="0">
                  <c:v>Aberdeen City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Sheet1!$A$24:$A$36</c:f>
              <c:strCache>
                <c:ptCount val="13"/>
                <c:pt idx="0">
                  <c:v>2002/03-2004/05</c:v>
                </c:pt>
                <c:pt idx="1">
                  <c:v>2003/04-2005/06</c:v>
                </c:pt>
                <c:pt idx="2">
                  <c:v>2004/05-2006/07</c:v>
                </c:pt>
                <c:pt idx="3">
                  <c:v>2005/06-2007/08</c:v>
                </c:pt>
                <c:pt idx="4">
                  <c:v>2006/07-2008/09</c:v>
                </c:pt>
                <c:pt idx="5">
                  <c:v>2007/08-2009/10</c:v>
                </c:pt>
                <c:pt idx="6">
                  <c:v>2008/09-2010/11</c:v>
                </c:pt>
                <c:pt idx="7">
                  <c:v>2009/10-2011/12</c:v>
                </c:pt>
                <c:pt idx="8">
                  <c:v>2010/11-2012/13</c:v>
                </c:pt>
                <c:pt idx="9">
                  <c:v>2011/12-2013/14</c:v>
                </c:pt>
                <c:pt idx="10">
                  <c:v>2012/13-2014/15</c:v>
                </c:pt>
                <c:pt idx="11">
                  <c:v>2013/14-2015/16</c:v>
                </c:pt>
                <c:pt idx="12">
                  <c:v>2014/15-2016/17</c:v>
                </c:pt>
              </c:strCache>
            </c:strRef>
          </c:cat>
          <c:val>
            <c:numRef>
              <c:f>Sheet1!$B$24:$B$36</c:f>
              <c:numCache>
                <c:formatCode>0.0</c:formatCode>
                <c:ptCount val="13"/>
                <c:pt idx="0">
                  <c:v>139.75313730750699</c:v>
                </c:pt>
                <c:pt idx="1">
                  <c:v>147.66035425209299</c:v>
                </c:pt>
                <c:pt idx="2">
                  <c:v>164.175228276898</c:v>
                </c:pt>
                <c:pt idx="3">
                  <c:v>177.12013832183999</c:v>
                </c:pt>
                <c:pt idx="4">
                  <c:v>197.89119140338201</c:v>
                </c:pt>
                <c:pt idx="5">
                  <c:v>213.758209772562</c:v>
                </c:pt>
                <c:pt idx="6">
                  <c:v>215.88122966921699</c:v>
                </c:pt>
                <c:pt idx="7">
                  <c:v>203.99645053377401</c:v>
                </c:pt>
                <c:pt idx="8">
                  <c:v>175.64066378129601</c:v>
                </c:pt>
                <c:pt idx="9">
                  <c:v>160.73133481203499</c:v>
                </c:pt>
                <c:pt idx="10">
                  <c:v>149.850388021839</c:v>
                </c:pt>
                <c:pt idx="11">
                  <c:v>151.70399035316001</c:v>
                </c:pt>
                <c:pt idx="12">
                  <c:v>149.545034897552</c:v>
                </c:pt>
              </c:numCache>
            </c:numRef>
          </c:val>
          <c:smooth val="0"/>
          <c:extLst>
            <c:ext xmlns:c16="http://schemas.microsoft.com/office/drawing/2014/chart" uri="{C3380CC4-5D6E-409C-BE32-E72D297353CC}">
              <c16:uniqueId val="{00000000-D162-4D2B-92B8-A996B11926A3}"/>
            </c:ext>
          </c:extLst>
        </c:ser>
        <c:ser>
          <c:idx val="1"/>
          <c:order val="1"/>
          <c:tx>
            <c:strRef>
              <c:f>Sheet1!$C$23</c:f>
              <c:strCache>
                <c:ptCount val="1"/>
                <c:pt idx="0">
                  <c:v>Scotland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Sheet1!$A$24:$A$36</c:f>
              <c:strCache>
                <c:ptCount val="13"/>
                <c:pt idx="0">
                  <c:v>2002/03-2004/05</c:v>
                </c:pt>
                <c:pt idx="1">
                  <c:v>2003/04-2005/06</c:v>
                </c:pt>
                <c:pt idx="2">
                  <c:v>2004/05-2006/07</c:v>
                </c:pt>
                <c:pt idx="3">
                  <c:v>2005/06-2007/08</c:v>
                </c:pt>
                <c:pt idx="4">
                  <c:v>2006/07-2008/09</c:v>
                </c:pt>
                <c:pt idx="5">
                  <c:v>2007/08-2009/10</c:v>
                </c:pt>
                <c:pt idx="6">
                  <c:v>2008/09-2010/11</c:v>
                </c:pt>
                <c:pt idx="7">
                  <c:v>2009/10-2011/12</c:v>
                </c:pt>
                <c:pt idx="8">
                  <c:v>2010/11-2012/13</c:v>
                </c:pt>
                <c:pt idx="9">
                  <c:v>2011/12-2013/14</c:v>
                </c:pt>
                <c:pt idx="10">
                  <c:v>2012/13-2014/15</c:v>
                </c:pt>
                <c:pt idx="11">
                  <c:v>2013/14-2015/16</c:v>
                </c:pt>
                <c:pt idx="12">
                  <c:v>2014/15-2016/17</c:v>
                </c:pt>
              </c:strCache>
            </c:strRef>
          </c:cat>
          <c:val>
            <c:numRef>
              <c:f>Sheet1!$C$24:$C$36</c:f>
              <c:numCache>
                <c:formatCode>0.0</c:formatCode>
                <c:ptCount val="13"/>
                <c:pt idx="0">
                  <c:v>85.405761800451899</c:v>
                </c:pt>
                <c:pt idx="1">
                  <c:v>84.522622030778805</c:v>
                </c:pt>
                <c:pt idx="2">
                  <c:v>86.645615915770904</c:v>
                </c:pt>
                <c:pt idx="3">
                  <c:v>92.446291323983104</c:v>
                </c:pt>
                <c:pt idx="4">
                  <c:v>101.217345275838</c:v>
                </c:pt>
                <c:pt idx="5">
                  <c:v>106.68170232349</c:v>
                </c:pt>
                <c:pt idx="6">
                  <c:v>111.30777385072</c:v>
                </c:pt>
                <c:pt idx="7">
                  <c:v>113.880519642938</c:v>
                </c:pt>
                <c:pt idx="8">
                  <c:v>114.075225565365</c:v>
                </c:pt>
                <c:pt idx="9">
                  <c:v>116.69189877303501</c:v>
                </c:pt>
                <c:pt idx="10">
                  <c:v>122.141823141112</c:v>
                </c:pt>
                <c:pt idx="11">
                  <c:v>134.31821421950301</c:v>
                </c:pt>
                <c:pt idx="12">
                  <c:v>146.92812775381699</c:v>
                </c:pt>
              </c:numCache>
            </c:numRef>
          </c:val>
          <c:smooth val="0"/>
          <c:extLst>
            <c:ext xmlns:c16="http://schemas.microsoft.com/office/drawing/2014/chart" uri="{C3380CC4-5D6E-409C-BE32-E72D297353CC}">
              <c16:uniqueId val="{00000001-D162-4D2B-92B8-A996B11926A3}"/>
            </c:ext>
          </c:extLst>
        </c:ser>
        <c:dLbls>
          <c:showLegendKey val="0"/>
          <c:showVal val="0"/>
          <c:showCatName val="0"/>
          <c:showSerName val="0"/>
          <c:showPercent val="0"/>
          <c:showBubbleSize val="0"/>
        </c:dLbls>
        <c:marker val="1"/>
        <c:smooth val="0"/>
        <c:axId val="413019528"/>
        <c:axId val="413016576"/>
      </c:lineChart>
      <c:catAx>
        <c:axId val="413019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413016576"/>
        <c:crosses val="autoZero"/>
        <c:auto val="1"/>
        <c:lblAlgn val="ctr"/>
        <c:lblOffset val="100"/>
        <c:noMultiLvlLbl val="0"/>
      </c:catAx>
      <c:valAx>
        <c:axId val="413016576"/>
        <c:scaling>
          <c:orientation val="minMax"/>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t>Rate per 100,000 population</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13019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050" b="0"/>
              <a:t>Ethnicity, Aberdeen City and Scotland, 2011</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Ethnicity!$B$17</c:f>
              <c:strCache>
                <c:ptCount val="1"/>
                <c:pt idx="0">
                  <c:v>Aberdeen City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Ethnicity!$A$18:$A$24</c:f>
              <c:strCache>
                <c:ptCount val="7"/>
                <c:pt idx="0">
                  <c:v>% White - Scottish</c:v>
                </c:pt>
                <c:pt idx="1">
                  <c:v>% White - Other British</c:v>
                </c:pt>
                <c:pt idx="2">
                  <c:v>% White - Irish</c:v>
                </c:pt>
                <c:pt idx="3">
                  <c:v>% White - Polish</c:v>
                </c:pt>
                <c:pt idx="4">
                  <c:v>% White - Other</c:v>
                </c:pt>
                <c:pt idx="5">
                  <c:v>% Asian, Asian Scottish or Asian British</c:v>
                </c:pt>
                <c:pt idx="6">
                  <c:v>% Other ethnic groups</c:v>
                </c:pt>
              </c:strCache>
            </c:strRef>
          </c:cat>
          <c:val>
            <c:numRef>
              <c:f>Ethnicity!$B$18:$B$24</c:f>
              <c:numCache>
                <c:formatCode>0%</c:formatCode>
                <c:ptCount val="7"/>
                <c:pt idx="0">
                  <c:v>0.753</c:v>
                </c:pt>
                <c:pt idx="1">
                  <c:v>7.5999999999999998E-2</c:v>
                </c:pt>
                <c:pt idx="2">
                  <c:v>0.01</c:v>
                </c:pt>
                <c:pt idx="3">
                  <c:v>3.2000000000000001E-2</c:v>
                </c:pt>
                <c:pt idx="4">
                  <c:v>4.9000000000000002E-2</c:v>
                </c:pt>
                <c:pt idx="5">
                  <c:v>4.2999999999999997E-2</c:v>
                </c:pt>
                <c:pt idx="6">
                  <c:v>3.7999999999999999E-2</c:v>
                </c:pt>
              </c:numCache>
            </c:numRef>
          </c:val>
          <c:extLst>
            <c:ext xmlns:c16="http://schemas.microsoft.com/office/drawing/2014/chart" uri="{C3380CC4-5D6E-409C-BE32-E72D297353CC}">
              <c16:uniqueId val="{00000000-A623-40E1-A38B-B9BC5E0D72D3}"/>
            </c:ext>
          </c:extLst>
        </c:ser>
        <c:ser>
          <c:idx val="1"/>
          <c:order val="1"/>
          <c:tx>
            <c:strRef>
              <c:f>Ethnicity!$C$17</c:f>
              <c:strCache>
                <c:ptCount val="1"/>
                <c:pt idx="0">
                  <c:v>Scotland</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Ethnicity!$A$18:$A$24</c:f>
              <c:strCache>
                <c:ptCount val="7"/>
                <c:pt idx="0">
                  <c:v>% White - Scottish</c:v>
                </c:pt>
                <c:pt idx="1">
                  <c:v>% White - Other British</c:v>
                </c:pt>
                <c:pt idx="2">
                  <c:v>% White - Irish</c:v>
                </c:pt>
                <c:pt idx="3">
                  <c:v>% White - Polish</c:v>
                </c:pt>
                <c:pt idx="4">
                  <c:v>% White - Other</c:v>
                </c:pt>
                <c:pt idx="5">
                  <c:v>% Asian, Asian Scottish or Asian British</c:v>
                </c:pt>
                <c:pt idx="6">
                  <c:v>% Other ethnic groups</c:v>
                </c:pt>
              </c:strCache>
            </c:strRef>
          </c:cat>
          <c:val>
            <c:numRef>
              <c:f>Ethnicity!$C$18:$C$24</c:f>
              <c:numCache>
                <c:formatCode>0%</c:formatCode>
                <c:ptCount val="7"/>
                <c:pt idx="0">
                  <c:v>0.84</c:v>
                </c:pt>
                <c:pt idx="1">
                  <c:v>7.9000000000000001E-2</c:v>
                </c:pt>
                <c:pt idx="2">
                  <c:v>0.01</c:v>
                </c:pt>
                <c:pt idx="3">
                  <c:v>1.2E-2</c:v>
                </c:pt>
                <c:pt idx="4">
                  <c:v>0.02</c:v>
                </c:pt>
                <c:pt idx="5">
                  <c:v>2.7000000000000003E-2</c:v>
                </c:pt>
                <c:pt idx="6">
                  <c:v>1.3000000000000001E-2</c:v>
                </c:pt>
              </c:numCache>
            </c:numRef>
          </c:val>
          <c:extLst>
            <c:ext xmlns:c16="http://schemas.microsoft.com/office/drawing/2014/chart" uri="{C3380CC4-5D6E-409C-BE32-E72D297353CC}">
              <c16:uniqueId val="{00000001-A623-40E1-A38B-B9BC5E0D72D3}"/>
            </c:ext>
          </c:extLst>
        </c:ser>
        <c:dLbls>
          <c:dLblPos val="outEnd"/>
          <c:showLegendKey val="0"/>
          <c:showVal val="1"/>
          <c:showCatName val="0"/>
          <c:showSerName val="0"/>
          <c:showPercent val="0"/>
          <c:showBubbleSize val="0"/>
        </c:dLbls>
        <c:gapWidth val="100"/>
        <c:overlap val="-24"/>
        <c:axId val="549597208"/>
        <c:axId val="549540464"/>
      </c:barChart>
      <c:catAx>
        <c:axId val="5495972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crossAx val="549540464"/>
        <c:crosses val="autoZero"/>
        <c:auto val="1"/>
        <c:lblAlgn val="ctr"/>
        <c:lblOffset val="100"/>
        <c:noMultiLvlLbl val="0"/>
      </c:catAx>
      <c:valAx>
        <c:axId val="549540464"/>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crossAx val="549597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100" b="0"/>
              <a:t>Rate of drug-related hospital stays by Intermediate Zone, Aberdeen City,</a:t>
            </a:r>
            <a:r>
              <a:rPr lang="en-GB" sz="1100" b="0" baseline="0"/>
              <a:t> 2014/15 to 2016/17</a:t>
            </a:r>
            <a:endParaRPr lang="en-GB" sz="1100" b="0"/>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'Drug-related hospital stays'!$B$97:$B$145</c:f>
              <c:strCache>
                <c:ptCount val="49"/>
                <c:pt idx="0">
                  <c:v>West End North</c:v>
                </c:pt>
                <c:pt idx="1">
                  <c:v>Cults, Bieldside and Milltimber West</c:v>
                </c:pt>
                <c:pt idx="2">
                  <c:v>Midstocket</c:v>
                </c:pt>
                <c:pt idx="3">
                  <c:v>Braeside, Mannofield, Broomhill and Seafield East</c:v>
                </c:pt>
                <c:pt idx="4">
                  <c:v>Oldmachar East</c:v>
                </c:pt>
                <c:pt idx="5">
                  <c:v>Kingswells</c:v>
                </c:pt>
                <c:pt idx="6">
                  <c:v>Denmore</c:v>
                </c:pt>
                <c:pt idx="7">
                  <c:v>Cove North</c:v>
                </c:pt>
                <c:pt idx="8">
                  <c:v>Danestone</c:v>
                </c:pt>
                <c:pt idx="9">
                  <c:v>Cove South</c:v>
                </c:pt>
                <c:pt idx="10">
                  <c:v>Balgownie and Donmouth East</c:v>
                </c:pt>
                <c:pt idx="11">
                  <c:v>Cults, Bieldside and Milltimber East</c:v>
                </c:pt>
                <c:pt idx="12">
                  <c:v>Oldmachar West</c:v>
                </c:pt>
                <c:pt idx="13">
                  <c:v>Culter</c:v>
                </c:pt>
                <c:pt idx="14">
                  <c:v>Ferryhill North</c:v>
                </c:pt>
                <c:pt idx="15">
                  <c:v>Braeside, Mannofield, Broomhill and Seafield North</c:v>
                </c:pt>
                <c:pt idx="16">
                  <c:v>Bucksburn North</c:v>
                </c:pt>
                <c:pt idx="17">
                  <c:v>Hazlehead</c:v>
                </c:pt>
                <c:pt idx="18">
                  <c:v>Kincorth, Leggart and Nigg South</c:v>
                </c:pt>
                <c:pt idx="19">
                  <c:v>Braeside, Mannofield, Broomhill and Seafield South</c:v>
                </c:pt>
                <c:pt idx="20">
                  <c:v>Dyce</c:v>
                </c:pt>
                <c:pt idx="21">
                  <c:v>Balgownie and Donmouth West</c:v>
                </c:pt>
                <c:pt idx="22">
                  <c:v>West End South</c:v>
                </c:pt>
                <c:pt idx="23">
                  <c:v>City Centre East (Aberdeen City)</c:v>
                </c:pt>
                <c:pt idx="24">
                  <c:v>Hilton</c:v>
                </c:pt>
                <c:pt idx="25">
                  <c:v>Bucksburn South</c:v>
                </c:pt>
                <c:pt idx="26">
                  <c:v>Rosemount</c:v>
                </c:pt>
                <c:pt idx="27">
                  <c:v>Kincorth, Leggart and Nigg North</c:v>
                </c:pt>
                <c:pt idx="28">
                  <c:v>Sheddocksley</c:v>
                </c:pt>
                <c:pt idx="29">
                  <c:v>George Street</c:v>
                </c:pt>
                <c:pt idx="30">
                  <c:v>City Centre West (Aberdeen City)</c:v>
                </c:pt>
                <c:pt idx="31">
                  <c:v>Ashgrove</c:v>
                </c:pt>
                <c:pt idx="32">
                  <c:v>Ferryhill South</c:v>
                </c:pt>
                <c:pt idx="33">
                  <c:v>Froghall, Powis and Sunnybank</c:v>
                </c:pt>
                <c:pt idx="34">
                  <c:v>Garthdee</c:v>
                </c:pt>
                <c:pt idx="35">
                  <c:v>Old Aberdeen</c:v>
                </c:pt>
                <c:pt idx="36">
                  <c:v>Northfield</c:v>
                </c:pt>
                <c:pt idx="37">
                  <c:v>Mastrick</c:v>
                </c:pt>
                <c:pt idx="38">
                  <c:v>Cummings Park</c:v>
                </c:pt>
                <c:pt idx="39">
                  <c:v>Hanover North</c:v>
                </c:pt>
                <c:pt idx="40">
                  <c:v>Hanover South</c:v>
                </c:pt>
                <c:pt idx="41">
                  <c:v>Tillydrone</c:v>
                </c:pt>
                <c:pt idx="42">
                  <c:v>Stockethill</c:v>
                </c:pt>
                <c:pt idx="43">
                  <c:v>Seaton</c:v>
                </c:pt>
                <c:pt idx="44">
                  <c:v>Summerhill</c:v>
                </c:pt>
                <c:pt idx="45">
                  <c:v>Torry West</c:v>
                </c:pt>
                <c:pt idx="46">
                  <c:v>Heathryfold and Middlefield</c:v>
                </c:pt>
                <c:pt idx="47">
                  <c:v>Woodside (Aberdeen City)</c:v>
                </c:pt>
                <c:pt idx="48">
                  <c:v>Torry East</c:v>
                </c:pt>
              </c:strCache>
            </c:strRef>
          </c:cat>
          <c:val>
            <c:numRef>
              <c:f>'Drug-related hospital stays'!$C$97:$C$145</c:f>
              <c:numCache>
                <c:formatCode>0.0</c:formatCode>
                <c:ptCount val="49"/>
                <c:pt idx="0">
                  <c:v>0</c:v>
                </c:pt>
                <c:pt idx="1">
                  <c:v>6.3657407407407396</c:v>
                </c:pt>
                <c:pt idx="2">
                  <c:v>6.8897637795275601</c:v>
                </c:pt>
                <c:pt idx="3">
                  <c:v>25.395844392594501</c:v>
                </c:pt>
                <c:pt idx="4">
                  <c:v>29.6540537240855</c:v>
                </c:pt>
                <c:pt idx="5">
                  <c:v>29.9890350519041</c:v>
                </c:pt>
                <c:pt idx="6">
                  <c:v>33.647150177118199</c:v>
                </c:pt>
                <c:pt idx="7">
                  <c:v>35.001097247476302</c:v>
                </c:pt>
                <c:pt idx="8">
                  <c:v>37.438381978621997</c:v>
                </c:pt>
                <c:pt idx="9">
                  <c:v>37.470023533449101</c:v>
                </c:pt>
                <c:pt idx="10">
                  <c:v>40.374373260382697</c:v>
                </c:pt>
                <c:pt idx="11">
                  <c:v>43.631137683085498</c:v>
                </c:pt>
                <c:pt idx="12">
                  <c:v>44.582083685210598</c:v>
                </c:pt>
                <c:pt idx="13">
                  <c:v>49.2649414941488</c:v>
                </c:pt>
                <c:pt idx="14">
                  <c:v>56.858741954834301</c:v>
                </c:pt>
                <c:pt idx="15">
                  <c:v>58.345148556876403</c:v>
                </c:pt>
                <c:pt idx="16">
                  <c:v>63.148944643004299</c:v>
                </c:pt>
                <c:pt idx="17">
                  <c:v>65.173147225714203</c:v>
                </c:pt>
                <c:pt idx="18">
                  <c:v>65.278724662416906</c:v>
                </c:pt>
                <c:pt idx="19">
                  <c:v>66.176470588235304</c:v>
                </c:pt>
                <c:pt idx="20">
                  <c:v>67.211886781009397</c:v>
                </c:pt>
                <c:pt idx="21">
                  <c:v>86.306555185989097</c:v>
                </c:pt>
                <c:pt idx="22">
                  <c:v>93.8885034414443</c:v>
                </c:pt>
                <c:pt idx="23">
                  <c:v>98.865217227830698</c:v>
                </c:pt>
                <c:pt idx="24">
                  <c:v>109.49261704820201</c:v>
                </c:pt>
                <c:pt idx="25">
                  <c:v>119.223672070124</c:v>
                </c:pt>
                <c:pt idx="26">
                  <c:v>121.49303130370799</c:v>
                </c:pt>
                <c:pt idx="27">
                  <c:v>151.483242362368</c:v>
                </c:pt>
                <c:pt idx="28">
                  <c:v>170.40282628565299</c:v>
                </c:pt>
                <c:pt idx="29">
                  <c:v>179.46927806652599</c:v>
                </c:pt>
                <c:pt idx="30">
                  <c:v>190.529927679688</c:v>
                </c:pt>
                <c:pt idx="31">
                  <c:v>192.14978967623099</c:v>
                </c:pt>
                <c:pt idx="32">
                  <c:v>194.92674662664999</c:v>
                </c:pt>
                <c:pt idx="33">
                  <c:v>197.8828950397</c:v>
                </c:pt>
                <c:pt idx="34">
                  <c:v>200.138065019902</c:v>
                </c:pt>
                <c:pt idx="35">
                  <c:v>207.98096545960701</c:v>
                </c:pt>
                <c:pt idx="36">
                  <c:v>246.77235963250101</c:v>
                </c:pt>
                <c:pt idx="37">
                  <c:v>258.169831924741</c:v>
                </c:pt>
                <c:pt idx="38">
                  <c:v>269.23098327787</c:v>
                </c:pt>
                <c:pt idx="39">
                  <c:v>271.98703047786898</c:v>
                </c:pt>
                <c:pt idx="40">
                  <c:v>278.74640343211098</c:v>
                </c:pt>
                <c:pt idx="41">
                  <c:v>296.31692793285902</c:v>
                </c:pt>
                <c:pt idx="42">
                  <c:v>336.646835852479</c:v>
                </c:pt>
                <c:pt idx="43">
                  <c:v>356.47041266774102</c:v>
                </c:pt>
                <c:pt idx="44">
                  <c:v>373.00364470488802</c:v>
                </c:pt>
                <c:pt idx="45">
                  <c:v>378.58782146834</c:v>
                </c:pt>
                <c:pt idx="46">
                  <c:v>399.769267862817</c:v>
                </c:pt>
                <c:pt idx="47">
                  <c:v>429.61586118073802</c:v>
                </c:pt>
                <c:pt idx="48">
                  <c:v>442.82948674018502</c:v>
                </c:pt>
              </c:numCache>
            </c:numRef>
          </c:val>
          <c:extLst>
            <c:ext xmlns:c16="http://schemas.microsoft.com/office/drawing/2014/chart" uri="{C3380CC4-5D6E-409C-BE32-E72D297353CC}">
              <c16:uniqueId val="{00000000-A59A-43C2-94AA-A983002DD8D0}"/>
            </c:ext>
          </c:extLst>
        </c:ser>
        <c:dLbls>
          <c:showLegendKey val="0"/>
          <c:showVal val="0"/>
          <c:showCatName val="0"/>
          <c:showSerName val="0"/>
          <c:showPercent val="0"/>
          <c:showBubbleSize val="0"/>
        </c:dLbls>
        <c:gapWidth val="100"/>
        <c:overlap val="-24"/>
        <c:axId val="398062608"/>
        <c:axId val="398063592"/>
      </c:barChart>
      <c:catAx>
        <c:axId val="3980626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2"/>
                </a:solidFill>
                <a:latin typeface="+mn-lt"/>
                <a:ea typeface="+mn-ea"/>
                <a:cs typeface="+mn-cs"/>
              </a:defRPr>
            </a:pPr>
            <a:endParaRPr lang="en-US"/>
          </a:p>
        </c:txPr>
        <c:crossAx val="398063592"/>
        <c:crosses val="autoZero"/>
        <c:auto val="1"/>
        <c:lblAlgn val="ctr"/>
        <c:lblOffset val="100"/>
        <c:noMultiLvlLbl val="0"/>
      </c:catAx>
      <c:valAx>
        <c:axId val="39806359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2"/>
                    </a:solidFill>
                    <a:latin typeface="+mn-lt"/>
                    <a:ea typeface="+mn-ea"/>
                    <a:cs typeface="+mn-cs"/>
                  </a:defRPr>
                </a:pPr>
                <a:r>
                  <a:rPr lang="en-US" sz="800"/>
                  <a:t>Rate per 100,000 population</a:t>
                </a:r>
              </a:p>
            </c:rich>
          </c:tx>
          <c:layout>
            <c:manualLayout>
              <c:xMode val="edge"/>
              <c:yMode val="edge"/>
              <c:x val="2.8122203758149049E-2"/>
              <c:y val="0.15119617224880383"/>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2"/>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crossAx val="3980626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t" anchorCtr="1"/>
          <a:lstStyle/>
          <a:p>
            <a:pPr>
              <a:defRPr sz="1600" b="1" i="0" u="none" strike="noStrike" kern="1200" baseline="0">
                <a:solidFill>
                  <a:schemeClr val="tx2"/>
                </a:solidFill>
                <a:latin typeface="+mn-lt"/>
                <a:ea typeface="+mn-ea"/>
                <a:cs typeface="+mn-cs"/>
              </a:defRPr>
            </a:pPr>
            <a:r>
              <a:rPr lang="en-GB" sz="1200"/>
              <a:t>Number of drug-related deaths, Aberdeen City, 2007 to 2017</a:t>
            </a:r>
          </a:p>
        </c:rich>
      </c:tx>
      <c:layout>
        <c:manualLayout>
          <c:xMode val="edge"/>
          <c:yMode val="edge"/>
          <c:x val="0.11139240506329114"/>
          <c:y val="4.9382716049382715E-3"/>
        </c:manualLayout>
      </c:layout>
      <c:overlay val="0"/>
      <c:spPr>
        <a:noFill/>
        <a:ln>
          <a:noFill/>
        </a:ln>
        <a:effectLst/>
      </c:spPr>
      <c:txPr>
        <a:bodyPr rot="0" spcFirstLastPara="1" vertOverflow="ellipsis" vert="horz" wrap="square" anchor="t" anchorCtr="1"/>
        <a:lstStyle/>
        <a:p>
          <a:pPr>
            <a:defRPr sz="1600" b="1" i="0" u="none" strike="noStrike" kern="1200" baseline="0">
              <a:solidFill>
                <a:schemeClr val="tx2"/>
              </a:solidFill>
              <a:latin typeface="+mn-lt"/>
              <a:ea typeface="+mn-ea"/>
              <a:cs typeface="+mn-cs"/>
            </a:defRPr>
          </a:pPr>
          <a:endParaRPr lang="en-US"/>
        </a:p>
      </c:txPr>
    </c:title>
    <c:autoTitleDeleted val="0"/>
    <c:plotArea>
      <c:layout>
        <c:manualLayout>
          <c:layoutTarget val="inner"/>
          <c:xMode val="edge"/>
          <c:yMode val="edge"/>
          <c:x val="0.13103937007874017"/>
          <c:y val="0.10524701079031788"/>
          <c:w val="0.84396062992125986"/>
          <c:h val="0.78735374744823572"/>
        </c:manualLayout>
      </c:layout>
      <c:barChart>
        <c:barDir val="col"/>
        <c:grouping val="clustered"/>
        <c:varyColors val="0"/>
        <c:ser>
          <c:idx val="0"/>
          <c:order val="0"/>
          <c:tx>
            <c:strRef>
              <c:f>'Drug-related deaths'!$A$12</c:f>
              <c:strCache>
                <c:ptCount val="1"/>
                <c:pt idx="0">
                  <c:v>Aberdeen City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'Drug-related deaths'!$B$11:$M$11</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'Drug-related deaths'!$B$12:$M$12</c:f>
              <c:numCache>
                <c:formatCode>General</c:formatCode>
                <c:ptCount val="11"/>
                <c:pt idx="0">
                  <c:v>23</c:v>
                </c:pt>
                <c:pt idx="1">
                  <c:v>27</c:v>
                </c:pt>
                <c:pt idx="2">
                  <c:v>27</c:v>
                </c:pt>
                <c:pt idx="3">
                  <c:v>31</c:v>
                </c:pt>
                <c:pt idx="4">
                  <c:v>29</c:v>
                </c:pt>
                <c:pt idx="5">
                  <c:v>16</c:v>
                </c:pt>
                <c:pt idx="6">
                  <c:v>24</c:v>
                </c:pt>
                <c:pt idx="7">
                  <c:v>26</c:v>
                </c:pt>
                <c:pt idx="8">
                  <c:v>45</c:v>
                </c:pt>
                <c:pt idx="9">
                  <c:v>46</c:v>
                </c:pt>
                <c:pt idx="10">
                  <c:v>54</c:v>
                </c:pt>
              </c:numCache>
            </c:numRef>
          </c:val>
          <c:extLst>
            <c:ext xmlns:c16="http://schemas.microsoft.com/office/drawing/2014/chart" uri="{C3380CC4-5D6E-409C-BE32-E72D297353CC}">
              <c16:uniqueId val="{00000000-8953-4E16-A475-E2F9F7F81220}"/>
            </c:ext>
          </c:extLst>
        </c:ser>
        <c:dLbls>
          <c:showLegendKey val="0"/>
          <c:showVal val="1"/>
          <c:showCatName val="0"/>
          <c:showSerName val="0"/>
          <c:showPercent val="0"/>
          <c:showBubbleSize val="0"/>
        </c:dLbls>
        <c:gapWidth val="100"/>
        <c:overlap val="-24"/>
        <c:axId val="1009887488"/>
        <c:axId val="1009881584"/>
      </c:barChart>
      <c:catAx>
        <c:axId val="100988748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009881584"/>
        <c:crosses val="autoZero"/>
        <c:auto val="1"/>
        <c:lblAlgn val="ctr"/>
        <c:lblOffset val="100"/>
        <c:noMultiLvlLbl val="0"/>
      </c:catAx>
      <c:valAx>
        <c:axId val="100988158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Number of deaths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009887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Drug-related deaths per 1,000 population by age group, Aberdeen City and Scotland, annual averages 2013-2017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'Drug-related deaths'!$J$53</c:f>
              <c:strCache>
                <c:ptCount val="1"/>
                <c:pt idx="0">
                  <c:v>Aberdeen City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5.6875109361329834E-2"/>
                  <c:y val="-0.1365394429862933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807-47E6-AFA4-58B88DBA08E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'Drug-related deaths'!$K$52:$Q$52</c:f>
              <c:strCache>
                <c:ptCount val="7"/>
                <c:pt idx="0">
                  <c:v>15 - 24 years</c:v>
                </c:pt>
                <c:pt idx="1">
                  <c:v>25 - 34 years</c:v>
                </c:pt>
                <c:pt idx="2">
                  <c:v>35 - 44 years</c:v>
                </c:pt>
                <c:pt idx="3">
                  <c:v>45 - 54 years</c:v>
                </c:pt>
                <c:pt idx="4">
                  <c:v>55 - 64 years</c:v>
                </c:pt>
                <c:pt idx="5">
                  <c:v>Ages 15 - 64 years</c:v>
                </c:pt>
                <c:pt idx="6">
                  <c:v>All ages</c:v>
                </c:pt>
              </c:strCache>
            </c:strRef>
          </c:cat>
          <c:val>
            <c:numRef>
              <c:f>'Drug-related deaths'!$K$53:$Q$53</c:f>
              <c:numCache>
                <c:formatCode>0.00</c:formatCode>
                <c:ptCount val="7"/>
                <c:pt idx="0">
                  <c:v>4.5746962115796999E-2</c:v>
                </c:pt>
                <c:pt idx="1">
                  <c:v>0.18026544086166882</c:v>
                </c:pt>
                <c:pt idx="2">
                  <c:v>0.50040032025620496</c:v>
                </c:pt>
                <c:pt idx="3">
                  <c:v>0.38256592430659925</c:v>
                </c:pt>
                <c:pt idx="4">
                  <c:v>7.0983516050161691E-2</c:v>
                </c:pt>
                <c:pt idx="5">
                  <c:v>0.22931863091898222</c:v>
                </c:pt>
                <c:pt idx="6">
                  <c:v>0.16930757542869546</c:v>
                </c:pt>
              </c:numCache>
            </c:numRef>
          </c:val>
          <c:smooth val="0"/>
          <c:extLst>
            <c:ext xmlns:c16="http://schemas.microsoft.com/office/drawing/2014/chart" uri="{C3380CC4-5D6E-409C-BE32-E72D297353CC}">
              <c16:uniqueId val="{00000001-B807-47E6-AFA4-58B88DBA08E7}"/>
            </c:ext>
          </c:extLst>
        </c:ser>
        <c:ser>
          <c:idx val="1"/>
          <c:order val="1"/>
          <c:tx>
            <c:strRef>
              <c:f>'Drug-related deaths'!$J$54</c:f>
              <c:strCache>
                <c:ptCount val="1"/>
                <c:pt idx="0">
                  <c:v>Scotland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elete val="1"/>
          </c:dLbls>
          <c:cat>
            <c:strRef>
              <c:f>'Drug-related deaths'!$K$52:$Q$52</c:f>
              <c:strCache>
                <c:ptCount val="7"/>
                <c:pt idx="0">
                  <c:v>15 - 24 years</c:v>
                </c:pt>
                <c:pt idx="1">
                  <c:v>25 - 34 years</c:v>
                </c:pt>
                <c:pt idx="2">
                  <c:v>35 - 44 years</c:v>
                </c:pt>
                <c:pt idx="3">
                  <c:v>45 - 54 years</c:v>
                </c:pt>
                <c:pt idx="4">
                  <c:v>55 - 64 years</c:v>
                </c:pt>
                <c:pt idx="5">
                  <c:v>Ages 15 - 64 years</c:v>
                </c:pt>
                <c:pt idx="6">
                  <c:v>All ages</c:v>
                </c:pt>
              </c:strCache>
            </c:strRef>
          </c:cat>
          <c:val>
            <c:numRef>
              <c:f>'Drug-related deaths'!$K$54:$Q$54</c:f>
              <c:numCache>
                <c:formatCode>0.00</c:formatCode>
                <c:ptCount val="7"/>
                <c:pt idx="0">
                  <c:v>5.5385742340166723E-2</c:v>
                </c:pt>
                <c:pt idx="1">
                  <c:v>0.2365879632361412</c:v>
                </c:pt>
                <c:pt idx="2">
                  <c:v>0.39793301709649204</c:v>
                </c:pt>
                <c:pt idx="3">
                  <c:v>0.23417478976071979</c:v>
                </c:pt>
                <c:pt idx="4">
                  <c:v>7.8550435557752221E-2</c:v>
                </c:pt>
                <c:pt idx="5">
                  <c:v>0.20179213599182871</c:v>
                </c:pt>
                <c:pt idx="6">
                  <c:v>0.13582728457100315</c:v>
                </c:pt>
              </c:numCache>
            </c:numRef>
          </c:val>
          <c:smooth val="0"/>
          <c:extLst>
            <c:ext xmlns:c16="http://schemas.microsoft.com/office/drawing/2014/chart" uri="{C3380CC4-5D6E-409C-BE32-E72D297353CC}">
              <c16:uniqueId val="{00000002-B807-47E6-AFA4-58B88DBA08E7}"/>
            </c:ext>
          </c:extLst>
        </c:ser>
        <c:dLbls>
          <c:dLblPos val="t"/>
          <c:showLegendKey val="0"/>
          <c:showVal val="1"/>
          <c:showCatName val="0"/>
          <c:showSerName val="0"/>
          <c:showPercent val="0"/>
          <c:showBubbleSize val="0"/>
        </c:dLbls>
        <c:marker val="1"/>
        <c:smooth val="0"/>
        <c:axId val="599579272"/>
        <c:axId val="599580912"/>
      </c:lineChart>
      <c:catAx>
        <c:axId val="599579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580912"/>
        <c:crosses val="autoZero"/>
        <c:auto val="1"/>
        <c:lblAlgn val="ctr"/>
        <c:lblOffset val="100"/>
        <c:noMultiLvlLbl val="0"/>
      </c:catAx>
      <c:valAx>
        <c:axId val="599580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Rate per 1,000 population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579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200" b="0"/>
              <a:t>Physical activity </a:t>
            </a:r>
          </a:p>
          <a:p>
            <a:pPr>
              <a:defRPr/>
            </a:pPr>
            <a:r>
              <a:rPr lang="en-GB" sz="1200" b="0"/>
              <a:t>All adults, Aberdeen city and Scotland,  2013-2016 combined</a:t>
            </a:r>
          </a:p>
        </c:rich>
      </c:tx>
      <c:layout>
        <c:manualLayout>
          <c:xMode val="edge"/>
          <c:yMode val="edge"/>
          <c:x val="0.16661796759786709"/>
          <c:y val="1.0175466638512891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manualLayout>
          <c:layoutTarget val="inner"/>
          <c:xMode val="edge"/>
          <c:yMode val="edge"/>
          <c:x val="0.12327627045650301"/>
          <c:y val="0.23036405228758169"/>
          <c:w val="0.76602456485952453"/>
          <c:h val="0.54972137636113561"/>
        </c:manualLayout>
      </c:layout>
      <c:barChart>
        <c:barDir val="col"/>
        <c:grouping val="clustered"/>
        <c:varyColors val="0"/>
        <c:ser>
          <c:idx val="0"/>
          <c:order val="0"/>
          <c:tx>
            <c:strRef>
              <c:f>'[00530205.xlsm]Physical activity chart'!$B$36</c:f>
              <c:strCache>
                <c:ptCount val="1"/>
                <c:pt idx="0">
                  <c:v>Meets guidelines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14"/>
            <c:invertIfNegative val="0"/>
            <c:bubble3D val="0"/>
            <c:extLst>
              <c:ext xmlns:c16="http://schemas.microsoft.com/office/drawing/2014/chart" uri="{C3380CC4-5D6E-409C-BE32-E72D297353CC}">
                <c16:uniqueId val="{00000000-FDE0-42F8-8058-1581A22A8E85}"/>
              </c:ext>
            </c:extLst>
          </c:dPt>
          <c:dLbls>
            <c:dLbl>
              <c:idx val="0"/>
              <c:layout>
                <c:manualLayout>
                  <c:x val="2.5849812588858729E-3"/>
                  <c:y val="-5.233104562625774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372-45C3-9E6E-292BA1118878}"/>
                </c:ext>
              </c:extLst>
            </c:dLbl>
            <c:dLbl>
              <c:idx val="1"/>
              <c:layout>
                <c:manualLayout>
                  <c:x val="2.5849812588858729E-3"/>
                  <c:y val="-2.41624089332221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DE0-42F8-8058-1581A22A8E85}"/>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'[1]Summary By Local Authority'!$G$193:$H$193</c:f>
                <c:numCache>
                  <c:formatCode>General</c:formatCode>
                  <c:ptCount val="2"/>
                  <c:pt idx="0">
                    <c:v>0.99000000000000199</c:v>
                  </c:pt>
                  <c:pt idx="1">
                    <c:v>4.0269999999999939</c:v>
                  </c:pt>
                </c:numCache>
              </c:numRef>
            </c:plus>
            <c:minus>
              <c:numRef>
                <c:f>'[1]Summary By Local Authority'!$G$193:$H$193</c:f>
                <c:numCache>
                  <c:formatCode>General</c:formatCode>
                  <c:ptCount val="2"/>
                  <c:pt idx="0">
                    <c:v>0.99000000000000199</c:v>
                  </c:pt>
                  <c:pt idx="1">
                    <c:v>4.0269999999999939</c:v>
                  </c:pt>
                </c:numCache>
              </c:numRef>
            </c:minus>
            <c:spPr>
              <a:noFill/>
              <a:ln w="9525">
                <a:solidFill>
                  <a:schemeClr val="tx2">
                    <a:lumMod val="75000"/>
                    <a:lumOff val="25000"/>
                  </a:schemeClr>
                </a:solidFill>
                <a:round/>
              </a:ln>
              <a:effectLst/>
            </c:spPr>
          </c:errBars>
          <c:cat>
            <c:strRef>
              <c:f>'[1]Summary By Local Authority'!$G$178:$H$178</c:f>
              <c:strCache>
                <c:ptCount val="2"/>
                <c:pt idx="0">
                  <c:v>Scotland</c:v>
                </c:pt>
                <c:pt idx="1">
                  <c:v>Aberdeen City</c:v>
                </c:pt>
              </c:strCache>
            </c:strRef>
          </c:cat>
          <c:val>
            <c:numRef>
              <c:f>'[1]Summary By Local Authority'!$G$180:$H$180</c:f>
              <c:numCache>
                <c:formatCode>0.0</c:formatCode>
                <c:ptCount val="2"/>
                <c:pt idx="0" formatCode="0">
                  <c:v>63.5</c:v>
                </c:pt>
                <c:pt idx="1">
                  <c:v>67.614999999999995</c:v>
                </c:pt>
              </c:numCache>
            </c:numRef>
          </c:val>
          <c:extLst>
            <c:ext xmlns:c16="http://schemas.microsoft.com/office/drawing/2014/chart" uri="{C3380CC4-5D6E-409C-BE32-E72D297353CC}">
              <c16:uniqueId val="{00000002-FDE0-42F8-8058-1581A22A8E85}"/>
            </c:ext>
          </c:extLst>
        </c:ser>
        <c:ser>
          <c:idx val="1"/>
          <c:order val="1"/>
          <c:tx>
            <c:strRef>
              <c:f>'[00530205.xlsm]Physical activity chart'!$B$39</c:f>
              <c:strCache>
                <c:ptCount val="1"/>
                <c:pt idx="0">
                  <c:v>Some activity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Pt>
            <c:idx val="14"/>
            <c:invertIfNegative val="0"/>
            <c:bubble3D val="0"/>
            <c:extLst>
              <c:ext xmlns:c16="http://schemas.microsoft.com/office/drawing/2014/chart" uri="{C3380CC4-5D6E-409C-BE32-E72D297353CC}">
                <c16:uniqueId val="{00000003-FDE0-42F8-8058-1581A22A8E85}"/>
              </c:ext>
            </c:extLst>
          </c:dPt>
          <c:dLbls>
            <c:dLbl>
              <c:idx val="1"/>
              <c:layout>
                <c:manualLayout>
                  <c:x val="0"/>
                  <c:y val="-2.49019607843137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DE0-42F8-8058-1581A22A8E85}"/>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'[1]Summary By Local Authority'!$G$194:$H$194</c:f>
                <c:numCache>
                  <c:formatCode>General</c:formatCode>
                  <c:ptCount val="2"/>
                  <c:pt idx="0">
                    <c:v>0.57000000000000028</c:v>
                  </c:pt>
                  <c:pt idx="1">
                    <c:v>2.1360000000000001</c:v>
                  </c:pt>
                </c:numCache>
              </c:numRef>
            </c:plus>
            <c:minus>
              <c:numRef>
                <c:f>'[1]Summary By Local Authority'!$G$194:$H$194</c:f>
                <c:numCache>
                  <c:formatCode>General</c:formatCode>
                  <c:ptCount val="2"/>
                  <c:pt idx="0">
                    <c:v>0.57000000000000028</c:v>
                  </c:pt>
                  <c:pt idx="1">
                    <c:v>2.1360000000000001</c:v>
                  </c:pt>
                </c:numCache>
              </c:numRef>
            </c:minus>
            <c:spPr>
              <a:noFill/>
              <a:ln w="9525">
                <a:solidFill>
                  <a:schemeClr val="tx2">
                    <a:lumMod val="75000"/>
                    <a:lumOff val="25000"/>
                  </a:schemeClr>
                </a:solidFill>
                <a:round/>
              </a:ln>
              <a:effectLst/>
            </c:spPr>
          </c:errBars>
          <c:cat>
            <c:strRef>
              <c:f>'[1]Summary By Local Authority'!$G$178:$H$178</c:f>
              <c:strCache>
                <c:ptCount val="2"/>
                <c:pt idx="0">
                  <c:v>Scotland</c:v>
                </c:pt>
                <c:pt idx="1">
                  <c:v>Aberdeen City</c:v>
                </c:pt>
              </c:strCache>
            </c:strRef>
          </c:cat>
          <c:val>
            <c:numRef>
              <c:f>'[1]Summary By Local Authority'!$G$183:$H$183</c:f>
              <c:numCache>
                <c:formatCode>0.0</c:formatCode>
                <c:ptCount val="2"/>
                <c:pt idx="0" formatCode="0">
                  <c:v>11.13</c:v>
                </c:pt>
                <c:pt idx="1">
                  <c:v>9.2759999999999998</c:v>
                </c:pt>
              </c:numCache>
            </c:numRef>
          </c:val>
          <c:extLst>
            <c:ext xmlns:c16="http://schemas.microsoft.com/office/drawing/2014/chart" uri="{C3380CC4-5D6E-409C-BE32-E72D297353CC}">
              <c16:uniqueId val="{00000005-FDE0-42F8-8058-1581A22A8E85}"/>
            </c:ext>
          </c:extLst>
        </c:ser>
        <c:ser>
          <c:idx val="2"/>
          <c:order val="2"/>
          <c:tx>
            <c:strRef>
              <c:f>'[00530205.xlsm]Physical activity chart'!$B$42</c:f>
              <c:strCache>
                <c:ptCount val="1"/>
                <c:pt idx="0">
                  <c:v>Low activity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Pt>
            <c:idx val="14"/>
            <c:invertIfNegative val="0"/>
            <c:bubble3D val="0"/>
            <c:extLst>
              <c:ext xmlns:c16="http://schemas.microsoft.com/office/drawing/2014/chart" uri="{C3380CC4-5D6E-409C-BE32-E72D297353CC}">
                <c16:uniqueId val="{00000006-FDE0-42F8-8058-1581A22A8E85}"/>
              </c:ext>
            </c:extLst>
          </c:dPt>
          <c:dLbls>
            <c:dLbl>
              <c:idx val="1"/>
              <c:layout>
                <c:manualLayout>
                  <c:x val="0"/>
                  <c:y val="-2.0751633986928104E-2"/>
                </c:manualLayout>
              </c:layout>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DE0-42F8-8058-1581A22A8E8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'[1]Summary By Local Authority'!$G$195:$H$195</c:f>
                <c:numCache>
                  <c:formatCode>General</c:formatCode>
                  <c:ptCount val="2"/>
                  <c:pt idx="0">
                    <c:v>0.33999999999999986</c:v>
                  </c:pt>
                  <c:pt idx="1">
                    <c:v>1.117</c:v>
                  </c:pt>
                </c:numCache>
              </c:numRef>
            </c:plus>
            <c:minus>
              <c:numRef>
                <c:f>'[1]Summary By Local Authority'!$G$195:$H$195</c:f>
                <c:numCache>
                  <c:formatCode>General</c:formatCode>
                  <c:ptCount val="2"/>
                  <c:pt idx="0">
                    <c:v>0.33999999999999986</c:v>
                  </c:pt>
                  <c:pt idx="1">
                    <c:v>1.117</c:v>
                  </c:pt>
                </c:numCache>
              </c:numRef>
            </c:minus>
            <c:spPr>
              <a:noFill/>
              <a:ln w="9525">
                <a:solidFill>
                  <a:schemeClr val="tx2">
                    <a:lumMod val="75000"/>
                    <a:lumOff val="25000"/>
                  </a:schemeClr>
                </a:solidFill>
                <a:round/>
              </a:ln>
              <a:effectLst/>
            </c:spPr>
          </c:errBars>
          <c:cat>
            <c:strRef>
              <c:f>'[1]Summary By Local Authority'!$G$178:$H$178</c:f>
              <c:strCache>
                <c:ptCount val="2"/>
                <c:pt idx="0">
                  <c:v>Scotland</c:v>
                </c:pt>
                <c:pt idx="1">
                  <c:v>Aberdeen City</c:v>
                </c:pt>
              </c:strCache>
            </c:strRef>
          </c:cat>
          <c:val>
            <c:numRef>
              <c:f>'[1]Summary By Local Authority'!$G$186:$H$186</c:f>
              <c:numCache>
                <c:formatCode>0.0</c:formatCode>
                <c:ptCount val="2"/>
                <c:pt idx="0" formatCode="0">
                  <c:v>4.33</c:v>
                </c:pt>
                <c:pt idx="1">
                  <c:v>3.871</c:v>
                </c:pt>
              </c:numCache>
            </c:numRef>
          </c:val>
          <c:extLst>
            <c:ext xmlns:c16="http://schemas.microsoft.com/office/drawing/2014/chart" uri="{C3380CC4-5D6E-409C-BE32-E72D297353CC}">
              <c16:uniqueId val="{00000008-FDE0-42F8-8058-1581A22A8E85}"/>
            </c:ext>
          </c:extLst>
        </c:ser>
        <c:ser>
          <c:idx val="3"/>
          <c:order val="3"/>
          <c:tx>
            <c:strRef>
              <c:f>'[00530205.xlsm]Physical activity chart'!$B$45</c:f>
              <c:strCache>
                <c:ptCount val="1"/>
                <c:pt idx="0">
                  <c:v>Very low activity</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dLbl>
              <c:idx val="1"/>
              <c:layout>
                <c:manualLayout>
                  <c:x val="0"/>
                  <c:y val="0.1170601307189542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DE0-42F8-8058-1581A22A8E85}"/>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'[1]Summary By Local Authority'!$G$196:$H$196</c:f>
                <c:numCache>
                  <c:formatCode>General</c:formatCode>
                  <c:ptCount val="2"/>
                  <c:pt idx="0">
                    <c:v>0.80000000000000071</c:v>
                  </c:pt>
                  <c:pt idx="1">
                    <c:v>2.6689999999999969</c:v>
                  </c:pt>
                </c:numCache>
              </c:numRef>
            </c:plus>
            <c:minus>
              <c:numRef>
                <c:f>'[1]Summary By Local Authority'!$G$196:$H$196</c:f>
                <c:numCache>
                  <c:formatCode>General</c:formatCode>
                  <c:ptCount val="2"/>
                  <c:pt idx="0">
                    <c:v>0.80000000000000071</c:v>
                  </c:pt>
                  <c:pt idx="1">
                    <c:v>2.6689999999999969</c:v>
                  </c:pt>
                </c:numCache>
              </c:numRef>
            </c:minus>
            <c:spPr>
              <a:noFill/>
              <a:ln w="9525">
                <a:solidFill>
                  <a:schemeClr val="tx2">
                    <a:lumMod val="75000"/>
                    <a:lumOff val="25000"/>
                  </a:schemeClr>
                </a:solidFill>
                <a:round/>
              </a:ln>
              <a:effectLst/>
            </c:spPr>
          </c:errBars>
          <c:cat>
            <c:strRef>
              <c:f>'[1]Summary By Local Authority'!$G$178:$H$178</c:f>
              <c:strCache>
                <c:ptCount val="2"/>
                <c:pt idx="0">
                  <c:v>Scotland</c:v>
                </c:pt>
                <c:pt idx="1">
                  <c:v>Aberdeen City</c:v>
                </c:pt>
              </c:strCache>
            </c:strRef>
          </c:cat>
          <c:val>
            <c:numRef>
              <c:f>'[1]Summary By Local Authority'!$G$189:$H$189</c:f>
              <c:numCache>
                <c:formatCode>0.0</c:formatCode>
                <c:ptCount val="2"/>
                <c:pt idx="0" formatCode="0">
                  <c:v>21.03</c:v>
                </c:pt>
                <c:pt idx="1">
                  <c:v>19.236999999999998</c:v>
                </c:pt>
              </c:numCache>
            </c:numRef>
          </c:val>
          <c:extLst>
            <c:ext xmlns:c16="http://schemas.microsoft.com/office/drawing/2014/chart" uri="{C3380CC4-5D6E-409C-BE32-E72D297353CC}">
              <c16:uniqueId val="{0000000A-FDE0-42F8-8058-1581A22A8E85}"/>
            </c:ext>
          </c:extLst>
        </c:ser>
        <c:dLbls>
          <c:showLegendKey val="0"/>
          <c:showVal val="1"/>
          <c:showCatName val="0"/>
          <c:showSerName val="0"/>
          <c:showPercent val="0"/>
          <c:showBubbleSize val="0"/>
        </c:dLbls>
        <c:gapWidth val="100"/>
        <c:overlap val="-24"/>
        <c:axId val="165300864"/>
        <c:axId val="165319040"/>
      </c:barChart>
      <c:catAx>
        <c:axId val="165300864"/>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65319040"/>
        <c:crosses val="autoZero"/>
        <c:auto val="1"/>
        <c:lblAlgn val="ctr"/>
        <c:lblOffset val="100"/>
        <c:noMultiLvlLbl val="0"/>
      </c:catAx>
      <c:valAx>
        <c:axId val="165319040"/>
        <c:scaling>
          <c:orientation val="minMax"/>
          <c:max val="100"/>
        </c:scaling>
        <c:delete val="0"/>
        <c:axPos val="l"/>
        <c:majorGridlines>
          <c:spPr>
            <a:ln w="9525" cap="flat" cmpd="sng" algn="ctr">
              <a:solidFill>
                <a:schemeClr val="tx2">
                  <a:lumMod val="15000"/>
                  <a:lumOff val="85000"/>
                </a:schemeClr>
              </a:solidFill>
              <a:round/>
            </a:ln>
            <a:effectLst/>
          </c:spPr>
        </c:majorGridlines>
        <c:title>
          <c:tx>
            <c:rich>
              <a:bodyPr rot="0" spcFirstLastPara="1" vertOverflow="ellipsis" wrap="square" anchor="ctr" anchorCtr="1"/>
              <a:lstStyle/>
              <a:p>
                <a:pPr>
                  <a:defRPr sz="900" b="1" i="0" u="none" strike="noStrike" kern="1200" baseline="0">
                    <a:solidFill>
                      <a:schemeClr val="tx2"/>
                    </a:solidFill>
                    <a:latin typeface="+mn-lt"/>
                    <a:ea typeface="+mn-ea"/>
                    <a:cs typeface="+mn-cs"/>
                  </a:defRPr>
                </a:pPr>
                <a:r>
                  <a:rPr lang="en-GB"/>
                  <a:t>%</a:t>
                </a:r>
              </a:p>
            </c:rich>
          </c:tx>
          <c:layout>
            <c:manualLayout>
              <c:xMode val="edge"/>
              <c:yMode val="edge"/>
              <c:x val="1.1887381567614127E-2"/>
              <c:y val="0.50899803921568632"/>
            </c:manualLayout>
          </c:layout>
          <c:overlay val="0"/>
          <c:spPr>
            <a:noFill/>
            <a:ln>
              <a:noFill/>
            </a:ln>
            <a:effectLst/>
          </c:spPr>
          <c:txPr>
            <a:bodyPr rot="0" spcFirstLastPara="1" vertOverflow="ellipsis" wrap="square" anchor="ctr" anchorCtr="1"/>
            <a:lstStyle/>
            <a:p>
              <a:pPr>
                <a:defRPr sz="900" b="1" i="0" u="none" strike="noStrike" kern="1200" baseline="0">
                  <a:solidFill>
                    <a:schemeClr val="tx2"/>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65300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0"/>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1" i="0" u="none" strike="noStrike" kern="1200" cap="none" spc="20" baseline="0">
                <a:solidFill>
                  <a:schemeClr val="tx1">
                    <a:lumMod val="50000"/>
                    <a:lumOff val="50000"/>
                  </a:schemeClr>
                </a:solidFill>
                <a:latin typeface="+mn-lt"/>
                <a:ea typeface="+mn-ea"/>
                <a:cs typeface="+mn-cs"/>
              </a:defRPr>
            </a:pPr>
            <a:r>
              <a:rPr lang="en-GB" sz="1200" b="1"/>
              <a:t>Prevalence of obesity by Local Authority</a:t>
            </a:r>
          </a:p>
          <a:p>
            <a:pPr algn="ctr">
              <a:defRPr b="1"/>
            </a:pPr>
            <a:r>
              <a:rPr lang="en-GB" sz="1200" b="1"/>
              <a:t>All adults, 2013-2016 combined</a:t>
            </a:r>
          </a:p>
        </c:rich>
      </c:tx>
      <c:layout>
        <c:manualLayout>
          <c:xMode val="edge"/>
          <c:yMode val="edge"/>
          <c:x val="0.20627930176611134"/>
          <c:y val="8.8860753932514715E-3"/>
        </c:manualLayout>
      </c:layout>
      <c:overlay val="0"/>
      <c:spPr>
        <a:noFill/>
        <a:ln>
          <a:noFill/>
        </a:ln>
        <a:effectLst/>
      </c:spPr>
      <c:txPr>
        <a:bodyPr rot="0" spcFirstLastPara="1" vertOverflow="ellipsis" vert="horz" wrap="square" anchor="ctr" anchorCtr="1"/>
        <a:lstStyle/>
        <a:p>
          <a:pPr algn="ctr">
            <a:defRPr sz="1400" b="1"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clustered"/>
        <c:varyColors val="0"/>
        <c:ser>
          <c:idx val="0"/>
          <c:order val="0"/>
          <c:tx>
            <c:strRef>
              <c:f>'[00530205.xlsm]Obesity chart'!$B$36</c:f>
              <c:strCache>
                <c:ptCount val="1"/>
                <c:pt idx="0">
                  <c:v>Obesea</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Pt>
            <c:idx val="0"/>
            <c:invertIfNegative val="0"/>
            <c:bubble3D val="0"/>
            <c:spPr>
              <a:solidFill>
                <a:srgbClr val="ED7D31"/>
              </a:solidFill>
              <a:ln w="9525" cap="flat" cmpd="sng" algn="ctr">
                <a:solidFill>
                  <a:schemeClr val="accent1">
                    <a:shade val="95000"/>
                  </a:schemeClr>
                </a:solidFill>
                <a:round/>
              </a:ln>
              <a:effectLst/>
            </c:spPr>
            <c:extLst>
              <c:ext xmlns:c16="http://schemas.microsoft.com/office/drawing/2014/chart" uri="{C3380CC4-5D6E-409C-BE32-E72D297353CC}">
                <c16:uniqueId val="{00000001-F2BC-4F51-B2CE-8665F25D2F2E}"/>
              </c:ext>
            </c:extLst>
          </c:dPt>
          <c:dPt>
            <c:idx val="14"/>
            <c:invertIfNegative val="0"/>
            <c:bubble3D val="0"/>
            <c:extLst>
              <c:ext xmlns:c16="http://schemas.microsoft.com/office/drawing/2014/chart" uri="{C3380CC4-5D6E-409C-BE32-E72D297353CC}">
                <c16:uniqueId val="{00000000-FBD2-4D40-B5A9-317270633D3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BarType val="both"/>
            <c:errValType val="cust"/>
            <c:noEndCap val="0"/>
            <c:plus>
              <c:numRef>
                <c:f>'[1]Obesity chart'!$C$40:$O$40</c:f>
                <c:numCache>
                  <c:formatCode>General</c:formatCode>
                  <c:ptCount val="13"/>
                  <c:pt idx="0">
                    <c:v>3.3629999999999995</c:v>
                  </c:pt>
                  <c:pt idx="1">
                    <c:v>3.1000000000000014</c:v>
                  </c:pt>
                  <c:pt idx="2">
                    <c:v>3.8819999999999979</c:v>
                  </c:pt>
                  <c:pt idx="3">
                    <c:v>3.0799999999999983</c:v>
                  </c:pt>
                  <c:pt idx="4">
                    <c:v>2.7300000000000004</c:v>
                  </c:pt>
                  <c:pt idx="5">
                    <c:v>2.6400000000000006</c:v>
                  </c:pt>
                  <c:pt idx="6">
                    <c:v>4.4789999999999992</c:v>
                  </c:pt>
                  <c:pt idx="7">
                    <c:v>4.2480000000000047</c:v>
                  </c:pt>
                  <c:pt idx="8">
                    <c:v>4.0599999999999987</c:v>
                  </c:pt>
                  <c:pt idx="9">
                    <c:v>3.6099999999999994</c:v>
                  </c:pt>
                  <c:pt idx="10">
                    <c:v>4.411999999999999</c:v>
                  </c:pt>
                  <c:pt idx="12">
                    <c:v>0.89000000000000057</c:v>
                  </c:pt>
                </c:numCache>
              </c:numRef>
            </c:plus>
            <c:minus>
              <c:numRef>
                <c:f>'[1]Obesity chart'!$C$40:$O$40</c:f>
                <c:numCache>
                  <c:formatCode>General</c:formatCode>
                  <c:ptCount val="13"/>
                  <c:pt idx="0">
                    <c:v>3.3629999999999995</c:v>
                  </c:pt>
                  <c:pt idx="1">
                    <c:v>3.1000000000000014</c:v>
                  </c:pt>
                  <c:pt idx="2">
                    <c:v>3.8819999999999979</c:v>
                  </c:pt>
                  <c:pt idx="3">
                    <c:v>3.0799999999999983</c:v>
                  </c:pt>
                  <c:pt idx="4">
                    <c:v>2.7300000000000004</c:v>
                  </c:pt>
                  <c:pt idx="5">
                    <c:v>2.6400000000000006</c:v>
                  </c:pt>
                  <c:pt idx="6">
                    <c:v>4.4789999999999992</c:v>
                  </c:pt>
                  <c:pt idx="7">
                    <c:v>4.2480000000000047</c:v>
                  </c:pt>
                  <c:pt idx="8">
                    <c:v>4.0599999999999987</c:v>
                  </c:pt>
                  <c:pt idx="9">
                    <c:v>3.6099999999999994</c:v>
                  </c:pt>
                  <c:pt idx="10">
                    <c:v>4.411999999999999</c:v>
                  </c:pt>
                  <c:pt idx="12">
                    <c:v>0.89000000000000057</c:v>
                  </c:pt>
                </c:numCache>
              </c:numRef>
            </c:minus>
            <c:spPr>
              <a:noFill/>
              <a:ln w="9525">
                <a:solidFill>
                  <a:schemeClr val="tx1">
                    <a:lumMod val="50000"/>
                    <a:lumOff val="50000"/>
                  </a:schemeClr>
                </a:solidFill>
              </a:ln>
              <a:effectLst/>
            </c:spPr>
          </c:errBars>
          <c:cat>
            <c:strRef>
              <c:f>'[1]Obesity chart'!$C$34:$O$34</c:f>
              <c:strCache>
                <c:ptCount val="13"/>
                <c:pt idx="0">
                  <c:v>Aberdeen City</c:v>
                </c:pt>
                <c:pt idx="1">
                  <c:v>Aberdeenshire</c:v>
                </c:pt>
                <c:pt idx="2">
                  <c:v>East Ayrshire</c:v>
                </c:pt>
                <c:pt idx="3">
                  <c:v>Edinburgh, City of</c:v>
                </c:pt>
                <c:pt idx="4">
                  <c:v>Fife</c:v>
                </c:pt>
                <c:pt idx="5">
                  <c:v>Glasgow City</c:v>
                </c:pt>
                <c:pt idx="6">
                  <c:v>Na h-Eileanan Siar</c:v>
                </c:pt>
                <c:pt idx="7">
                  <c:v>North Ayrshire</c:v>
                </c:pt>
                <c:pt idx="8">
                  <c:v>North Lanarkshire</c:v>
                </c:pt>
                <c:pt idx="9">
                  <c:v>South Ayrshire</c:v>
                </c:pt>
                <c:pt idx="10">
                  <c:v>South Lanarkshire</c:v>
                </c:pt>
                <c:pt idx="12">
                  <c:v>Scotland</c:v>
                </c:pt>
              </c:strCache>
            </c:strRef>
          </c:cat>
          <c:val>
            <c:numRef>
              <c:f>'[1]Obesity chart'!$C$36:$O$36</c:f>
              <c:numCache>
                <c:formatCode>0</c:formatCode>
                <c:ptCount val="13"/>
                <c:pt idx="0">
                  <c:v>24.57</c:v>
                </c:pt>
                <c:pt idx="1">
                  <c:v>29.03</c:v>
                </c:pt>
                <c:pt idx="2">
                  <c:v>34.167999999999999</c:v>
                </c:pt>
                <c:pt idx="3">
                  <c:v>18.38</c:v>
                </c:pt>
                <c:pt idx="4">
                  <c:v>31.95</c:v>
                </c:pt>
                <c:pt idx="5">
                  <c:v>25.39</c:v>
                </c:pt>
                <c:pt idx="6">
                  <c:v>33.881</c:v>
                </c:pt>
                <c:pt idx="7">
                  <c:v>36.533000000000001</c:v>
                </c:pt>
                <c:pt idx="8">
                  <c:v>33.75</c:v>
                </c:pt>
                <c:pt idx="9">
                  <c:v>28.785</c:v>
                </c:pt>
                <c:pt idx="10">
                  <c:v>30.920999999999999</c:v>
                </c:pt>
                <c:pt idx="12">
                  <c:v>28.32</c:v>
                </c:pt>
              </c:numCache>
            </c:numRef>
          </c:val>
          <c:extLst>
            <c:ext xmlns:c16="http://schemas.microsoft.com/office/drawing/2014/chart" uri="{C3380CC4-5D6E-409C-BE32-E72D297353CC}">
              <c16:uniqueId val="{00000001-FBD2-4D40-B5A9-317270633D35}"/>
            </c:ext>
          </c:extLst>
        </c:ser>
        <c:dLbls>
          <c:dLblPos val="outEnd"/>
          <c:showLegendKey val="0"/>
          <c:showVal val="1"/>
          <c:showCatName val="0"/>
          <c:showSerName val="0"/>
          <c:showPercent val="0"/>
          <c:showBubbleSize val="0"/>
        </c:dLbls>
        <c:gapWidth val="100"/>
        <c:overlap val="-24"/>
        <c:axId val="192634240"/>
        <c:axId val="192660608"/>
      </c:barChart>
      <c:catAx>
        <c:axId val="19263424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2340000" spcFirstLastPara="1" vertOverflow="ellipsis" wrap="square" anchor="ctr" anchorCtr="1"/>
          <a:lstStyle/>
          <a:p>
            <a:pPr>
              <a:defRPr sz="800" b="0" i="0" u="none" strike="noStrike" kern="1200" baseline="0">
                <a:solidFill>
                  <a:schemeClr val="tx1">
                    <a:lumMod val="50000"/>
                    <a:lumOff val="50000"/>
                  </a:schemeClr>
                </a:solidFill>
                <a:latin typeface="+mn-lt"/>
                <a:ea typeface="+mn-ea"/>
                <a:cs typeface="+mn-cs"/>
              </a:defRPr>
            </a:pPr>
            <a:endParaRPr lang="en-US"/>
          </a:p>
        </c:txPr>
        <c:crossAx val="192660608"/>
        <c:crosses val="autoZero"/>
        <c:auto val="1"/>
        <c:lblAlgn val="ctr"/>
        <c:lblOffset val="100"/>
        <c:noMultiLvlLbl val="0"/>
      </c:catAx>
      <c:valAx>
        <c:axId val="192660608"/>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en-GB"/>
                  <a:t>%</a:t>
                </a:r>
              </a:p>
            </c:rich>
          </c:tx>
          <c:layout>
            <c:manualLayout>
              <c:xMode val="edge"/>
              <c:yMode val="edge"/>
              <c:x val="1.2277056032268857E-3"/>
              <c:y val="0.49405087020141741"/>
            </c:manualLayout>
          </c:layout>
          <c:overlay val="0"/>
          <c:spPr>
            <a:noFill/>
            <a:ln>
              <a:noFill/>
            </a:ln>
            <a:effectLst/>
          </c:spPr>
          <c:txPr>
            <a:bodyPr rot="0" spcFirstLastPara="1" vertOverflow="ellipsis"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92634240"/>
        <c:crosses val="autoZero"/>
        <c:crossBetween val="between"/>
      </c:valAx>
      <c:spPr>
        <a:noFill/>
        <a:ln>
          <a:noFill/>
        </a:ln>
        <a:effectLst/>
      </c:spPr>
    </c:plotArea>
    <c:plotVisOnly val="0"/>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50"/>
              <a:t>Proportion of population prescribed drugs for anxiety/depression/psychosis,</a:t>
            </a:r>
            <a:r>
              <a:rPr lang="en-GB" sz="1050" baseline="0"/>
              <a:t> Aberdeen City and Scotland, 2009/10 to 2016/17</a:t>
            </a:r>
            <a:endParaRPr lang="en-GB" sz="105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Sheet2!$B$18</c:f>
              <c:strCache>
                <c:ptCount val="1"/>
                <c:pt idx="0">
                  <c:v>Aberdeen City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5.1923665791776027E-2"/>
                  <c:y val="5.72926952833185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0C9-4401-8F46-C0384C56C45B}"/>
                </c:ext>
              </c:extLst>
            </c:dLbl>
            <c:dLbl>
              <c:idx val="7"/>
              <c:layout>
                <c:manualLayout>
                  <c:x val="-3.9984689413823375E-2"/>
                  <c:y val="7.36503833967318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0C9-4401-8F46-C0384C56C45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Sheet2!$A$19:$A$26</c:f>
              <c:strCache>
                <c:ptCount val="8"/>
                <c:pt idx="0">
                  <c:v>2009/10</c:v>
                </c:pt>
                <c:pt idx="1">
                  <c:v>2010/11</c:v>
                </c:pt>
                <c:pt idx="2">
                  <c:v>2011/12</c:v>
                </c:pt>
                <c:pt idx="3">
                  <c:v>2012/13</c:v>
                </c:pt>
                <c:pt idx="4">
                  <c:v>2013/14</c:v>
                </c:pt>
                <c:pt idx="5">
                  <c:v>2014/15</c:v>
                </c:pt>
                <c:pt idx="6">
                  <c:v>2015/16</c:v>
                </c:pt>
                <c:pt idx="7">
                  <c:v>2016/17</c:v>
                </c:pt>
              </c:strCache>
            </c:strRef>
          </c:cat>
          <c:val>
            <c:numRef>
              <c:f>Sheet2!$B$19:$B$26</c:f>
              <c:numCache>
                <c:formatCode>0.0%</c:formatCode>
                <c:ptCount val="8"/>
                <c:pt idx="0">
                  <c:v>0.12457377200257999</c:v>
                </c:pt>
                <c:pt idx="1">
                  <c:v>0.13034178309743799</c:v>
                </c:pt>
                <c:pt idx="2">
                  <c:v>0.135444574305493</c:v>
                </c:pt>
                <c:pt idx="3">
                  <c:v>0.13938908896892099</c:v>
                </c:pt>
                <c:pt idx="4">
                  <c:v>0.14267846919452201</c:v>
                </c:pt>
                <c:pt idx="5">
                  <c:v>0.146160230648261</c:v>
                </c:pt>
                <c:pt idx="6">
                  <c:v>0.149450835684827</c:v>
                </c:pt>
                <c:pt idx="7">
                  <c:v>0.15376783849634498</c:v>
                </c:pt>
              </c:numCache>
            </c:numRef>
          </c:val>
          <c:smooth val="0"/>
          <c:extLst>
            <c:ext xmlns:c16="http://schemas.microsoft.com/office/drawing/2014/chart" uri="{C3380CC4-5D6E-409C-BE32-E72D297353CC}">
              <c16:uniqueId val="{00000002-B0C9-4401-8F46-C0384C56C45B}"/>
            </c:ext>
          </c:extLst>
        </c:ser>
        <c:ser>
          <c:idx val="1"/>
          <c:order val="1"/>
          <c:tx>
            <c:strRef>
              <c:f>Sheet2!$C$18</c:f>
              <c:strCache>
                <c:ptCount val="1"/>
                <c:pt idx="0">
                  <c:v>Scotland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0C9-4401-8F46-C0384C56C45B}"/>
                </c:ext>
              </c:extLst>
            </c:dLbl>
            <c:dLbl>
              <c:idx val="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0C9-4401-8F46-C0384C56C45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Sheet2!$A$19:$A$26</c:f>
              <c:strCache>
                <c:ptCount val="8"/>
                <c:pt idx="0">
                  <c:v>2009/10</c:v>
                </c:pt>
                <c:pt idx="1">
                  <c:v>2010/11</c:v>
                </c:pt>
                <c:pt idx="2">
                  <c:v>2011/12</c:v>
                </c:pt>
                <c:pt idx="3">
                  <c:v>2012/13</c:v>
                </c:pt>
                <c:pt idx="4">
                  <c:v>2013/14</c:v>
                </c:pt>
                <c:pt idx="5">
                  <c:v>2014/15</c:v>
                </c:pt>
                <c:pt idx="6">
                  <c:v>2015/16</c:v>
                </c:pt>
                <c:pt idx="7">
                  <c:v>2016/17</c:v>
                </c:pt>
              </c:strCache>
            </c:strRef>
          </c:cat>
          <c:val>
            <c:numRef>
              <c:f>Sheet2!$C$19:$C$26</c:f>
              <c:numCache>
                <c:formatCode>0.0%</c:formatCode>
                <c:ptCount val="8"/>
                <c:pt idx="0">
                  <c:v>0.14407748619048499</c:v>
                </c:pt>
                <c:pt idx="1">
                  <c:v>0.14956482079738501</c:v>
                </c:pt>
                <c:pt idx="2">
                  <c:v>0.15586407290703599</c:v>
                </c:pt>
                <c:pt idx="3">
                  <c:v>0.16212755947003898</c:v>
                </c:pt>
                <c:pt idx="4">
                  <c:v>0.16781331531430102</c:v>
                </c:pt>
                <c:pt idx="5">
                  <c:v>0.17371026254768498</c:v>
                </c:pt>
                <c:pt idx="6">
                  <c:v>0.17972045412246399</c:v>
                </c:pt>
                <c:pt idx="7">
                  <c:v>0.184508113308787</c:v>
                </c:pt>
              </c:numCache>
            </c:numRef>
          </c:val>
          <c:smooth val="0"/>
          <c:extLst>
            <c:ext xmlns:c16="http://schemas.microsoft.com/office/drawing/2014/chart" uri="{C3380CC4-5D6E-409C-BE32-E72D297353CC}">
              <c16:uniqueId val="{00000005-B0C9-4401-8F46-C0384C56C45B}"/>
            </c:ext>
          </c:extLst>
        </c:ser>
        <c:dLbls>
          <c:showLegendKey val="0"/>
          <c:showVal val="0"/>
          <c:showCatName val="0"/>
          <c:showSerName val="0"/>
          <c:showPercent val="0"/>
          <c:showBubbleSize val="0"/>
        </c:dLbls>
        <c:marker val="1"/>
        <c:smooth val="0"/>
        <c:axId val="736380856"/>
        <c:axId val="736381184"/>
      </c:lineChart>
      <c:catAx>
        <c:axId val="736380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36381184"/>
        <c:crosses val="autoZero"/>
        <c:auto val="1"/>
        <c:lblAlgn val="ctr"/>
        <c:lblOffset val="100"/>
        <c:noMultiLvlLbl val="0"/>
      </c:catAx>
      <c:valAx>
        <c:axId val="736381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t>Percentage of the population</a:t>
                </a:r>
              </a:p>
            </c:rich>
          </c:tx>
          <c:layout>
            <c:manualLayout>
              <c:xMode val="edge"/>
              <c:yMode val="edge"/>
              <c:x val="3.0555555555555555E-2"/>
              <c:y val="0.2424209378407851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6380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100" b="0"/>
              <a:t>Percentage of population prescribed drugs fro anxiety/depression/psychosis by Intermediate Zone, Aberdeen city 2016/17</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Sheet2!$C$98</c:f>
              <c:strCache>
                <c:ptCount val="1"/>
                <c:pt idx="0">
                  <c:v>2016</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27"/>
            <c:invertIfNegative val="0"/>
            <c:bubble3D val="0"/>
            <c:spPr>
              <a:solidFill>
                <a:schemeClr val="accent2"/>
              </a:solidFill>
              <a:ln>
                <a:noFill/>
              </a:ln>
              <a:effectLst/>
            </c:spPr>
            <c:extLst>
              <c:ext xmlns:c16="http://schemas.microsoft.com/office/drawing/2014/chart" uri="{C3380CC4-5D6E-409C-BE32-E72D297353CC}">
                <c16:uniqueId val="{00000001-9803-43C9-B7AB-24FBCF0FAC5F}"/>
              </c:ext>
            </c:extLst>
          </c:dPt>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803-43C9-B7AB-24FBCF0FAC5F}"/>
                </c:ext>
              </c:extLst>
            </c:dLbl>
            <c:dLbl>
              <c:idx val="27"/>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803-43C9-B7AB-24FBCF0FAC5F}"/>
                </c:ext>
              </c:extLst>
            </c:dLbl>
            <c:dLbl>
              <c:idx val="49"/>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803-43C9-B7AB-24FBCF0FAC5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Sheet2!$B$99:$B$148</c:f>
              <c:strCache>
                <c:ptCount val="50"/>
                <c:pt idx="0">
                  <c:v>West End South</c:v>
                </c:pt>
                <c:pt idx="1">
                  <c:v>West End North</c:v>
                </c:pt>
                <c:pt idx="2">
                  <c:v>Cults, Bieldside and Milltimber East</c:v>
                </c:pt>
                <c:pt idx="3">
                  <c:v>Ferryhill North</c:v>
                </c:pt>
                <c:pt idx="4">
                  <c:v>City Centre East (Aberdeen City)</c:v>
                </c:pt>
                <c:pt idx="5">
                  <c:v>City Centre West (Aberdeen City)</c:v>
                </c:pt>
                <c:pt idx="6">
                  <c:v>Hanover North</c:v>
                </c:pt>
                <c:pt idx="7">
                  <c:v>Braeside, Mannofield, Broomhill and Seafield East</c:v>
                </c:pt>
                <c:pt idx="8">
                  <c:v>Midstocket</c:v>
                </c:pt>
                <c:pt idx="9">
                  <c:v>Cults, Bieldside and Milltimber West</c:v>
                </c:pt>
                <c:pt idx="10">
                  <c:v>Braeside, Mannofield, Broomhill and Seafield North</c:v>
                </c:pt>
                <c:pt idx="11">
                  <c:v>Froghall, Powis and Sunnybank</c:v>
                </c:pt>
                <c:pt idx="12">
                  <c:v>Old Aberdeen</c:v>
                </c:pt>
                <c:pt idx="13">
                  <c:v>Kingswells</c:v>
                </c:pt>
                <c:pt idx="14">
                  <c:v>George Street</c:v>
                </c:pt>
                <c:pt idx="15">
                  <c:v>Rosemount</c:v>
                </c:pt>
                <c:pt idx="16">
                  <c:v>Ferryhill South</c:v>
                </c:pt>
                <c:pt idx="17">
                  <c:v>Braeside, Mannofield, Broomhill and Seafield South</c:v>
                </c:pt>
                <c:pt idx="18">
                  <c:v>Balgownie and Donmouth East</c:v>
                </c:pt>
                <c:pt idx="19">
                  <c:v>Cove South</c:v>
                </c:pt>
                <c:pt idx="20">
                  <c:v>Hazlehead</c:v>
                </c:pt>
                <c:pt idx="21">
                  <c:v>Denmore</c:v>
                </c:pt>
                <c:pt idx="22">
                  <c:v>Oldmachar West</c:v>
                </c:pt>
                <c:pt idx="23">
                  <c:v>Culter</c:v>
                </c:pt>
                <c:pt idx="24">
                  <c:v>Hanover South</c:v>
                </c:pt>
                <c:pt idx="25">
                  <c:v>Danestone</c:v>
                </c:pt>
                <c:pt idx="26">
                  <c:v>Oldmachar East</c:v>
                </c:pt>
                <c:pt idx="27">
                  <c:v>Aberdeen City</c:v>
                </c:pt>
                <c:pt idx="28">
                  <c:v>Ashgrove</c:v>
                </c:pt>
                <c:pt idx="29">
                  <c:v>Hilton</c:v>
                </c:pt>
                <c:pt idx="30">
                  <c:v>Balgownie and Donmouth West</c:v>
                </c:pt>
                <c:pt idx="31">
                  <c:v>Seaton</c:v>
                </c:pt>
                <c:pt idx="32">
                  <c:v>Bucksburn North</c:v>
                </c:pt>
                <c:pt idx="33">
                  <c:v>Torry West</c:v>
                </c:pt>
                <c:pt idx="34">
                  <c:v>Garthdee</c:v>
                </c:pt>
                <c:pt idx="35">
                  <c:v>Bucksburn South</c:v>
                </c:pt>
                <c:pt idx="36">
                  <c:v>Kincorth, Leggart and Nigg South</c:v>
                </c:pt>
                <c:pt idx="37">
                  <c:v>Tillydrone</c:v>
                </c:pt>
                <c:pt idx="38">
                  <c:v>Cove North</c:v>
                </c:pt>
                <c:pt idx="39">
                  <c:v>Torry East</c:v>
                </c:pt>
                <c:pt idx="40">
                  <c:v>Dyce</c:v>
                </c:pt>
                <c:pt idx="41">
                  <c:v>Summerhill</c:v>
                </c:pt>
                <c:pt idx="42">
                  <c:v>Heathryfold and Middlefield</c:v>
                </c:pt>
                <c:pt idx="43">
                  <c:v>Northfield</c:v>
                </c:pt>
                <c:pt idx="44">
                  <c:v>Stockethill</c:v>
                </c:pt>
                <c:pt idx="45">
                  <c:v>Cummings Park</c:v>
                </c:pt>
                <c:pt idx="46">
                  <c:v>Kincorth, Leggart and Nigg North</c:v>
                </c:pt>
                <c:pt idx="47">
                  <c:v>Woodside (Aberdeen City)</c:v>
                </c:pt>
                <c:pt idx="48">
                  <c:v>Sheddocksley</c:v>
                </c:pt>
                <c:pt idx="49">
                  <c:v>Mastrick</c:v>
                </c:pt>
              </c:strCache>
            </c:strRef>
          </c:cat>
          <c:val>
            <c:numRef>
              <c:f>Sheet2!$C$99:$C$148</c:f>
              <c:numCache>
                <c:formatCode>0.0%</c:formatCode>
                <c:ptCount val="50"/>
                <c:pt idx="0">
                  <c:v>9.3260188087774309E-2</c:v>
                </c:pt>
                <c:pt idx="1">
                  <c:v>9.5612134344528699E-2</c:v>
                </c:pt>
                <c:pt idx="2">
                  <c:v>9.9297012302284701E-2</c:v>
                </c:pt>
                <c:pt idx="3">
                  <c:v>0.105420486249502</c:v>
                </c:pt>
                <c:pt idx="4">
                  <c:v>0.11988304093567301</c:v>
                </c:pt>
                <c:pt idx="5">
                  <c:v>0.12032884902840101</c:v>
                </c:pt>
                <c:pt idx="6">
                  <c:v>0.121226304703955</c:v>
                </c:pt>
                <c:pt idx="7">
                  <c:v>0.122852794085671</c:v>
                </c:pt>
                <c:pt idx="8">
                  <c:v>0.12335381913959599</c:v>
                </c:pt>
                <c:pt idx="9">
                  <c:v>0.123508771929825</c:v>
                </c:pt>
                <c:pt idx="10">
                  <c:v>0.124948368442792</c:v>
                </c:pt>
                <c:pt idx="11">
                  <c:v>0.12674337517433801</c:v>
                </c:pt>
                <c:pt idx="12">
                  <c:v>0.12747160286074899</c:v>
                </c:pt>
                <c:pt idx="13">
                  <c:v>0.12987947472567002</c:v>
                </c:pt>
                <c:pt idx="14">
                  <c:v>0.13027877449627401</c:v>
                </c:pt>
                <c:pt idx="15">
                  <c:v>0.13301743103740099</c:v>
                </c:pt>
                <c:pt idx="16">
                  <c:v>0.134010354440462</c:v>
                </c:pt>
                <c:pt idx="17">
                  <c:v>0.136904761904762</c:v>
                </c:pt>
                <c:pt idx="18">
                  <c:v>0.137356534616809</c:v>
                </c:pt>
                <c:pt idx="19">
                  <c:v>0.14050632911392399</c:v>
                </c:pt>
                <c:pt idx="20">
                  <c:v>0.14255153636717199</c:v>
                </c:pt>
                <c:pt idx="21">
                  <c:v>0.14298642533936701</c:v>
                </c:pt>
                <c:pt idx="22">
                  <c:v>0.143946188340807</c:v>
                </c:pt>
                <c:pt idx="23">
                  <c:v>0.14484451718494301</c:v>
                </c:pt>
                <c:pt idx="24">
                  <c:v>0.147680563711098</c:v>
                </c:pt>
                <c:pt idx="25">
                  <c:v>0.14998770592574401</c:v>
                </c:pt>
                <c:pt idx="26">
                  <c:v>0.151252019386107</c:v>
                </c:pt>
                <c:pt idx="27">
                  <c:v>0.15376783849634498</c:v>
                </c:pt>
                <c:pt idx="28">
                  <c:v>0.15409482758620699</c:v>
                </c:pt>
                <c:pt idx="29">
                  <c:v>0.16003262642740601</c:v>
                </c:pt>
                <c:pt idx="30">
                  <c:v>0.16170445233542799</c:v>
                </c:pt>
                <c:pt idx="31">
                  <c:v>0.164624973135611</c:v>
                </c:pt>
                <c:pt idx="32">
                  <c:v>0.16828227995347</c:v>
                </c:pt>
                <c:pt idx="33">
                  <c:v>0.17059030217849599</c:v>
                </c:pt>
                <c:pt idx="34">
                  <c:v>0.172925444220553</c:v>
                </c:pt>
                <c:pt idx="35">
                  <c:v>0.17406324740898199</c:v>
                </c:pt>
                <c:pt idx="36">
                  <c:v>0.176581089542893</c:v>
                </c:pt>
                <c:pt idx="37">
                  <c:v>0.17982770997846401</c:v>
                </c:pt>
                <c:pt idx="38">
                  <c:v>0.18288263172567601</c:v>
                </c:pt>
                <c:pt idx="39">
                  <c:v>0.18658954584404502</c:v>
                </c:pt>
                <c:pt idx="40">
                  <c:v>0.19044911881750998</c:v>
                </c:pt>
                <c:pt idx="41">
                  <c:v>0.19253238506477</c:v>
                </c:pt>
                <c:pt idx="42">
                  <c:v>0.19643572286744099</c:v>
                </c:pt>
                <c:pt idx="43">
                  <c:v>0.19741458910434001</c:v>
                </c:pt>
                <c:pt idx="44">
                  <c:v>0.19967678218710699</c:v>
                </c:pt>
                <c:pt idx="45">
                  <c:v>0.203164735801074</c:v>
                </c:pt>
                <c:pt idx="46">
                  <c:v>0.21091627562361101</c:v>
                </c:pt>
                <c:pt idx="47">
                  <c:v>0.21279182879377401</c:v>
                </c:pt>
                <c:pt idx="48">
                  <c:v>0.220036503751775</c:v>
                </c:pt>
                <c:pt idx="49">
                  <c:v>0.220170159784188</c:v>
                </c:pt>
              </c:numCache>
            </c:numRef>
          </c:val>
          <c:extLst>
            <c:ext xmlns:c16="http://schemas.microsoft.com/office/drawing/2014/chart" uri="{C3380CC4-5D6E-409C-BE32-E72D297353CC}">
              <c16:uniqueId val="{00000004-9803-43C9-B7AB-24FBCF0FAC5F}"/>
            </c:ext>
          </c:extLst>
        </c:ser>
        <c:dLbls>
          <c:showLegendKey val="0"/>
          <c:showVal val="0"/>
          <c:showCatName val="0"/>
          <c:showSerName val="0"/>
          <c:showPercent val="0"/>
          <c:showBubbleSize val="0"/>
        </c:dLbls>
        <c:gapWidth val="100"/>
        <c:overlap val="-24"/>
        <c:axId val="639202904"/>
        <c:axId val="639201264"/>
      </c:barChart>
      <c:catAx>
        <c:axId val="63920290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crossAx val="639201264"/>
        <c:crosses val="autoZero"/>
        <c:auto val="1"/>
        <c:lblAlgn val="ctr"/>
        <c:lblOffset val="100"/>
        <c:tickLblSkip val="1"/>
        <c:noMultiLvlLbl val="0"/>
      </c:catAx>
      <c:valAx>
        <c:axId val="639201264"/>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39202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50"/>
              <a:t>Rate of patients with psychiatric hospitalisation, Aberdeen City and Scotland, 2002/03-2004/05 to 2013/14-2015/16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'Psychiatric hospitalisation'!$M$26</c:f>
              <c:strCache>
                <c:ptCount val="1"/>
                <c:pt idx="0">
                  <c:v>Aberdeen City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5.1176286450432228E-2"/>
                  <c:y val="6.71642607174102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26F-4E89-8A28-1DDE9DAB5B79}"/>
                </c:ext>
              </c:extLst>
            </c:dLbl>
            <c:dLbl>
              <c:idx val="11"/>
              <c:layout>
                <c:manualLayout>
                  <c:x val="-3.5113924097525916E-2"/>
                  <c:y val="6.71642607174103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26F-4E89-8A28-1DDE9DAB5B79}"/>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'Psychiatric hospitalisation'!$L$27:$L$38</c:f>
              <c:strCache>
                <c:ptCount val="12"/>
                <c:pt idx="0">
                  <c:v>2002/03-2004/05</c:v>
                </c:pt>
                <c:pt idx="1">
                  <c:v>2003/04-2005/06</c:v>
                </c:pt>
                <c:pt idx="2">
                  <c:v>2004/05-2006/07</c:v>
                </c:pt>
                <c:pt idx="3">
                  <c:v>2005/06-2007/08</c:v>
                </c:pt>
                <c:pt idx="4">
                  <c:v>2006/07-2008/09</c:v>
                </c:pt>
                <c:pt idx="5">
                  <c:v>2007/08-2009/10</c:v>
                </c:pt>
                <c:pt idx="6">
                  <c:v>2008/09-2010/11</c:v>
                </c:pt>
                <c:pt idx="7">
                  <c:v>2009/10-2011/12</c:v>
                </c:pt>
                <c:pt idx="8">
                  <c:v>2010/11-2012/13</c:v>
                </c:pt>
                <c:pt idx="9">
                  <c:v>2011/12-2013/14</c:v>
                </c:pt>
                <c:pt idx="10">
                  <c:v>2012/13-2014/15</c:v>
                </c:pt>
                <c:pt idx="11">
                  <c:v>2013/14-2015/16</c:v>
                </c:pt>
              </c:strCache>
            </c:strRef>
          </c:cat>
          <c:val>
            <c:numRef>
              <c:f>'Psychiatric hospitalisation'!$M$27:$M$38</c:f>
              <c:numCache>
                <c:formatCode>General</c:formatCode>
                <c:ptCount val="12"/>
                <c:pt idx="0">
                  <c:v>348.18030959999999</c:v>
                </c:pt>
                <c:pt idx="1">
                  <c:v>335.93881149999999</c:v>
                </c:pt>
                <c:pt idx="2">
                  <c:v>319.86674749999997</c:v>
                </c:pt>
                <c:pt idx="3">
                  <c:v>306.2374398</c:v>
                </c:pt>
                <c:pt idx="4">
                  <c:v>301.94683680000003</c:v>
                </c:pt>
                <c:pt idx="5">
                  <c:v>286.87206420000001</c:v>
                </c:pt>
                <c:pt idx="6">
                  <c:v>278.01301710000001</c:v>
                </c:pt>
                <c:pt idx="7">
                  <c:v>265.78182759999999</c:v>
                </c:pt>
                <c:pt idx="8">
                  <c:v>275.38068879999997</c:v>
                </c:pt>
                <c:pt idx="9">
                  <c:v>280.29876300000001</c:v>
                </c:pt>
                <c:pt idx="10">
                  <c:v>275.50666669999998</c:v>
                </c:pt>
                <c:pt idx="11">
                  <c:v>257.15048999999999</c:v>
                </c:pt>
              </c:numCache>
            </c:numRef>
          </c:val>
          <c:smooth val="0"/>
          <c:extLst>
            <c:ext xmlns:c16="http://schemas.microsoft.com/office/drawing/2014/chart" uri="{C3380CC4-5D6E-409C-BE32-E72D297353CC}">
              <c16:uniqueId val="{00000000-A409-4023-8280-FB4721B2503E}"/>
            </c:ext>
          </c:extLst>
        </c:ser>
        <c:ser>
          <c:idx val="1"/>
          <c:order val="1"/>
          <c:tx>
            <c:strRef>
              <c:f>'Psychiatric hospitalisation'!$N$26</c:f>
              <c:strCache>
                <c:ptCount val="1"/>
                <c:pt idx="0">
                  <c:v>Scotland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'Psychiatric hospitalisation'!$L$27:$L$38</c:f>
              <c:strCache>
                <c:ptCount val="12"/>
                <c:pt idx="0">
                  <c:v>2002/03-2004/05</c:v>
                </c:pt>
                <c:pt idx="1">
                  <c:v>2003/04-2005/06</c:v>
                </c:pt>
                <c:pt idx="2">
                  <c:v>2004/05-2006/07</c:v>
                </c:pt>
                <c:pt idx="3">
                  <c:v>2005/06-2007/08</c:v>
                </c:pt>
                <c:pt idx="4">
                  <c:v>2006/07-2008/09</c:v>
                </c:pt>
                <c:pt idx="5">
                  <c:v>2007/08-2009/10</c:v>
                </c:pt>
                <c:pt idx="6">
                  <c:v>2008/09-2010/11</c:v>
                </c:pt>
                <c:pt idx="7">
                  <c:v>2009/10-2011/12</c:v>
                </c:pt>
                <c:pt idx="8">
                  <c:v>2010/11-2012/13</c:v>
                </c:pt>
                <c:pt idx="9">
                  <c:v>2011/12-2013/14</c:v>
                </c:pt>
                <c:pt idx="10">
                  <c:v>2012/13-2014/15</c:v>
                </c:pt>
                <c:pt idx="11">
                  <c:v>2013/14-2015/16</c:v>
                </c:pt>
              </c:strCache>
            </c:strRef>
          </c:cat>
          <c:val>
            <c:numRef>
              <c:f>'Psychiatric hospitalisation'!$N$27:$N$38</c:f>
              <c:numCache>
                <c:formatCode>General</c:formatCode>
                <c:ptCount val="12"/>
                <c:pt idx="0">
                  <c:v>390.99876540000002</c:v>
                </c:pt>
                <c:pt idx="1">
                  <c:v>376.79099680000002</c:v>
                </c:pt>
                <c:pt idx="2">
                  <c:v>359.03676239999999</c:v>
                </c:pt>
                <c:pt idx="3">
                  <c:v>342.52760519999998</c:v>
                </c:pt>
                <c:pt idx="4">
                  <c:v>333.38467050000003</c:v>
                </c:pt>
                <c:pt idx="5">
                  <c:v>323.52936110000002</c:v>
                </c:pt>
                <c:pt idx="6">
                  <c:v>312.53562790000001</c:v>
                </c:pt>
                <c:pt idx="7">
                  <c:v>298.39200599999998</c:v>
                </c:pt>
                <c:pt idx="8">
                  <c:v>290.55799739999998</c:v>
                </c:pt>
                <c:pt idx="9">
                  <c:v>284.45347909999998</c:v>
                </c:pt>
                <c:pt idx="10">
                  <c:v>276.58195869999997</c:v>
                </c:pt>
                <c:pt idx="11">
                  <c:v>269.71950889999999</c:v>
                </c:pt>
              </c:numCache>
            </c:numRef>
          </c:val>
          <c:smooth val="0"/>
          <c:extLst>
            <c:ext xmlns:c16="http://schemas.microsoft.com/office/drawing/2014/chart" uri="{C3380CC4-5D6E-409C-BE32-E72D297353CC}">
              <c16:uniqueId val="{00000001-A409-4023-8280-FB4721B2503E}"/>
            </c:ext>
          </c:extLst>
        </c:ser>
        <c:dLbls>
          <c:showLegendKey val="0"/>
          <c:showVal val="0"/>
          <c:showCatName val="0"/>
          <c:showSerName val="0"/>
          <c:showPercent val="0"/>
          <c:showBubbleSize val="0"/>
        </c:dLbls>
        <c:marker val="1"/>
        <c:smooth val="0"/>
        <c:axId val="785619664"/>
        <c:axId val="785630816"/>
      </c:lineChart>
      <c:catAx>
        <c:axId val="785619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85630816"/>
        <c:crosses val="autoZero"/>
        <c:auto val="1"/>
        <c:lblAlgn val="ctr"/>
        <c:lblOffset val="100"/>
        <c:noMultiLvlLbl val="0"/>
      </c:catAx>
      <c:valAx>
        <c:axId val="785630816"/>
        <c:scaling>
          <c:orientation val="minMax"/>
          <c:min val="1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Rate per 100,000 population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5619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050" b="1"/>
              <a:t>Rate of patients with psychiatric hospitalisation</a:t>
            </a:r>
            <a:r>
              <a:rPr lang="en-GB" sz="1050" b="1" baseline="0"/>
              <a:t> by Intermediate Zone, Aberdeen City, 2013/14 to 2015/16</a:t>
            </a:r>
            <a:endParaRPr lang="en-GB" sz="1050" b="1"/>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26"/>
            <c:invertIfNegative val="0"/>
            <c:bubble3D val="0"/>
            <c:spPr>
              <a:solidFill>
                <a:schemeClr val="accent2"/>
              </a:solidFill>
              <a:ln>
                <a:noFill/>
              </a:ln>
              <a:effectLst/>
            </c:spPr>
            <c:extLst>
              <c:ext xmlns:c16="http://schemas.microsoft.com/office/drawing/2014/chart" uri="{C3380CC4-5D6E-409C-BE32-E72D297353CC}">
                <c16:uniqueId val="{00000001-0B4F-42EB-8A26-D54AC72BD014}"/>
              </c:ext>
            </c:extLst>
          </c:dPt>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B4F-42EB-8A26-D54AC72BD014}"/>
                </c:ext>
              </c:extLst>
            </c:dLbl>
            <c:dLbl>
              <c:idx val="26"/>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B4F-42EB-8A26-D54AC72BD014}"/>
                </c:ext>
              </c:extLst>
            </c:dLbl>
            <c:dLbl>
              <c:idx val="49"/>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B4F-42EB-8A26-D54AC72BD0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'Psychiatric hospitalisation'!$B$60:$B$109</c:f>
              <c:strCache>
                <c:ptCount val="50"/>
                <c:pt idx="0">
                  <c:v>Balgownie and Donmouth East</c:v>
                </c:pt>
                <c:pt idx="1">
                  <c:v>Balgownie and Donmouth West</c:v>
                </c:pt>
                <c:pt idx="2">
                  <c:v>Dyce</c:v>
                </c:pt>
                <c:pt idx="3">
                  <c:v>Braeside, Mannofield, Broomhill and Seafield North</c:v>
                </c:pt>
                <c:pt idx="4">
                  <c:v>Cove South</c:v>
                </c:pt>
                <c:pt idx="5">
                  <c:v>Braeside, Mannofield, Broomhill and Seafield South</c:v>
                </c:pt>
                <c:pt idx="6">
                  <c:v>Cummings Park</c:v>
                </c:pt>
                <c:pt idx="7">
                  <c:v>Oldmachar West</c:v>
                </c:pt>
                <c:pt idx="8">
                  <c:v>Midstocket</c:v>
                </c:pt>
                <c:pt idx="9">
                  <c:v>Kingswells</c:v>
                </c:pt>
                <c:pt idx="10">
                  <c:v>Cove North</c:v>
                </c:pt>
                <c:pt idx="11">
                  <c:v>Bucksburn North</c:v>
                </c:pt>
                <c:pt idx="12">
                  <c:v>Denmore</c:v>
                </c:pt>
                <c:pt idx="13">
                  <c:v>Danestone</c:v>
                </c:pt>
                <c:pt idx="14">
                  <c:v>Kincorth, Leggart and Nigg North</c:v>
                </c:pt>
                <c:pt idx="15">
                  <c:v>Cults, Bieldside and Milltimber East</c:v>
                </c:pt>
                <c:pt idx="16">
                  <c:v>Cults, Bieldside and Milltimber West</c:v>
                </c:pt>
                <c:pt idx="17">
                  <c:v>West End North</c:v>
                </c:pt>
                <c:pt idx="18">
                  <c:v>Sheddocksley</c:v>
                </c:pt>
                <c:pt idx="19">
                  <c:v>West End South</c:v>
                </c:pt>
                <c:pt idx="20">
                  <c:v>Ferryhill South</c:v>
                </c:pt>
                <c:pt idx="21">
                  <c:v>Culter</c:v>
                </c:pt>
                <c:pt idx="22">
                  <c:v>Mastrick</c:v>
                </c:pt>
                <c:pt idx="23">
                  <c:v>Oldmachar East</c:v>
                </c:pt>
                <c:pt idx="24">
                  <c:v>Seaton</c:v>
                </c:pt>
                <c:pt idx="25">
                  <c:v>Hilton</c:v>
                </c:pt>
                <c:pt idx="26">
                  <c:v>Aberdeen City</c:v>
                </c:pt>
                <c:pt idx="27">
                  <c:v>Kincorth, Leggart and Nigg South</c:v>
                </c:pt>
                <c:pt idx="28">
                  <c:v>Old Aberdeen</c:v>
                </c:pt>
                <c:pt idx="29">
                  <c:v>Northfield</c:v>
                </c:pt>
                <c:pt idx="30">
                  <c:v>Braeside, Mannofield, Broomhill and Seafield East</c:v>
                </c:pt>
                <c:pt idx="31">
                  <c:v>Bucksburn South</c:v>
                </c:pt>
                <c:pt idx="32">
                  <c:v>Froghall, Powis and Sunnybank</c:v>
                </c:pt>
                <c:pt idx="33">
                  <c:v>Hazlehead</c:v>
                </c:pt>
                <c:pt idx="34">
                  <c:v>Tillydrone</c:v>
                </c:pt>
                <c:pt idx="35">
                  <c:v>Summerhill</c:v>
                </c:pt>
                <c:pt idx="36">
                  <c:v>Heathryfold and Middlefield</c:v>
                </c:pt>
                <c:pt idx="37">
                  <c:v>Rosemount</c:v>
                </c:pt>
                <c:pt idx="38">
                  <c:v>Torry East</c:v>
                </c:pt>
                <c:pt idx="39">
                  <c:v>Garthdee</c:v>
                </c:pt>
                <c:pt idx="40">
                  <c:v>City Centre West (Aberdeen City)</c:v>
                </c:pt>
                <c:pt idx="41">
                  <c:v>Torry West</c:v>
                </c:pt>
                <c:pt idx="42">
                  <c:v>Stockethill</c:v>
                </c:pt>
                <c:pt idx="43">
                  <c:v>City Centre East (Aberdeen City)</c:v>
                </c:pt>
                <c:pt idx="44">
                  <c:v>Ferryhill North</c:v>
                </c:pt>
                <c:pt idx="45">
                  <c:v>Hanover South</c:v>
                </c:pt>
                <c:pt idx="46">
                  <c:v>George Street</c:v>
                </c:pt>
                <c:pt idx="47">
                  <c:v>Hanover North</c:v>
                </c:pt>
                <c:pt idx="48">
                  <c:v>Woodside (Aberdeen City)</c:v>
                </c:pt>
                <c:pt idx="49">
                  <c:v>Ashgrove</c:v>
                </c:pt>
              </c:strCache>
            </c:strRef>
          </c:cat>
          <c:val>
            <c:numRef>
              <c:f>'Psychiatric hospitalisation'!$C$60:$C$109</c:f>
              <c:numCache>
                <c:formatCode>0.0</c:formatCode>
                <c:ptCount val="50"/>
                <c:pt idx="0">
                  <c:v>92.401659690000002</c:v>
                </c:pt>
                <c:pt idx="1">
                  <c:v>99.295537769999996</c:v>
                </c:pt>
                <c:pt idx="2">
                  <c:v>102.3156204</c:v>
                </c:pt>
                <c:pt idx="3">
                  <c:v>116.46476800000001</c:v>
                </c:pt>
                <c:pt idx="4">
                  <c:v>123.3555353</c:v>
                </c:pt>
                <c:pt idx="5">
                  <c:v>134.72051479999999</c:v>
                </c:pt>
                <c:pt idx="6">
                  <c:v>139.57493919999999</c:v>
                </c:pt>
                <c:pt idx="7">
                  <c:v>141.53787969999999</c:v>
                </c:pt>
                <c:pt idx="8">
                  <c:v>141.83058679999999</c:v>
                </c:pt>
                <c:pt idx="9">
                  <c:v>142.64062670000001</c:v>
                </c:pt>
                <c:pt idx="10">
                  <c:v>151.2412515</c:v>
                </c:pt>
                <c:pt idx="11">
                  <c:v>153.4037525</c:v>
                </c:pt>
                <c:pt idx="12">
                  <c:v>172.83402849999999</c:v>
                </c:pt>
                <c:pt idx="13">
                  <c:v>179.8276616</c:v>
                </c:pt>
                <c:pt idx="14">
                  <c:v>187.49919790000001</c:v>
                </c:pt>
                <c:pt idx="15">
                  <c:v>191.40175590000001</c:v>
                </c:pt>
                <c:pt idx="16">
                  <c:v>194.24200450000001</c:v>
                </c:pt>
                <c:pt idx="17">
                  <c:v>209.53765250000001</c:v>
                </c:pt>
                <c:pt idx="18">
                  <c:v>214.58891299999999</c:v>
                </c:pt>
                <c:pt idx="19">
                  <c:v>232.40776750000001</c:v>
                </c:pt>
                <c:pt idx="20">
                  <c:v>240.41959900000001</c:v>
                </c:pt>
                <c:pt idx="21">
                  <c:v>240.66461899999999</c:v>
                </c:pt>
                <c:pt idx="22">
                  <c:v>241.34941620000001</c:v>
                </c:pt>
                <c:pt idx="23">
                  <c:v>245.1938064</c:v>
                </c:pt>
                <c:pt idx="24">
                  <c:v>247.28316709999999</c:v>
                </c:pt>
                <c:pt idx="25">
                  <c:v>249.8640863</c:v>
                </c:pt>
                <c:pt idx="26">
                  <c:v>257.10000000000002</c:v>
                </c:pt>
                <c:pt idx="27">
                  <c:v>266.4003682</c:v>
                </c:pt>
                <c:pt idx="28">
                  <c:v>268.74132020000002</c:v>
                </c:pt>
                <c:pt idx="29">
                  <c:v>271.4627673</c:v>
                </c:pt>
                <c:pt idx="30">
                  <c:v>280.7119677</c:v>
                </c:pt>
                <c:pt idx="31">
                  <c:v>283.63451529999998</c:v>
                </c:pt>
                <c:pt idx="32">
                  <c:v>290.42786860000001</c:v>
                </c:pt>
                <c:pt idx="33">
                  <c:v>310.31526170000001</c:v>
                </c:pt>
                <c:pt idx="34">
                  <c:v>314.96703989999997</c:v>
                </c:pt>
                <c:pt idx="35">
                  <c:v>339.4736307</c:v>
                </c:pt>
                <c:pt idx="36">
                  <c:v>340.34633550000001</c:v>
                </c:pt>
                <c:pt idx="37">
                  <c:v>360.38312230000003</c:v>
                </c:pt>
                <c:pt idx="38">
                  <c:v>366.28647210000003</c:v>
                </c:pt>
                <c:pt idx="39">
                  <c:v>371.08522629999999</c:v>
                </c:pt>
                <c:pt idx="40">
                  <c:v>378.53831609999997</c:v>
                </c:pt>
                <c:pt idx="41">
                  <c:v>378.80252589999998</c:v>
                </c:pt>
                <c:pt idx="42">
                  <c:v>390.81003270000002</c:v>
                </c:pt>
                <c:pt idx="43">
                  <c:v>413.07673569999997</c:v>
                </c:pt>
                <c:pt idx="44">
                  <c:v>421.52721889999998</c:v>
                </c:pt>
                <c:pt idx="45">
                  <c:v>434.39091639999998</c:v>
                </c:pt>
                <c:pt idx="46">
                  <c:v>447.52937500000002</c:v>
                </c:pt>
                <c:pt idx="47">
                  <c:v>472.57200330000001</c:v>
                </c:pt>
                <c:pt idx="48">
                  <c:v>620.1022878</c:v>
                </c:pt>
                <c:pt idx="49">
                  <c:v>793.64447919999998</c:v>
                </c:pt>
              </c:numCache>
            </c:numRef>
          </c:val>
          <c:extLst>
            <c:ext xmlns:c16="http://schemas.microsoft.com/office/drawing/2014/chart" uri="{C3380CC4-5D6E-409C-BE32-E72D297353CC}">
              <c16:uniqueId val="{00000004-0B4F-42EB-8A26-D54AC72BD014}"/>
            </c:ext>
          </c:extLst>
        </c:ser>
        <c:dLbls>
          <c:showLegendKey val="0"/>
          <c:showVal val="0"/>
          <c:showCatName val="0"/>
          <c:showSerName val="0"/>
          <c:showPercent val="0"/>
          <c:showBubbleSize val="0"/>
        </c:dLbls>
        <c:gapWidth val="100"/>
        <c:overlap val="-24"/>
        <c:axId val="736503528"/>
        <c:axId val="736504840"/>
      </c:barChart>
      <c:catAx>
        <c:axId val="73650352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crossAx val="736504840"/>
        <c:crosses val="autoZero"/>
        <c:auto val="1"/>
        <c:lblAlgn val="ctr"/>
        <c:lblOffset val="100"/>
        <c:tickLblSkip val="1"/>
        <c:noMultiLvlLbl val="0"/>
      </c:catAx>
      <c:valAx>
        <c:axId val="73650484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Rate per 100,000 population</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crossAx val="736503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100"/>
              <a:t>Rate of deaths from probable suicide, Aberdeen City and Scotland, 2002-2006 to 2012-2016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'Deaths from Suicide'!$B$19</c:f>
              <c:strCache>
                <c:ptCount val="1"/>
                <c:pt idx="0">
                  <c:v>Aberdeen City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'Deaths from Suicide'!$A$20:$A$30</c:f>
              <c:strCache>
                <c:ptCount val="11"/>
                <c:pt idx="0">
                  <c:v>2002-2006</c:v>
                </c:pt>
                <c:pt idx="1">
                  <c:v>2003-2007</c:v>
                </c:pt>
                <c:pt idx="2">
                  <c:v>2004-2008</c:v>
                </c:pt>
                <c:pt idx="3">
                  <c:v>2005-2009</c:v>
                </c:pt>
                <c:pt idx="4">
                  <c:v>2006-2010</c:v>
                </c:pt>
                <c:pt idx="5">
                  <c:v>2007-2011</c:v>
                </c:pt>
                <c:pt idx="6">
                  <c:v>2008-2012</c:v>
                </c:pt>
                <c:pt idx="7">
                  <c:v>2009-2013</c:v>
                </c:pt>
                <c:pt idx="8">
                  <c:v>2010-2014</c:v>
                </c:pt>
                <c:pt idx="9">
                  <c:v>2011-2015</c:v>
                </c:pt>
                <c:pt idx="10">
                  <c:v>2012-2016</c:v>
                </c:pt>
              </c:strCache>
            </c:strRef>
          </c:cat>
          <c:val>
            <c:numRef>
              <c:f>'Deaths from Suicide'!$B$20:$B$30</c:f>
              <c:numCache>
                <c:formatCode>0.0</c:formatCode>
                <c:ptCount val="11"/>
                <c:pt idx="0">
                  <c:v>17.255077677853802</c:v>
                </c:pt>
                <c:pt idx="1">
                  <c:v>15.8696482708781</c:v>
                </c:pt>
                <c:pt idx="2">
                  <c:v>15.3927565879307</c:v>
                </c:pt>
                <c:pt idx="3">
                  <c:v>14.399020851747901</c:v>
                </c:pt>
                <c:pt idx="4">
                  <c:v>13.9471761844372</c:v>
                </c:pt>
                <c:pt idx="5">
                  <c:v>12.703590983700099</c:v>
                </c:pt>
                <c:pt idx="6">
                  <c:v>12.5472258208351</c:v>
                </c:pt>
                <c:pt idx="7">
                  <c:v>11.9648479321112</c:v>
                </c:pt>
                <c:pt idx="8">
                  <c:v>12.1093179857839</c:v>
                </c:pt>
                <c:pt idx="9">
                  <c:v>12.7329079210706</c:v>
                </c:pt>
                <c:pt idx="10">
                  <c:v>13.8720575180945</c:v>
                </c:pt>
              </c:numCache>
            </c:numRef>
          </c:val>
          <c:smooth val="0"/>
          <c:extLst>
            <c:ext xmlns:c16="http://schemas.microsoft.com/office/drawing/2014/chart" uri="{C3380CC4-5D6E-409C-BE32-E72D297353CC}">
              <c16:uniqueId val="{00000000-25D4-4F69-94EF-77273C9AF0FB}"/>
            </c:ext>
          </c:extLst>
        </c:ser>
        <c:ser>
          <c:idx val="1"/>
          <c:order val="1"/>
          <c:tx>
            <c:strRef>
              <c:f>'Deaths from Suicide'!$C$19</c:f>
              <c:strCache>
                <c:ptCount val="1"/>
                <c:pt idx="0">
                  <c:v>Scotland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'Deaths from Suicide'!$A$20:$A$30</c:f>
              <c:strCache>
                <c:ptCount val="11"/>
                <c:pt idx="0">
                  <c:v>2002-2006</c:v>
                </c:pt>
                <c:pt idx="1">
                  <c:v>2003-2007</c:v>
                </c:pt>
                <c:pt idx="2">
                  <c:v>2004-2008</c:v>
                </c:pt>
                <c:pt idx="3">
                  <c:v>2005-2009</c:v>
                </c:pt>
                <c:pt idx="4">
                  <c:v>2006-2010</c:v>
                </c:pt>
                <c:pt idx="5">
                  <c:v>2007-2011</c:v>
                </c:pt>
                <c:pt idx="6">
                  <c:v>2008-2012</c:v>
                </c:pt>
                <c:pt idx="7">
                  <c:v>2009-2013</c:v>
                </c:pt>
                <c:pt idx="8">
                  <c:v>2010-2014</c:v>
                </c:pt>
                <c:pt idx="9">
                  <c:v>2011-2015</c:v>
                </c:pt>
                <c:pt idx="10">
                  <c:v>2012-2016</c:v>
                </c:pt>
              </c:strCache>
            </c:strRef>
          </c:cat>
          <c:val>
            <c:numRef>
              <c:f>'Deaths from Suicide'!$C$20:$C$30</c:f>
              <c:numCache>
                <c:formatCode>0.0</c:formatCode>
                <c:ptCount val="11"/>
                <c:pt idx="0">
                  <c:v>15.7943640905878</c:v>
                </c:pt>
                <c:pt idx="1">
                  <c:v>15.528093023947299</c:v>
                </c:pt>
                <c:pt idx="2">
                  <c:v>15.5653216218526</c:v>
                </c:pt>
                <c:pt idx="3">
                  <c:v>15.1124925825806</c:v>
                </c:pt>
                <c:pt idx="4">
                  <c:v>15.086412139694101</c:v>
                </c:pt>
                <c:pt idx="5">
                  <c:v>15.025236842926899</c:v>
                </c:pt>
                <c:pt idx="6">
                  <c:v>14.7104954924928</c:v>
                </c:pt>
                <c:pt idx="7">
                  <c:v>14.3097896644611</c:v>
                </c:pt>
                <c:pt idx="8">
                  <c:v>13.966224990314601</c:v>
                </c:pt>
                <c:pt idx="9">
                  <c:v>14.5935764551723</c:v>
                </c:pt>
                <c:pt idx="10">
                  <c:v>13.912230294350399</c:v>
                </c:pt>
              </c:numCache>
            </c:numRef>
          </c:val>
          <c:smooth val="0"/>
          <c:extLst>
            <c:ext xmlns:c16="http://schemas.microsoft.com/office/drawing/2014/chart" uri="{C3380CC4-5D6E-409C-BE32-E72D297353CC}">
              <c16:uniqueId val="{00000001-25D4-4F69-94EF-77273C9AF0FB}"/>
            </c:ext>
          </c:extLst>
        </c:ser>
        <c:dLbls>
          <c:showLegendKey val="0"/>
          <c:showVal val="0"/>
          <c:showCatName val="0"/>
          <c:showSerName val="0"/>
          <c:showPercent val="0"/>
          <c:showBubbleSize val="0"/>
        </c:dLbls>
        <c:marker val="1"/>
        <c:smooth val="0"/>
        <c:axId val="736494016"/>
        <c:axId val="736500248"/>
      </c:lineChart>
      <c:catAx>
        <c:axId val="736494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36500248"/>
        <c:crosses val="autoZero"/>
        <c:auto val="1"/>
        <c:lblAlgn val="ctr"/>
        <c:lblOffset val="100"/>
        <c:noMultiLvlLbl val="0"/>
      </c:catAx>
      <c:valAx>
        <c:axId val="7365002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Rate per 100,000 population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6494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r>
              <a:rPr lang="en-GB" sz="1100" b="0"/>
              <a:t>Population of Aberdeen City, 1997 to 2017</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Population!$B$3</c:f>
              <c:strCache>
                <c:ptCount val="1"/>
                <c:pt idx="0">
                  <c:v>Population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numRef>
              <c:f>Population!$A$4:$A$24</c:f>
              <c:numCache>
                <c:formatCode>General</c:formatCode>
                <c:ptCount val="21"/>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numCache>
            </c:numRef>
          </c:cat>
          <c:val>
            <c:numRef>
              <c:f>Population!$B$4:$B$24</c:f>
              <c:numCache>
                <c:formatCode>#,##0</c:formatCode>
                <c:ptCount val="21"/>
                <c:pt idx="0">
                  <c:v>217300</c:v>
                </c:pt>
                <c:pt idx="1">
                  <c:v>215650</c:v>
                </c:pt>
                <c:pt idx="2">
                  <c:v>214630</c:v>
                </c:pt>
                <c:pt idx="3">
                  <c:v>213340</c:v>
                </c:pt>
                <c:pt idx="4">
                  <c:v>211910</c:v>
                </c:pt>
                <c:pt idx="5">
                  <c:v>210680</c:v>
                </c:pt>
                <c:pt idx="6">
                  <c:v>209280</c:v>
                </c:pt>
                <c:pt idx="7">
                  <c:v>207820</c:v>
                </c:pt>
                <c:pt idx="8">
                  <c:v>208690</c:v>
                </c:pt>
                <c:pt idx="9">
                  <c:v>209620</c:v>
                </c:pt>
                <c:pt idx="10">
                  <c:v>212460</c:v>
                </c:pt>
                <c:pt idx="11">
                  <c:v>214020</c:v>
                </c:pt>
                <c:pt idx="12">
                  <c:v>217020</c:v>
                </c:pt>
                <c:pt idx="13">
                  <c:v>219730</c:v>
                </c:pt>
                <c:pt idx="14">
                  <c:v>222460</c:v>
                </c:pt>
                <c:pt idx="15">
                  <c:v>224910</c:v>
                </c:pt>
                <c:pt idx="16">
                  <c:v>227070</c:v>
                </c:pt>
                <c:pt idx="17">
                  <c:v>228920</c:v>
                </c:pt>
                <c:pt idx="18">
                  <c:v>230350</c:v>
                </c:pt>
                <c:pt idx="19">
                  <c:v>229840</c:v>
                </c:pt>
                <c:pt idx="20">
                  <c:v>228800</c:v>
                </c:pt>
              </c:numCache>
            </c:numRef>
          </c:val>
          <c:extLst>
            <c:ext xmlns:c16="http://schemas.microsoft.com/office/drawing/2014/chart" uri="{C3380CC4-5D6E-409C-BE32-E72D297353CC}">
              <c16:uniqueId val="{00000000-7197-4430-B796-7541BD3A4C27}"/>
            </c:ext>
          </c:extLst>
        </c:ser>
        <c:dLbls>
          <c:showLegendKey val="0"/>
          <c:showVal val="0"/>
          <c:showCatName val="0"/>
          <c:showSerName val="0"/>
          <c:showPercent val="0"/>
          <c:showBubbleSize val="0"/>
        </c:dLbls>
        <c:gapWidth val="100"/>
        <c:overlap val="-24"/>
        <c:axId val="354268064"/>
        <c:axId val="354268392"/>
      </c:barChart>
      <c:catAx>
        <c:axId val="35426806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54268392"/>
        <c:crosses val="autoZero"/>
        <c:auto val="1"/>
        <c:lblAlgn val="ctr"/>
        <c:lblOffset val="100"/>
        <c:noMultiLvlLbl val="0"/>
      </c:catAx>
      <c:valAx>
        <c:axId val="354268392"/>
        <c:scaling>
          <c:orientation val="minMax"/>
          <c:min val="150000"/>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542680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100" b="1"/>
              <a:t>Rate of deaths from suicide by Intermediate Zone, Aberdeen City,</a:t>
            </a:r>
            <a:r>
              <a:rPr lang="en-GB" sz="1100" b="1" baseline="0"/>
              <a:t> </a:t>
            </a:r>
          </a:p>
          <a:p>
            <a:pPr>
              <a:defRPr/>
            </a:pPr>
            <a:r>
              <a:rPr lang="en-GB" sz="1100" b="1" baseline="0"/>
              <a:t>2012-2016</a:t>
            </a:r>
            <a:endParaRPr lang="en-GB" sz="1100" b="1"/>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27"/>
            <c:invertIfNegative val="0"/>
            <c:bubble3D val="0"/>
            <c:spPr>
              <a:solidFill>
                <a:srgbClr val="ED7D31"/>
              </a:solidFill>
              <a:ln>
                <a:noFill/>
              </a:ln>
              <a:effectLst/>
            </c:spPr>
            <c:extLst>
              <c:ext xmlns:c16="http://schemas.microsoft.com/office/drawing/2014/chart" uri="{C3380CC4-5D6E-409C-BE32-E72D297353CC}">
                <c16:uniqueId val="{00000001-7CB8-4072-A329-0A46BA8CA6ED}"/>
              </c:ext>
            </c:extLst>
          </c:dPt>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CB8-4072-A329-0A46BA8CA6ED}"/>
                </c:ext>
              </c:extLst>
            </c:dLbl>
            <c:dLbl>
              <c:idx val="27"/>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CB8-4072-A329-0A46BA8CA6ED}"/>
                </c:ext>
              </c:extLst>
            </c:dLbl>
            <c:dLbl>
              <c:idx val="49"/>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CB8-4072-A329-0A46BA8CA6E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'Deaths from Suicide'!$L$39:$L$88</c:f>
              <c:strCache>
                <c:ptCount val="50"/>
                <c:pt idx="0">
                  <c:v>Balgownie and Donmouth East</c:v>
                </c:pt>
                <c:pt idx="1">
                  <c:v>Kingswells</c:v>
                </c:pt>
                <c:pt idx="2">
                  <c:v>Braeside, Mannofield, Broomhill and Seafield North</c:v>
                </c:pt>
                <c:pt idx="3">
                  <c:v>Dyce</c:v>
                </c:pt>
                <c:pt idx="4">
                  <c:v>Cove South</c:v>
                </c:pt>
                <c:pt idx="5">
                  <c:v>Kincorth, Leggart and Nigg North</c:v>
                </c:pt>
                <c:pt idx="6">
                  <c:v>Braeside, Mannofield, Broomhill and Seafield South</c:v>
                </c:pt>
                <c:pt idx="7">
                  <c:v>Kincorth, Leggart and Nigg South</c:v>
                </c:pt>
                <c:pt idx="8">
                  <c:v>West End South</c:v>
                </c:pt>
                <c:pt idx="9">
                  <c:v>West End North</c:v>
                </c:pt>
                <c:pt idx="10">
                  <c:v>Froghall, Powis and Sunnybank</c:v>
                </c:pt>
                <c:pt idx="11">
                  <c:v>Ferryhill North</c:v>
                </c:pt>
                <c:pt idx="12">
                  <c:v>Cults, Bieldside and Milltimber East</c:v>
                </c:pt>
                <c:pt idx="13">
                  <c:v>Oldmachar East</c:v>
                </c:pt>
                <c:pt idx="14">
                  <c:v>Bucksburn North</c:v>
                </c:pt>
                <c:pt idx="15">
                  <c:v>Hazlehead</c:v>
                </c:pt>
                <c:pt idx="16">
                  <c:v>Cults, Bieldside and Milltimber West</c:v>
                </c:pt>
                <c:pt idx="17">
                  <c:v>Oldmachar West</c:v>
                </c:pt>
                <c:pt idx="18">
                  <c:v>Heathryfold and Middlefield</c:v>
                </c:pt>
                <c:pt idx="19">
                  <c:v>Cove North</c:v>
                </c:pt>
                <c:pt idx="20">
                  <c:v>Danestone</c:v>
                </c:pt>
                <c:pt idx="21">
                  <c:v>Balgownie and Donmouth West</c:v>
                </c:pt>
                <c:pt idx="22">
                  <c:v>Ferryhill South</c:v>
                </c:pt>
                <c:pt idx="23">
                  <c:v>Northfield</c:v>
                </c:pt>
                <c:pt idx="24">
                  <c:v>Stockethill</c:v>
                </c:pt>
                <c:pt idx="25">
                  <c:v>Cummings Park</c:v>
                </c:pt>
                <c:pt idx="26">
                  <c:v>Midstocket</c:v>
                </c:pt>
                <c:pt idx="27">
                  <c:v>Aberdeen City</c:v>
                </c:pt>
                <c:pt idx="28">
                  <c:v>Braeside, Mannofield, Broomhill and Seafield East</c:v>
                </c:pt>
                <c:pt idx="29">
                  <c:v>Summerhill</c:v>
                </c:pt>
                <c:pt idx="30">
                  <c:v>City Centre East (Aberdeen City)</c:v>
                </c:pt>
                <c:pt idx="31">
                  <c:v>Culter</c:v>
                </c:pt>
                <c:pt idx="32">
                  <c:v>Mastrick</c:v>
                </c:pt>
                <c:pt idx="33">
                  <c:v>Hilton</c:v>
                </c:pt>
                <c:pt idx="34">
                  <c:v>Old Aberdeen</c:v>
                </c:pt>
                <c:pt idx="35">
                  <c:v>Sheddocksley</c:v>
                </c:pt>
                <c:pt idx="36">
                  <c:v>Seaton</c:v>
                </c:pt>
                <c:pt idx="37">
                  <c:v>Hanover South</c:v>
                </c:pt>
                <c:pt idx="38">
                  <c:v>Torry West</c:v>
                </c:pt>
                <c:pt idx="39">
                  <c:v>Denmore</c:v>
                </c:pt>
                <c:pt idx="40">
                  <c:v>Bucksburn South</c:v>
                </c:pt>
                <c:pt idx="41">
                  <c:v>Ashgrove</c:v>
                </c:pt>
                <c:pt idx="42">
                  <c:v>Garthdee</c:v>
                </c:pt>
                <c:pt idx="43">
                  <c:v>Rosemount</c:v>
                </c:pt>
                <c:pt idx="44">
                  <c:v>Woodside (Aberdeen City)</c:v>
                </c:pt>
                <c:pt idx="45">
                  <c:v>Torry East</c:v>
                </c:pt>
                <c:pt idx="46">
                  <c:v>Hanover North</c:v>
                </c:pt>
                <c:pt idx="47">
                  <c:v>Tillydrone</c:v>
                </c:pt>
                <c:pt idx="48">
                  <c:v>George Street</c:v>
                </c:pt>
                <c:pt idx="49">
                  <c:v>City Centre West (Aberdeen City)</c:v>
                </c:pt>
              </c:strCache>
            </c:strRef>
          </c:cat>
          <c:val>
            <c:numRef>
              <c:f>'Deaths from Suicide'!$M$39:$M$88</c:f>
              <c:numCache>
                <c:formatCode>0.0</c:formatCode>
                <c:ptCount val="50"/>
                <c:pt idx="0">
                  <c:v>0</c:v>
                </c:pt>
                <c:pt idx="1">
                  <c:v>0</c:v>
                </c:pt>
                <c:pt idx="2">
                  <c:v>3.7715517241379302</c:v>
                </c:pt>
                <c:pt idx="3">
                  <c:v>3.9193729003359499</c:v>
                </c:pt>
                <c:pt idx="4">
                  <c:v>4.1551246537396098</c:v>
                </c:pt>
                <c:pt idx="5">
                  <c:v>4.5811518324607299</c:v>
                </c:pt>
                <c:pt idx="6">
                  <c:v>5.1169590643274896</c:v>
                </c:pt>
                <c:pt idx="7">
                  <c:v>5.1851851851851896</c:v>
                </c:pt>
                <c:pt idx="8">
                  <c:v>5.2844942760589904</c:v>
                </c:pt>
                <c:pt idx="9">
                  <c:v>5.9405940594059397</c:v>
                </c:pt>
                <c:pt idx="10">
                  <c:v>5.9627610738022501</c:v>
                </c:pt>
                <c:pt idx="11">
                  <c:v>6.4533295209048198</c:v>
                </c:pt>
                <c:pt idx="12">
                  <c:v>7.2803913006840899</c:v>
                </c:pt>
                <c:pt idx="13">
                  <c:v>7.4812415305570301</c:v>
                </c:pt>
                <c:pt idx="14">
                  <c:v>8.0818304502515002</c:v>
                </c:pt>
                <c:pt idx="15">
                  <c:v>8.2309560168041909</c:v>
                </c:pt>
                <c:pt idx="16">
                  <c:v>8.2839657282741808</c:v>
                </c:pt>
                <c:pt idx="17">
                  <c:v>8.6956521739130395</c:v>
                </c:pt>
                <c:pt idx="18">
                  <c:v>8.8945362134688697</c:v>
                </c:pt>
                <c:pt idx="19">
                  <c:v>9.5732335556640091</c:v>
                </c:pt>
                <c:pt idx="20">
                  <c:v>9.6643982474130699</c:v>
                </c:pt>
                <c:pt idx="21">
                  <c:v>11.2818037255793</c:v>
                </c:pt>
                <c:pt idx="22">
                  <c:v>11.574004684413101</c:v>
                </c:pt>
                <c:pt idx="23">
                  <c:v>11.9881301828933</c:v>
                </c:pt>
                <c:pt idx="24">
                  <c:v>12.2273075308561</c:v>
                </c:pt>
                <c:pt idx="25">
                  <c:v>12.252571983860401</c:v>
                </c:pt>
                <c:pt idx="26">
                  <c:v>12.529084080609</c:v>
                </c:pt>
                <c:pt idx="27">
                  <c:v>13.8720575180945</c:v>
                </c:pt>
                <c:pt idx="28">
                  <c:v>14.374298050927999</c:v>
                </c:pt>
                <c:pt idx="29">
                  <c:v>14.8398104849718</c:v>
                </c:pt>
                <c:pt idx="30">
                  <c:v>16.903239390942499</c:v>
                </c:pt>
                <c:pt idx="31">
                  <c:v>17.118070702540699</c:v>
                </c:pt>
                <c:pt idx="32">
                  <c:v>17.2602801434466</c:v>
                </c:pt>
                <c:pt idx="33">
                  <c:v>17.616144472731101</c:v>
                </c:pt>
                <c:pt idx="34">
                  <c:v>18.098636380411101</c:v>
                </c:pt>
                <c:pt idx="35">
                  <c:v>18.9724174234054</c:v>
                </c:pt>
                <c:pt idx="36">
                  <c:v>19.519708068697799</c:v>
                </c:pt>
                <c:pt idx="37">
                  <c:v>19.830042514145401</c:v>
                </c:pt>
                <c:pt idx="38">
                  <c:v>19.934964584472901</c:v>
                </c:pt>
                <c:pt idx="39">
                  <c:v>20.2206589013186</c:v>
                </c:pt>
                <c:pt idx="40">
                  <c:v>23.891205728273899</c:v>
                </c:pt>
                <c:pt idx="41">
                  <c:v>23.912931622488198</c:v>
                </c:pt>
                <c:pt idx="42">
                  <c:v>26.596409189064101</c:v>
                </c:pt>
                <c:pt idx="43">
                  <c:v>28.512871336775099</c:v>
                </c:pt>
                <c:pt idx="44">
                  <c:v>28.813934701569501</c:v>
                </c:pt>
                <c:pt idx="45">
                  <c:v>29.606611762461199</c:v>
                </c:pt>
                <c:pt idx="46">
                  <c:v>34.425799907022999</c:v>
                </c:pt>
                <c:pt idx="47">
                  <c:v>35.5533280791416</c:v>
                </c:pt>
                <c:pt idx="48">
                  <c:v>36.179650976189897</c:v>
                </c:pt>
                <c:pt idx="49">
                  <c:v>50.098989798054497</c:v>
                </c:pt>
              </c:numCache>
            </c:numRef>
          </c:val>
          <c:extLst>
            <c:ext xmlns:c16="http://schemas.microsoft.com/office/drawing/2014/chart" uri="{C3380CC4-5D6E-409C-BE32-E72D297353CC}">
              <c16:uniqueId val="{00000004-7CB8-4072-A329-0A46BA8CA6ED}"/>
            </c:ext>
          </c:extLst>
        </c:ser>
        <c:dLbls>
          <c:showLegendKey val="0"/>
          <c:showVal val="0"/>
          <c:showCatName val="0"/>
          <c:showSerName val="0"/>
          <c:showPercent val="0"/>
          <c:showBubbleSize val="0"/>
        </c:dLbls>
        <c:gapWidth val="100"/>
        <c:overlap val="-24"/>
        <c:axId val="736493032"/>
        <c:axId val="736499592"/>
      </c:barChart>
      <c:catAx>
        <c:axId val="73649303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crossAx val="736499592"/>
        <c:crosses val="autoZero"/>
        <c:auto val="1"/>
        <c:lblAlgn val="ctr"/>
        <c:lblOffset val="100"/>
        <c:tickLblSkip val="1"/>
        <c:noMultiLvlLbl val="0"/>
      </c:catAx>
      <c:valAx>
        <c:axId val="73649959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2"/>
                    </a:solidFill>
                    <a:latin typeface="+mn-lt"/>
                    <a:ea typeface="+mn-ea"/>
                    <a:cs typeface="+mn-cs"/>
                  </a:defRPr>
                </a:pPr>
                <a:r>
                  <a:rPr lang="en-US" b="0"/>
                  <a:t>Rate per 100,000 population</a:t>
                </a:r>
              </a:p>
            </c:rich>
          </c:tx>
          <c:layout>
            <c:manualLayout>
              <c:xMode val="edge"/>
              <c:yMode val="edge"/>
              <c:x val="2.3629489603024575E-2"/>
              <c:y val="0.14287037037037037"/>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36493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Causes of death - Males, Aberdeen, 2016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Sheet4!$Q$8</c:f>
              <c:strCache>
                <c:ptCount val="1"/>
                <c:pt idx="0">
                  <c:v>Cause of death - Males, Aberdeen, 2016</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D53-419F-A5E2-5C285C67B15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D53-419F-A5E2-5C285C67B15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D53-419F-A5E2-5C285C67B15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D53-419F-A5E2-5C285C67B15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D53-419F-A5E2-5C285C67B15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D53-419F-A5E2-5C285C67B152}"/>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Sheet4!$P$9:$P$14</c:f>
              <c:strCache>
                <c:ptCount val="6"/>
                <c:pt idx="0">
                  <c:v>Cancer</c:v>
                </c:pt>
                <c:pt idx="1">
                  <c:v>Circulatory diseases</c:v>
                </c:pt>
                <c:pt idx="2">
                  <c:v>Respiratory</c:v>
                </c:pt>
                <c:pt idx="3">
                  <c:v>Digestive</c:v>
                </c:pt>
                <c:pt idx="4">
                  <c:v>External causes</c:v>
                </c:pt>
                <c:pt idx="5">
                  <c:v>Other</c:v>
                </c:pt>
              </c:strCache>
            </c:strRef>
          </c:cat>
          <c:val>
            <c:numRef>
              <c:f>Sheet4!$Q$9:$Q$14</c:f>
              <c:numCache>
                <c:formatCode>0.0%</c:formatCode>
                <c:ptCount val="6"/>
                <c:pt idx="0">
                  <c:v>0.3095703125</c:v>
                </c:pt>
                <c:pt idx="1">
                  <c:v>0.2666015625</c:v>
                </c:pt>
                <c:pt idx="2">
                  <c:v>0.111328125</c:v>
                </c:pt>
                <c:pt idx="3">
                  <c:v>5.56640625E-2</c:v>
                </c:pt>
                <c:pt idx="4">
                  <c:v>8.30078125E-2</c:v>
                </c:pt>
                <c:pt idx="5">
                  <c:v>0.173828125</c:v>
                </c:pt>
              </c:numCache>
            </c:numRef>
          </c:val>
          <c:extLst>
            <c:ext xmlns:c16="http://schemas.microsoft.com/office/drawing/2014/chart" uri="{C3380CC4-5D6E-409C-BE32-E72D297353CC}">
              <c16:uniqueId val="{0000000C-7D53-419F-A5E2-5C285C67B152}"/>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Causes of death, Females, Aberdeen, 2016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Sheet4!$Q$18</c:f>
              <c:strCache>
                <c:ptCount val="1"/>
                <c:pt idx="0">
                  <c:v>Cause of death, Females, Aberdeen, 2016</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63D-4AA5-9EF8-222A902F844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63D-4AA5-9EF8-222A902F844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63D-4AA5-9EF8-222A902F844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63D-4AA5-9EF8-222A902F844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63D-4AA5-9EF8-222A902F844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063D-4AA5-9EF8-222A902F8442}"/>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Sheet4!$P$19:$P$24</c:f>
              <c:strCache>
                <c:ptCount val="6"/>
                <c:pt idx="0">
                  <c:v>Cancer</c:v>
                </c:pt>
                <c:pt idx="1">
                  <c:v>Circulatory diseases</c:v>
                </c:pt>
                <c:pt idx="2">
                  <c:v>Respiratory</c:v>
                </c:pt>
                <c:pt idx="3">
                  <c:v>Digestive</c:v>
                </c:pt>
                <c:pt idx="4">
                  <c:v>External causes</c:v>
                </c:pt>
                <c:pt idx="5">
                  <c:v>Other</c:v>
                </c:pt>
              </c:strCache>
            </c:strRef>
          </c:cat>
          <c:val>
            <c:numRef>
              <c:f>Sheet4!$Q$19:$Q$24</c:f>
              <c:numCache>
                <c:formatCode>0.0%</c:formatCode>
                <c:ptCount val="6"/>
                <c:pt idx="0">
                  <c:v>0.25429864253393664</c:v>
                </c:pt>
                <c:pt idx="1">
                  <c:v>0.2669683257918552</c:v>
                </c:pt>
                <c:pt idx="2">
                  <c:v>0.12941176470588237</c:v>
                </c:pt>
                <c:pt idx="3">
                  <c:v>5.7918552036199097E-2</c:v>
                </c:pt>
                <c:pt idx="4">
                  <c:v>3.8914027149321267E-2</c:v>
                </c:pt>
                <c:pt idx="5">
                  <c:v>0.25248868778280542</c:v>
                </c:pt>
              </c:numCache>
            </c:numRef>
          </c:val>
          <c:extLst>
            <c:ext xmlns:c16="http://schemas.microsoft.com/office/drawing/2014/chart" uri="{C3380CC4-5D6E-409C-BE32-E72D297353CC}">
              <c16:uniqueId val="{0000000C-063D-4AA5-9EF8-222A902F8442}"/>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GB" sz="1100" b="1"/>
              <a:t>Rate of new cancer registrations, Aberdeen City and Scotland,</a:t>
            </a:r>
            <a:r>
              <a:rPr lang="en-GB" sz="1100" b="1" baseline="0"/>
              <a:t> 2002-2004 to 2013-2015</a:t>
            </a:r>
            <a:endParaRPr lang="en-GB" sz="1100"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Cancer!$K$6</c:f>
              <c:strCache>
                <c:ptCount val="1"/>
                <c:pt idx="0">
                  <c:v>Aberdeen City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0"/>
              <c:layout>
                <c:manualLayout>
                  <c:x val="-5.1558910371578039E-2"/>
                  <c:y val="5.79050014581510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905-4E1E-BBAD-D053897D9A03}"/>
                </c:ext>
              </c:extLst>
            </c:dLbl>
            <c:dLbl>
              <c:idx val="1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905-4E1E-BBAD-D053897D9A0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Cancer!$J$7:$J$18</c:f>
              <c:strCache>
                <c:ptCount val="12"/>
                <c:pt idx="0">
                  <c:v>2002-2004</c:v>
                </c:pt>
                <c:pt idx="1">
                  <c:v>2003-2005</c:v>
                </c:pt>
                <c:pt idx="2">
                  <c:v>2004-2006</c:v>
                </c:pt>
                <c:pt idx="3">
                  <c:v>2005-2007</c:v>
                </c:pt>
                <c:pt idx="4">
                  <c:v>2006-2008</c:v>
                </c:pt>
                <c:pt idx="5">
                  <c:v>2007-2009</c:v>
                </c:pt>
                <c:pt idx="6">
                  <c:v>2008-2010</c:v>
                </c:pt>
                <c:pt idx="7">
                  <c:v>2009-2011</c:v>
                </c:pt>
                <c:pt idx="8">
                  <c:v>2010-2012</c:v>
                </c:pt>
                <c:pt idx="9">
                  <c:v>2011-2013</c:v>
                </c:pt>
                <c:pt idx="10">
                  <c:v>2012-2014</c:v>
                </c:pt>
                <c:pt idx="11">
                  <c:v>2013-2015</c:v>
                </c:pt>
              </c:strCache>
            </c:strRef>
          </c:cat>
          <c:val>
            <c:numRef>
              <c:f>Cancer!$K$7:$K$18</c:f>
              <c:numCache>
                <c:formatCode>0.0</c:formatCode>
                <c:ptCount val="12"/>
                <c:pt idx="0">
                  <c:v>657.96622155326099</c:v>
                </c:pt>
                <c:pt idx="1">
                  <c:v>638.77293602644397</c:v>
                </c:pt>
                <c:pt idx="2">
                  <c:v>626.38244490859495</c:v>
                </c:pt>
                <c:pt idx="3">
                  <c:v>626.85922960599896</c:v>
                </c:pt>
                <c:pt idx="4">
                  <c:v>631.82428899598199</c:v>
                </c:pt>
                <c:pt idx="5">
                  <c:v>644.26026654473299</c:v>
                </c:pt>
                <c:pt idx="6">
                  <c:v>642.32793880503095</c:v>
                </c:pt>
                <c:pt idx="7">
                  <c:v>653.666215019069</c:v>
                </c:pt>
                <c:pt idx="8">
                  <c:v>640.17032932665199</c:v>
                </c:pt>
                <c:pt idx="9">
                  <c:v>641.57416557024703</c:v>
                </c:pt>
                <c:pt idx="10">
                  <c:v>635.43510539106296</c:v>
                </c:pt>
                <c:pt idx="11">
                  <c:v>657.48886635335998</c:v>
                </c:pt>
              </c:numCache>
            </c:numRef>
          </c:val>
          <c:smooth val="0"/>
          <c:extLst>
            <c:ext xmlns:c16="http://schemas.microsoft.com/office/drawing/2014/chart" uri="{C3380CC4-5D6E-409C-BE32-E72D297353CC}">
              <c16:uniqueId val="{00000000-8905-4E1E-BBAD-D053897D9A03}"/>
            </c:ext>
          </c:extLst>
        </c:ser>
        <c:ser>
          <c:idx val="1"/>
          <c:order val="1"/>
          <c:tx>
            <c:strRef>
              <c:f>Cancer!$L$6</c:f>
              <c:strCache>
                <c:ptCount val="1"/>
                <c:pt idx="0">
                  <c:v>Scotland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1"/>
              <c:layout>
                <c:manualLayout>
                  <c:x val="-2.9402715171099204E-2"/>
                  <c:y val="3.93864829396325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905-4E1E-BBAD-D053897D9A0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Cancer!$J$7:$J$18</c:f>
              <c:strCache>
                <c:ptCount val="12"/>
                <c:pt idx="0">
                  <c:v>2002-2004</c:v>
                </c:pt>
                <c:pt idx="1">
                  <c:v>2003-2005</c:v>
                </c:pt>
                <c:pt idx="2">
                  <c:v>2004-2006</c:v>
                </c:pt>
                <c:pt idx="3">
                  <c:v>2005-2007</c:v>
                </c:pt>
                <c:pt idx="4">
                  <c:v>2006-2008</c:v>
                </c:pt>
                <c:pt idx="5">
                  <c:v>2007-2009</c:v>
                </c:pt>
                <c:pt idx="6">
                  <c:v>2008-2010</c:v>
                </c:pt>
                <c:pt idx="7">
                  <c:v>2009-2011</c:v>
                </c:pt>
                <c:pt idx="8">
                  <c:v>2010-2012</c:v>
                </c:pt>
                <c:pt idx="9">
                  <c:v>2011-2013</c:v>
                </c:pt>
                <c:pt idx="10">
                  <c:v>2012-2014</c:v>
                </c:pt>
                <c:pt idx="11">
                  <c:v>2013-2015</c:v>
                </c:pt>
              </c:strCache>
            </c:strRef>
          </c:cat>
          <c:val>
            <c:numRef>
              <c:f>Cancer!$L$7:$L$18</c:f>
              <c:numCache>
                <c:formatCode>0.0</c:formatCode>
                <c:ptCount val="12"/>
                <c:pt idx="0">
                  <c:v>646.15226921720796</c:v>
                </c:pt>
                <c:pt idx="1">
                  <c:v>642.98701949818496</c:v>
                </c:pt>
                <c:pt idx="2">
                  <c:v>641.83469936433005</c:v>
                </c:pt>
                <c:pt idx="3">
                  <c:v>640.01141659951895</c:v>
                </c:pt>
                <c:pt idx="4">
                  <c:v>647.67729293127604</c:v>
                </c:pt>
                <c:pt idx="5">
                  <c:v>654.79580001671604</c:v>
                </c:pt>
                <c:pt idx="6">
                  <c:v>656.03477488416797</c:v>
                </c:pt>
                <c:pt idx="7">
                  <c:v>656.44300952309698</c:v>
                </c:pt>
                <c:pt idx="8">
                  <c:v>652.55371795204303</c:v>
                </c:pt>
                <c:pt idx="9">
                  <c:v>652.85218856108304</c:v>
                </c:pt>
                <c:pt idx="10">
                  <c:v>650.92969737910903</c:v>
                </c:pt>
                <c:pt idx="11">
                  <c:v>644.86127350182699</c:v>
                </c:pt>
              </c:numCache>
            </c:numRef>
          </c:val>
          <c:smooth val="0"/>
          <c:extLst>
            <c:ext xmlns:c16="http://schemas.microsoft.com/office/drawing/2014/chart" uri="{C3380CC4-5D6E-409C-BE32-E72D297353CC}">
              <c16:uniqueId val="{00000001-8905-4E1E-BBAD-D053897D9A03}"/>
            </c:ext>
          </c:extLst>
        </c:ser>
        <c:dLbls>
          <c:showLegendKey val="0"/>
          <c:showVal val="0"/>
          <c:showCatName val="0"/>
          <c:showSerName val="0"/>
          <c:showPercent val="0"/>
          <c:showBubbleSize val="0"/>
        </c:dLbls>
        <c:marker val="1"/>
        <c:smooth val="0"/>
        <c:axId val="727327336"/>
        <c:axId val="727336848"/>
      </c:lineChart>
      <c:catAx>
        <c:axId val="727327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27336848"/>
        <c:crosses val="autoZero"/>
        <c:auto val="1"/>
        <c:lblAlgn val="ctr"/>
        <c:lblOffset val="100"/>
        <c:noMultiLvlLbl val="0"/>
      </c:catAx>
      <c:valAx>
        <c:axId val="727336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Rate per 100,000 population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27327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Cancer!$M$34</c:f>
              <c:strCache>
                <c:ptCount val="1"/>
                <c:pt idx="0">
                  <c:v>Rate of new cancer registrations by Intermediate Zone, Aberdeen City, 2013-2015</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23"/>
            <c:invertIfNegative val="0"/>
            <c:bubble3D val="0"/>
            <c:spPr>
              <a:solidFill>
                <a:srgbClr val="ED7D31"/>
              </a:solidFill>
              <a:ln>
                <a:noFill/>
              </a:ln>
              <a:effectLst/>
            </c:spPr>
            <c:extLst>
              <c:ext xmlns:c16="http://schemas.microsoft.com/office/drawing/2014/chart" uri="{C3380CC4-5D6E-409C-BE32-E72D297353CC}">
                <c16:uniqueId val="{00000001-223D-4911-848F-03197F9CC952}"/>
              </c:ext>
            </c:extLst>
          </c:dPt>
          <c:dLbls>
            <c:dLbl>
              <c:idx val="0"/>
              <c:layout>
                <c:manualLayout>
                  <c:x val="1.6967640286025935E-2"/>
                  <c:y val="-2.31481481481482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23D-4911-848F-03197F9CC952}"/>
                </c:ext>
              </c:extLst>
            </c:dLbl>
            <c:dLbl>
              <c:idx val="23"/>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23D-4911-848F-03197F9CC952}"/>
                </c:ext>
              </c:extLst>
            </c:dLbl>
            <c:dLbl>
              <c:idx val="49"/>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23D-4911-848F-03197F9CC95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Cancer!$L$35:$L$84</c:f>
              <c:strCache>
                <c:ptCount val="50"/>
                <c:pt idx="0">
                  <c:v>Danestone</c:v>
                </c:pt>
                <c:pt idx="1">
                  <c:v>West End North</c:v>
                </c:pt>
                <c:pt idx="2">
                  <c:v>Braeside, Mannofield, Broomhill and Seafield East</c:v>
                </c:pt>
                <c:pt idx="3">
                  <c:v>Kingswells</c:v>
                </c:pt>
                <c:pt idx="4">
                  <c:v>Culter</c:v>
                </c:pt>
                <c:pt idx="5">
                  <c:v>Cults, Bieldside and Milltimber East</c:v>
                </c:pt>
                <c:pt idx="6">
                  <c:v>Froghall, Powis and Sunnybank</c:v>
                </c:pt>
                <c:pt idx="7">
                  <c:v>Oldmachar East</c:v>
                </c:pt>
                <c:pt idx="8">
                  <c:v>Cove South</c:v>
                </c:pt>
                <c:pt idx="9">
                  <c:v>Braeside, Mannofield, Broomhill and Seafield North</c:v>
                </c:pt>
                <c:pt idx="10">
                  <c:v>Cults, Bieldside and Milltimber West</c:v>
                </c:pt>
                <c:pt idx="11">
                  <c:v>Bucksburn South</c:v>
                </c:pt>
                <c:pt idx="12">
                  <c:v>Braeside, Mannofield, Broomhill and Seafield South</c:v>
                </c:pt>
                <c:pt idx="13">
                  <c:v>Denmore</c:v>
                </c:pt>
                <c:pt idx="14">
                  <c:v>Rosemount</c:v>
                </c:pt>
                <c:pt idx="15">
                  <c:v>Ashgrove</c:v>
                </c:pt>
                <c:pt idx="16">
                  <c:v>George Street</c:v>
                </c:pt>
                <c:pt idx="17">
                  <c:v>Hanover North</c:v>
                </c:pt>
                <c:pt idx="18">
                  <c:v>Northfield</c:v>
                </c:pt>
                <c:pt idx="19">
                  <c:v>Dyce</c:v>
                </c:pt>
                <c:pt idx="20">
                  <c:v>Hazlehead</c:v>
                </c:pt>
                <c:pt idx="21">
                  <c:v>Woodside</c:v>
                </c:pt>
                <c:pt idx="22">
                  <c:v>West End South</c:v>
                </c:pt>
                <c:pt idx="23">
                  <c:v>Aberdeen City</c:v>
                </c:pt>
                <c:pt idx="24">
                  <c:v>Midstocket</c:v>
                </c:pt>
                <c:pt idx="25">
                  <c:v>Cove North</c:v>
                </c:pt>
                <c:pt idx="26">
                  <c:v>Oldmachar West</c:v>
                </c:pt>
                <c:pt idx="27">
                  <c:v>Sheddocksley</c:v>
                </c:pt>
                <c:pt idx="28">
                  <c:v>Heathryfold and Middlefield</c:v>
                </c:pt>
                <c:pt idx="29">
                  <c:v>Balgownie and Donmouth West</c:v>
                </c:pt>
                <c:pt idx="30">
                  <c:v>Old Aberdeen</c:v>
                </c:pt>
                <c:pt idx="31">
                  <c:v>Stockethill</c:v>
                </c:pt>
                <c:pt idx="32">
                  <c:v>Cummings Park</c:v>
                </c:pt>
                <c:pt idx="33">
                  <c:v>Ferryhill South</c:v>
                </c:pt>
                <c:pt idx="34">
                  <c:v>Balgownie and Donmouth East</c:v>
                </c:pt>
                <c:pt idx="35">
                  <c:v>Kincorth, Leggart and Nigg South</c:v>
                </c:pt>
                <c:pt idx="36">
                  <c:v>Bucksburn North</c:v>
                </c:pt>
                <c:pt idx="37">
                  <c:v>Garthdee</c:v>
                </c:pt>
                <c:pt idx="38">
                  <c:v>Torry West</c:v>
                </c:pt>
                <c:pt idx="39">
                  <c:v>Mastrick</c:v>
                </c:pt>
                <c:pt idx="40">
                  <c:v>Hilton</c:v>
                </c:pt>
                <c:pt idx="41">
                  <c:v>Ferryhill North</c:v>
                </c:pt>
                <c:pt idx="42">
                  <c:v>Summerhill</c:v>
                </c:pt>
                <c:pt idx="43">
                  <c:v>Torry East</c:v>
                </c:pt>
                <c:pt idx="44">
                  <c:v>Kincorth, Leggart and Nigg North</c:v>
                </c:pt>
                <c:pt idx="45">
                  <c:v>Tillydrone</c:v>
                </c:pt>
                <c:pt idx="46">
                  <c:v>Seaton</c:v>
                </c:pt>
                <c:pt idx="47">
                  <c:v>City Centre West </c:v>
                </c:pt>
                <c:pt idx="48">
                  <c:v>City Centre East </c:v>
                </c:pt>
                <c:pt idx="49">
                  <c:v>Hanover South</c:v>
                </c:pt>
              </c:strCache>
            </c:strRef>
          </c:cat>
          <c:val>
            <c:numRef>
              <c:f>Cancer!$M$35:$M$84</c:f>
              <c:numCache>
                <c:formatCode>0.0</c:formatCode>
                <c:ptCount val="50"/>
                <c:pt idx="0">
                  <c:v>416.398691145258</c:v>
                </c:pt>
                <c:pt idx="1">
                  <c:v>443.13524268212802</c:v>
                </c:pt>
                <c:pt idx="2">
                  <c:v>457.39876080423198</c:v>
                </c:pt>
                <c:pt idx="3">
                  <c:v>486.12206065964301</c:v>
                </c:pt>
                <c:pt idx="4">
                  <c:v>489.99683410433101</c:v>
                </c:pt>
                <c:pt idx="5">
                  <c:v>516.29694889561301</c:v>
                </c:pt>
                <c:pt idx="6">
                  <c:v>530.16302584975699</c:v>
                </c:pt>
                <c:pt idx="7">
                  <c:v>542.71382966971498</c:v>
                </c:pt>
                <c:pt idx="8">
                  <c:v>546.36050688205898</c:v>
                </c:pt>
                <c:pt idx="9">
                  <c:v>565.44073789409697</c:v>
                </c:pt>
                <c:pt idx="10">
                  <c:v>567.38016815515596</c:v>
                </c:pt>
                <c:pt idx="11">
                  <c:v>568.65856026848803</c:v>
                </c:pt>
                <c:pt idx="12">
                  <c:v>581.58934093596804</c:v>
                </c:pt>
                <c:pt idx="13">
                  <c:v>582.39342591873503</c:v>
                </c:pt>
                <c:pt idx="14">
                  <c:v>588.44800696616403</c:v>
                </c:pt>
                <c:pt idx="15">
                  <c:v>594.63473676012597</c:v>
                </c:pt>
                <c:pt idx="16">
                  <c:v>617.48762643769896</c:v>
                </c:pt>
                <c:pt idx="17">
                  <c:v>617.867946008128</c:v>
                </c:pt>
                <c:pt idx="18">
                  <c:v>637.71321879771995</c:v>
                </c:pt>
                <c:pt idx="19">
                  <c:v>641.67333200401902</c:v>
                </c:pt>
                <c:pt idx="20">
                  <c:v>642.33292324345905</c:v>
                </c:pt>
                <c:pt idx="21">
                  <c:v>651.19463486143604</c:v>
                </c:pt>
                <c:pt idx="22">
                  <c:v>652.75911406028899</c:v>
                </c:pt>
                <c:pt idx="23">
                  <c:v>657.48886635335998</c:v>
                </c:pt>
                <c:pt idx="24">
                  <c:v>674.15000315641805</c:v>
                </c:pt>
                <c:pt idx="25">
                  <c:v>678.28322061665494</c:v>
                </c:pt>
                <c:pt idx="26">
                  <c:v>683.28501408163004</c:v>
                </c:pt>
                <c:pt idx="27">
                  <c:v>688.10663372018303</c:v>
                </c:pt>
                <c:pt idx="28">
                  <c:v>692.15298756654499</c:v>
                </c:pt>
                <c:pt idx="29">
                  <c:v>699.63681177315902</c:v>
                </c:pt>
                <c:pt idx="30">
                  <c:v>700.67215922146499</c:v>
                </c:pt>
                <c:pt idx="31">
                  <c:v>701.54821457586695</c:v>
                </c:pt>
                <c:pt idx="32">
                  <c:v>715.650172657187</c:v>
                </c:pt>
                <c:pt idx="33">
                  <c:v>719.31516357531598</c:v>
                </c:pt>
                <c:pt idx="34">
                  <c:v>726.06861779058704</c:v>
                </c:pt>
                <c:pt idx="35">
                  <c:v>731.51420096011805</c:v>
                </c:pt>
                <c:pt idx="36">
                  <c:v>738.58079476877799</c:v>
                </c:pt>
                <c:pt idx="37">
                  <c:v>741.03268415866796</c:v>
                </c:pt>
                <c:pt idx="38">
                  <c:v>747.35993716219696</c:v>
                </c:pt>
                <c:pt idx="39">
                  <c:v>769.64749768717002</c:v>
                </c:pt>
                <c:pt idx="40">
                  <c:v>773.36538721908198</c:v>
                </c:pt>
                <c:pt idx="41">
                  <c:v>800.43756010779805</c:v>
                </c:pt>
                <c:pt idx="42">
                  <c:v>804.98056401380302</c:v>
                </c:pt>
                <c:pt idx="43">
                  <c:v>814.55168590486005</c:v>
                </c:pt>
                <c:pt idx="44">
                  <c:v>820.85843832761304</c:v>
                </c:pt>
                <c:pt idx="45">
                  <c:v>842.98444457224298</c:v>
                </c:pt>
                <c:pt idx="46">
                  <c:v>1000.45729703188</c:v>
                </c:pt>
                <c:pt idx="47">
                  <c:v>1008.84569665279</c:v>
                </c:pt>
                <c:pt idx="48">
                  <c:v>1017.99078361394</c:v>
                </c:pt>
                <c:pt idx="49">
                  <c:v>1358.5531259197201</c:v>
                </c:pt>
              </c:numCache>
            </c:numRef>
          </c:val>
          <c:extLst>
            <c:ext xmlns:c16="http://schemas.microsoft.com/office/drawing/2014/chart" uri="{C3380CC4-5D6E-409C-BE32-E72D297353CC}">
              <c16:uniqueId val="{00000000-223D-4911-848F-03197F9CC952}"/>
            </c:ext>
          </c:extLst>
        </c:ser>
        <c:dLbls>
          <c:showLegendKey val="0"/>
          <c:showVal val="0"/>
          <c:showCatName val="0"/>
          <c:showSerName val="0"/>
          <c:showPercent val="0"/>
          <c:showBubbleSize val="0"/>
        </c:dLbls>
        <c:gapWidth val="100"/>
        <c:overlap val="-24"/>
        <c:axId val="728757760"/>
        <c:axId val="728756776"/>
      </c:barChart>
      <c:catAx>
        <c:axId val="72875776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crossAx val="728756776"/>
        <c:crosses val="autoZero"/>
        <c:auto val="1"/>
        <c:lblAlgn val="ctr"/>
        <c:lblOffset val="100"/>
        <c:tickLblSkip val="1"/>
        <c:noMultiLvlLbl val="0"/>
      </c:catAx>
      <c:valAx>
        <c:axId val="728756776"/>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2"/>
                    </a:solidFill>
                    <a:latin typeface="+mn-lt"/>
                    <a:ea typeface="+mn-ea"/>
                    <a:cs typeface="+mn-cs"/>
                  </a:defRPr>
                </a:pPr>
                <a:r>
                  <a:rPr lang="en-US" b="0"/>
                  <a:t>Rate per 100,000 population</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crossAx val="728757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14418044619422571"/>
          <c:y val="2.7777777777777776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'Early deaths cancer'!$M$4</c:f>
              <c:strCache>
                <c:ptCount val="1"/>
                <c:pt idx="0">
                  <c:v>Rate of early deaths from cancer, Intermediate Zones, Aberdeen City, 2014-2016</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27"/>
            <c:invertIfNegative val="0"/>
            <c:bubble3D val="0"/>
            <c:spPr>
              <a:solidFill>
                <a:srgbClr val="ED7D31"/>
              </a:solidFill>
              <a:ln>
                <a:noFill/>
              </a:ln>
              <a:effectLst/>
            </c:spPr>
            <c:extLst>
              <c:ext xmlns:c16="http://schemas.microsoft.com/office/drawing/2014/chart" uri="{C3380CC4-5D6E-409C-BE32-E72D297353CC}">
                <c16:uniqueId val="{00000001-A780-48D3-96FE-4BCB47231709}"/>
              </c:ext>
            </c:extLst>
          </c:dPt>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780-48D3-96FE-4BCB47231709}"/>
                </c:ext>
              </c:extLst>
            </c:dLbl>
            <c:dLbl>
              <c:idx val="27"/>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780-48D3-96FE-4BCB47231709}"/>
                </c:ext>
              </c:extLst>
            </c:dLbl>
            <c:dLbl>
              <c:idx val="49"/>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780-48D3-96FE-4BCB4723170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'Early deaths cancer'!$L$5:$L$54</c:f>
              <c:strCache>
                <c:ptCount val="50"/>
                <c:pt idx="0">
                  <c:v>Kingswells</c:v>
                </c:pt>
                <c:pt idx="1">
                  <c:v>Braeside, Mannofield, Broomhill and Seafield North</c:v>
                </c:pt>
                <c:pt idx="2">
                  <c:v>West End North</c:v>
                </c:pt>
                <c:pt idx="3">
                  <c:v>Danestone</c:v>
                </c:pt>
                <c:pt idx="4">
                  <c:v>Cults, Bieldside and Milltimber West</c:v>
                </c:pt>
                <c:pt idx="5">
                  <c:v>Bucksburn South</c:v>
                </c:pt>
                <c:pt idx="6">
                  <c:v>Hazlehead</c:v>
                </c:pt>
                <c:pt idx="7">
                  <c:v>Braeside, Mannofield, Broomhill and Seafield East</c:v>
                </c:pt>
                <c:pt idx="8">
                  <c:v>Ferryhill North</c:v>
                </c:pt>
                <c:pt idx="9">
                  <c:v>Woodside </c:v>
                </c:pt>
                <c:pt idx="10">
                  <c:v>Balgownie and Donmouth East</c:v>
                </c:pt>
                <c:pt idx="11">
                  <c:v>Old Aberdeen</c:v>
                </c:pt>
                <c:pt idx="12">
                  <c:v>Cults, Bieldside and Milltimber East</c:v>
                </c:pt>
                <c:pt idx="13">
                  <c:v>Midstocket</c:v>
                </c:pt>
                <c:pt idx="14">
                  <c:v>Froghall, Powis and Sunnybank</c:v>
                </c:pt>
                <c:pt idx="15">
                  <c:v>Denmore</c:v>
                </c:pt>
                <c:pt idx="16">
                  <c:v>Bucksburn North</c:v>
                </c:pt>
                <c:pt idx="17">
                  <c:v>Rosemount</c:v>
                </c:pt>
                <c:pt idx="18">
                  <c:v>Braeside, Mannofield, Broomhill and Seafield South</c:v>
                </c:pt>
                <c:pt idx="19">
                  <c:v>Oldmachar East</c:v>
                </c:pt>
                <c:pt idx="20">
                  <c:v>Hanover South</c:v>
                </c:pt>
                <c:pt idx="21">
                  <c:v>Culter</c:v>
                </c:pt>
                <c:pt idx="22">
                  <c:v>West End South</c:v>
                </c:pt>
                <c:pt idx="23">
                  <c:v>Kincorth, Leggart and Nigg South</c:v>
                </c:pt>
                <c:pt idx="24">
                  <c:v>Cove South</c:v>
                </c:pt>
                <c:pt idx="25">
                  <c:v>Torry West</c:v>
                </c:pt>
                <c:pt idx="26">
                  <c:v>Oldmachar West</c:v>
                </c:pt>
                <c:pt idx="27">
                  <c:v>Aberdeen City</c:v>
                </c:pt>
                <c:pt idx="28">
                  <c:v>Dyce</c:v>
                </c:pt>
                <c:pt idx="29">
                  <c:v>Cummings Park</c:v>
                </c:pt>
                <c:pt idx="30">
                  <c:v>Northfield</c:v>
                </c:pt>
                <c:pt idx="31">
                  <c:v>Stockethill</c:v>
                </c:pt>
                <c:pt idx="32">
                  <c:v>Cove North</c:v>
                </c:pt>
                <c:pt idx="33">
                  <c:v>Torry East</c:v>
                </c:pt>
                <c:pt idx="34">
                  <c:v>Ferryhill South</c:v>
                </c:pt>
                <c:pt idx="35">
                  <c:v>Heathryfold and Middlefield</c:v>
                </c:pt>
                <c:pt idx="36">
                  <c:v>Kincorth, Leggart and Nigg North</c:v>
                </c:pt>
                <c:pt idx="37">
                  <c:v>Balgownie and Donmouth West</c:v>
                </c:pt>
                <c:pt idx="38">
                  <c:v>Mastrick</c:v>
                </c:pt>
                <c:pt idx="39">
                  <c:v>Tillydrone</c:v>
                </c:pt>
                <c:pt idx="40">
                  <c:v>Ashgrove</c:v>
                </c:pt>
                <c:pt idx="41">
                  <c:v>City Centre West</c:v>
                </c:pt>
                <c:pt idx="42">
                  <c:v>Hanover North</c:v>
                </c:pt>
                <c:pt idx="43">
                  <c:v>Hilton</c:v>
                </c:pt>
                <c:pt idx="44">
                  <c:v>George Street</c:v>
                </c:pt>
                <c:pt idx="45">
                  <c:v>Summerhill</c:v>
                </c:pt>
                <c:pt idx="46">
                  <c:v>Sheddocksley</c:v>
                </c:pt>
                <c:pt idx="47">
                  <c:v>Seaton</c:v>
                </c:pt>
                <c:pt idx="48">
                  <c:v>Garthdee</c:v>
                </c:pt>
                <c:pt idx="49">
                  <c:v>City Centre East </c:v>
                </c:pt>
              </c:strCache>
            </c:strRef>
          </c:cat>
          <c:val>
            <c:numRef>
              <c:f>'Early deaths cancer'!$M$5:$M$54</c:f>
              <c:numCache>
                <c:formatCode>0.0</c:formatCode>
                <c:ptCount val="50"/>
                <c:pt idx="0">
                  <c:v>64.066052948664407</c:v>
                </c:pt>
                <c:pt idx="1">
                  <c:v>69.024545676857102</c:v>
                </c:pt>
                <c:pt idx="2">
                  <c:v>70.781611528309895</c:v>
                </c:pt>
                <c:pt idx="3">
                  <c:v>72.227556449514793</c:v>
                </c:pt>
                <c:pt idx="4">
                  <c:v>77.229420653384693</c:v>
                </c:pt>
                <c:pt idx="5">
                  <c:v>79.051344803494601</c:v>
                </c:pt>
                <c:pt idx="6">
                  <c:v>100.21554803483301</c:v>
                </c:pt>
                <c:pt idx="7">
                  <c:v>102.31048813024201</c:v>
                </c:pt>
                <c:pt idx="8">
                  <c:v>103.78487826734499</c:v>
                </c:pt>
                <c:pt idx="9">
                  <c:v>105.71890307180099</c:v>
                </c:pt>
                <c:pt idx="10">
                  <c:v>106.1345423389</c:v>
                </c:pt>
                <c:pt idx="11">
                  <c:v>106.49247572133901</c:v>
                </c:pt>
                <c:pt idx="12">
                  <c:v>107.11773491167899</c:v>
                </c:pt>
                <c:pt idx="13">
                  <c:v>107.42449307689</c:v>
                </c:pt>
                <c:pt idx="14">
                  <c:v>108.240886271043</c:v>
                </c:pt>
                <c:pt idx="15">
                  <c:v>111.921965543087</c:v>
                </c:pt>
                <c:pt idx="16">
                  <c:v>115.262731278949</c:v>
                </c:pt>
                <c:pt idx="17">
                  <c:v>121.20554727568999</c:v>
                </c:pt>
                <c:pt idx="18">
                  <c:v>138.89851816775399</c:v>
                </c:pt>
                <c:pt idx="19">
                  <c:v>142.39202645490101</c:v>
                </c:pt>
                <c:pt idx="20">
                  <c:v>144.03206524937599</c:v>
                </c:pt>
                <c:pt idx="21">
                  <c:v>144.35320572932301</c:v>
                </c:pt>
                <c:pt idx="22">
                  <c:v>147.747748656775</c:v>
                </c:pt>
                <c:pt idx="23">
                  <c:v>148.557522330251</c:v>
                </c:pt>
                <c:pt idx="24">
                  <c:v>152.431192562148</c:v>
                </c:pt>
                <c:pt idx="25">
                  <c:v>161.68792143919899</c:v>
                </c:pt>
                <c:pt idx="26">
                  <c:v>161.74887337258701</c:v>
                </c:pt>
                <c:pt idx="27">
                  <c:v>163.84283169496501</c:v>
                </c:pt>
                <c:pt idx="28">
                  <c:v>178.825133149198</c:v>
                </c:pt>
                <c:pt idx="29">
                  <c:v>183.50327077440599</c:v>
                </c:pt>
                <c:pt idx="30">
                  <c:v>185.932656346474</c:v>
                </c:pt>
                <c:pt idx="31">
                  <c:v>199.256128703218</c:v>
                </c:pt>
                <c:pt idx="32">
                  <c:v>199.812856284205</c:v>
                </c:pt>
                <c:pt idx="33">
                  <c:v>206.493440989357</c:v>
                </c:pt>
                <c:pt idx="34">
                  <c:v>211.15263812680499</c:v>
                </c:pt>
                <c:pt idx="35">
                  <c:v>216.22672412262099</c:v>
                </c:pt>
                <c:pt idx="36">
                  <c:v>223.531726806997</c:v>
                </c:pt>
                <c:pt idx="37">
                  <c:v>237.931103452152</c:v>
                </c:pt>
                <c:pt idx="38">
                  <c:v>262.18062114353199</c:v>
                </c:pt>
                <c:pt idx="39">
                  <c:v>263.03045792961598</c:v>
                </c:pt>
                <c:pt idx="40">
                  <c:v>266.04739634227002</c:v>
                </c:pt>
                <c:pt idx="41">
                  <c:v>267.495439636539</c:v>
                </c:pt>
                <c:pt idx="42">
                  <c:v>273.42563660427402</c:v>
                </c:pt>
                <c:pt idx="43">
                  <c:v>284.44631688191402</c:v>
                </c:pt>
                <c:pt idx="44">
                  <c:v>290.74004638766002</c:v>
                </c:pt>
                <c:pt idx="45">
                  <c:v>291.67226054509001</c:v>
                </c:pt>
                <c:pt idx="46">
                  <c:v>305.21299075926498</c:v>
                </c:pt>
                <c:pt idx="47">
                  <c:v>315.26543639528597</c:v>
                </c:pt>
                <c:pt idx="48">
                  <c:v>328.09474789358399</c:v>
                </c:pt>
                <c:pt idx="49">
                  <c:v>420.11356896759202</c:v>
                </c:pt>
              </c:numCache>
            </c:numRef>
          </c:val>
          <c:extLst>
            <c:ext xmlns:c16="http://schemas.microsoft.com/office/drawing/2014/chart" uri="{C3380CC4-5D6E-409C-BE32-E72D297353CC}">
              <c16:uniqueId val="{00000000-A780-48D3-96FE-4BCB47231709}"/>
            </c:ext>
          </c:extLst>
        </c:ser>
        <c:dLbls>
          <c:showLegendKey val="0"/>
          <c:showVal val="0"/>
          <c:showCatName val="0"/>
          <c:showSerName val="0"/>
          <c:showPercent val="0"/>
          <c:showBubbleSize val="0"/>
        </c:dLbls>
        <c:gapWidth val="100"/>
        <c:overlap val="-24"/>
        <c:axId val="353055512"/>
        <c:axId val="353057152"/>
      </c:barChart>
      <c:catAx>
        <c:axId val="35305551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crossAx val="353057152"/>
        <c:crosses val="autoZero"/>
        <c:auto val="1"/>
        <c:lblAlgn val="ctr"/>
        <c:lblOffset val="100"/>
        <c:tickLblSkip val="1"/>
        <c:noMultiLvlLbl val="0"/>
      </c:catAx>
      <c:valAx>
        <c:axId val="35305715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Rate per 100,000 population</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530555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Rate of patients hospitalised with CHD, Aberdeen City and Scotland, 2002/03-2004/05 to 2014/15-2016/17</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Sheet2!$L$5</c:f>
              <c:strCache>
                <c:ptCount val="1"/>
                <c:pt idx="0">
                  <c:v>Aberdeen City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3"/>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D65-4B8F-858D-73E974D7565D}"/>
                </c:ext>
              </c:extLst>
            </c:dLbl>
            <c:dLbl>
              <c:idx val="1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D65-4B8F-858D-73E974D7565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Sheet2!$K$6:$K$18</c:f>
              <c:strCache>
                <c:ptCount val="13"/>
                <c:pt idx="0">
                  <c:v>2002/03-2004/05</c:v>
                </c:pt>
                <c:pt idx="1">
                  <c:v>2003/04-2005/06</c:v>
                </c:pt>
                <c:pt idx="2">
                  <c:v>2004/05-2006/07</c:v>
                </c:pt>
                <c:pt idx="3">
                  <c:v>2005/06-2007/08</c:v>
                </c:pt>
                <c:pt idx="4">
                  <c:v>2006/07-2008/09</c:v>
                </c:pt>
                <c:pt idx="5">
                  <c:v>2007/08-2009/10</c:v>
                </c:pt>
                <c:pt idx="6">
                  <c:v>2008/09-2010/11</c:v>
                </c:pt>
                <c:pt idx="7">
                  <c:v>2009/10-2011/12</c:v>
                </c:pt>
                <c:pt idx="8">
                  <c:v>2010/11-2012/13</c:v>
                </c:pt>
                <c:pt idx="9">
                  <c:v>2011/12-2013/14</c:v>
                </c:pt>
                <c:pt idx="10">
                  <c:v>2012/13-2014/15</c:v>
                </c:pt>
                <c:pt idx="11">
                  <c:v>2013/14-2015/16</c:v>
                </c:pt>
                <c:pt idx="12">
                  <c:v>2014/15-2016/17</c:v>
                </c:pt>
              </c:strCache>
            </c:strRef>
          </c:cat>
          <c:val>
            <c:numRef>
              <c:f>Sheet2!$L$6:$L$18</c:f>
              <c:numCache>
                <c:formatCode>0.0</c:formatCode>
                <c:ptCount val="13"/>
                <c:pt idx="0">
                  <c:v>616.45756408597197</c:v>
                </c:pt>
                <c:pt idx="1">
                  <c:v>593.91400291300397</c:v>
                </c:pt>
                <c:pt idx="2">
                  <c:v>583.79354048171695</c:v>
                </c:pt>
                <c:pt idx="3">
                  <c:v>595.47617605289099</c:v>
                </c:pt>
                <c:pt idx="4">
                  <c:v>578.70001377677102</c:v>
                </c:pt>
                <c:pt idx="5">
                  <c:v>567.14066523424901</c:v>
                </c:pt>
                <c:pt idx="6">
                  <c:v>534.19527537945703</c:v>
                </c:pt>
                <c:pt idx="7">
                  <c:v>518.24881074871905</c:v>
                </c:pt>
                <c:pt idx="8">
                  <c:v>508.48069115254299</c:v>
                </c:pt>
                <c:pt idx="9">
                  <c:v>494.69697983517898</c:v>
                </c:pt>
                <c:pt idx="10">
                  <c:v>468.20507125947199</c:v>
                </c:pt>
                <c:pt idx="11">
                  <c:v>437.076446720104</c:v>
                </c:pt>
                <c:pt idx="12">
                  <c:v>423.08741531155601</c:v>
                </c:pt>
              </c:numCache>
            </c:numRef>
          </c:val>
          <c:smooth val="0"/>
          <c:extLst>
            <c:ext xmlns:c16="http://schemas.microsoft.com/office/drawing/2014/chart" uri="{C3380CC4-5D6E-409C-BE32-E72D297353CC}">
              <c16:uniqueId val="{00000000-CD65-4B8F-858D-73E974D7565D}"/>
            </c:ext>
          </c:extLst>
        </c:ser>
        <c:ser>
          <c:idx val="1"/>
          <c:order val="1"/>
          <c:tx>
            <c:strRef>
              <c:f>Sheet2!$M$5</c:f>
              <c:strCache>
                <c:ptCount val="1"/>
                <c:pt idx="0">
                  <c:v>Scotland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Sheet2!$K$6:$K$18</c:f>
              <c:strCache>
                <c:ptCount val="13"/>
                <c:pt idx="0">
                  <c:v>2002/03-2004/05</c:v>
                </c:pt>
                <c:pt idx="1">
                  <c:v>2003/04-2005/06</c:v>
                </c:pt>
                <c:pt idx="2">
                  <c:v>2004/05-2006/07</c:v>
                </c:pt>
                <c:pt idx="3">
                  <c:v>2005/06-2007/08</c:v>
                </c:pt>
                <c:pt idx="4">
                  <c:v>2006/07-2008/09</c:v>
                </c:pt>
                <c:pt idx="5">
                  <c:v>2007/08-2009/10</c:v>
                </c:pt>
                <c:pt idx="6">
                  <c:v>2008/09-2010/11</c:v>
                </c:pt>
                <c:pt idx="7">
                  <c:v>2009/10-2011/12</c:v>
                </c:pt>
                <c:pt idx="8">
                  <c:v>2010/11-2012/13</c:v>
                </c:pt>
                <c:pt idx="9">
                  <c:v>2011/12-2013/14</c:v>
                </c:pt>
                <c:pt idx="10">
                  <c:v>2012/13-2014/15</c:v>
                </c:pt>
                <c:pt idx="11">
                  <c:v>2013/14-2015/16</c:v>
                </c:pt>
                <c:pt idx="12">
                  <c:v>2014/15-2016/17</c:v>
                </c:pt>
              </c:strCache>
            </c:strRef>
          </c:cat>
          <c:val>
            <c:numRef>
              <c:f>Sheet2!$M$6:$M$18</c:f>
              <c:numCache>
                <c:formatCode>0.0</c:formatCode>
                <c:ptCount val="13"/>
                <c:pt idx="0">
                  <c:v>637.80532788191294</c:v>
                </c:pt>
                <c:pt idx="1">
                  <c:v>614.46546879642699</c:v>
                </c:pt>
                <c:pt idx="2">
                  <c:v>587.07382282871004</c:v>
                </c:pt>
                <c:pt idx="3">
                  <c:v>560.74729968604004</c:v>
                </c:pt>
                <c:pt idx="4">
                  <c:v>528.75979236589001</c:v>
                </c:pt>
                <c:pt idx="5">
                  <c:v>499.24846769367798</c:v>
                </c:pt>
                <c:pt idx="6">
                  <c:v>477.77476686078501</c:v>
                </c:pt>
                <c:pt idx="7">
                  <c:v>462.12489843713098</c:v>
                </c:pt>
                <c:pt idx="8">
                  <c:v>451.14517480846098</c:v>
                </c:pt>
                <c:pt idx="9">
                  <c:v>435.55723462060098</c:v>
                </c:pt>
                <c:pt idx="10">
                  <c:v>417.477272729883</c:v>
                </c:pt>
                <c:pt idx="11">
                  <c:v>400.86526813952503</c:v>
                </c:pt>
                <c:pt idx="12">
                  <c:v>386.86704449917897</c:v>
                </c:pt>
              </c:numCache>
            </c:numRef>
          </c:val>
          <c:smooth val="0"/>
          <c:extLst>
            <c:ext xmlns:c16="http://schemas.microsoft.com/office/drawing/2014/chart" uri="{C3380CC4-5D6E-409C-BE32-E72D297353CC}">
              <c16:uniqueId val="{00000001-CD65-4B8F-858D-73E974D7565D}"/>
            </c:ext>
          </c:extLst>
        </c:ser>
        <c:dLbls>
          <c:showLegendKey val="0"/>
          <c:showVal val="0"/>
          <c:showCatName val="0"/>
          <c:showSerName val="0"/>
          <c:showPercent val="0"/>
          <c:showBubbleSize val="0"/>
        </c:dLbls>
        <c:marker val="1"/>
        <c:smooth val="0"/>
        <c:axId val="667069816"/>
        <c:axId val="667078016"/>
      </c:lineChart>
      <c:catAx>
        <c:axId val="667069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67078016"/>
        <c:crosses val="autoZero"/>
        <c:auto val="1"/>
        <c:lblAlgn val="ctr"/>
        <c:lblOffset val="100"/>
        <c:noMultiLvlLbl val="0"/>
      </c:catAx>
      <c:valAx>
        <c:axId val="667078016"/>
        <c:scaling>
          <c:orientation val="minMax"/>
          <c:min val="3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Rate perr 100,000 population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7069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Rate of patients with emergency hospitalisations, Aberdeen City and Scotland, 2002-2004 to 2014-2016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Hospitalisations!$B$22</c:f>
              <c:strCache>
                <c:ptCount val="1"/>
                <c:pt idx="0">
                  <c:v>Aberdeen City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Hospitalisations!$A$23:$A$35</c:f>
              <c:strCache>
                <c:ptCount val="13"/>
                <c:pt idx="0">
                  <c:v>2002-2004</c:v>
                </c:pt>
                <c:pt idx="1">
                  <c:v>2003-2005</c:v>
                </c:pt>
                <c:pt idx="2">
                  <c:v>2004-2006</c:v>
                </c:pt>
                <c:pt idx="3">
                  <c:v>2005-2007</c:v>
                </c:pt>
                <c:pt idx="4">
                  <c:v>2006-2008</c:v>
                </c:pt>
                <c:pt idx="5">
                  <c:v>2007-2009</c:v>
                </c:pt>
                <c:pt idx="6">
                  <c:v>2008-2010</c:v>
                </c:pt>
                <c:pt idx="7">
                  <c:v>2009-2011</c:v>
                </c:pt>
                <c:pt idx="8">
                  <c:v>2010-2012</c:v>
                </c:pt>
                <c:pt idx="9">
                  <c:v>2011-2013</c:v>
                </c:pt>
                <c:pt idx="10">
                  <c:v>2012-2014</c:v>
                </c:pt>
                <c:pt idx="11">
                  <c:v>2013-2015</c:v>
                </c:pt>
                <c:pt idx="12">
                  <c:v>2014-2016</c:v>
                </c:pt>
              </c:strCache>
            </c:strRef>
          </c:cat>
          <c:val>
            <c:numRef>
              <c:f>Hospitalisations!$B$23:$B$35</c:f>
              <c:numCache>
                <c:formatCode>0</c:formatCode>
                <c:ptCount val="13"/>
                <c:pt idx="0">
                  <c:v>7887.5029535604699</c:v>
                </c:pt>
                <c:pt idx="1">
                  <c:v>7892.7043306556097</c:v>
                </c:pt>
                <c:pt idx="2">
                  <c:v>7734.9772584564398</c:v>
                </c:pt>
                <c:pt idx="3">
                  <c:v>7756.3215092027403</c:v>
                </c:pt>
                <c:pt idx="4">
                  <c:v>7761.17797512165</c:v>
                </c:pt>
                <c:pt idx="5">
                  <c:v>7816.6571104365903</c:v>
                </c:pt>
                <c:pt idx="6">
                  <c:v>7712.5788524673299</c:v>
                </c:pt>
                <c:pt idx="7">
                  <c:v>7604.1612424049399</c:v>
                </c:pt>
                <c:pt idx="8">
                  <c:v>7496.24869597005</c:v>
                </c:pt>
                <c:pt idx="9">
                  <c:v>7468.5526729974899</c:v>
                </c:pt>
                <c:pt idx="10">
                  <c:v>7379.4196809259902</c:v>
                </c:pt>
                <c:pt idx="11">
                  <c:v>7364.7817932484604</c:v>
                </c:pt>
                <c:pt idx="12">
                  <c:v>7230.3461053476103</c:v>
                </c:pt>
              </c:numCache>
            </c:numRef>
          </c:val>
          <c:smooth val="0"/>
          <c:extLst>
            <c:ext xmlns:c16="http://schemas.microsoft.com/office/drawing/2014/chart" uri="{C3380CC4-5D6E-409C-BE32-E72D297353CC}">
              <c16:uniqueId val="{00000000-8D56-4878-A92B-8F8AA530BC2B}"/>
            </c:ext>
          </c:extLst>
        </c:ser>
        <c:ser>
          <c:idx val="1"/>
          <c:order val="1"/>
          <c:tx>
            <c:strRef>
              <c:f>Hospitalisations!$C$22</c:f>
              <c:strCache>
                <c:ptCount val="1"/>
                <c:pt idx="0">
                  <c:v>Scotland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Hospitalisations!$A$23:$A$35</c:f>
              <c:strCache>
                <c:ptCount val="13"/>
                <c:pt idx="0">
                  <c:v>2002-2004</c:v>
                </c:pt>
                <c:pt idx="1">
                  <c:v>2003-2005</c:v>
                </c:pt>
                <c:pt idx="2">
                  <c:v>2004-2006</c:v>
                </c:pt>
                <c:pt idx="3">
                  <c:v>2005-2007</c:v>
                </c:pt>
                <c:pt idx="4">
                  <c:v>2006-2008</c:v>
                </c:pt>
                <c:pt idx="5">
                  <c:v>2007-2009</c:v>
                </c:pt>
                <c:pt idx="6">
                  <c:v>2008-2010</c:v>
                </c:pt>
                <c:pt idx="7">
                  <c:v>2009-2011</c:v>
                </c:pt>
                <c:pt idx="8">
                  <c:v>2010-2012</c:v>
                </c:pt>
                <c:pt idx="9">
                  <c:v>2011-2013</c:v>
                </c:pt>
                <c:pt idx="10">
                  <c:v>2012-2014</c:v>
                </c:pt>
                <c:pt idx="11">
                  <c:v>2013-2015</c:v>
                </c:pt>
                <c:pt idx="12">
                  <c:v>2014-2016</c:v>
                </c:pt>
              </c:strCache>
            </c:strRef>
          </c:cat>
          <c:val>
            <c:numRef>
              <c:f>Hospitalisations!$C$23:$C$35</c:f>
              <c:numCache>
                <c:formatCode>0</c:formatCode>
                <c:ptCount val="13"/>
                <c:pt idx="0">
                  <c:v>7348.6767675327101</c:v>
                </c:pt>
                <c:pt idx="1">
                  <c:v>7306.6257979755301</c:v>
                </c:pt>
                <c:pt idx="2">
                  <c:v>7322.6776557838002</c:v>
                </c:pt>
                <c:pt idx="3">
                  <c:v>7387.1250573664602</c:v>
                </c:pt>
                <c:pt idx="4">
                  <c:v>7498.2413255765396</c:v>
                </c:pt>
                <c:pt idx="5">
                  <c:v>7534.8986633088398</c:v>
                </c:pt>
                <c:pt idx="6">
                  <c:v>7481.94522298624</c:v>
                </c:pt>
                <c:pt idx="7">
                  <c:v>7402.90727644251</c:v>
                </c:pt>
                <c:pt idx="8">
                  <c:v>7385.0200105111398</c:v>
                </c:pt>
                <c:pt idx="9">
                  <c:v>7438.9551958652501</c:v>
                </c:pt>
                <c:pt idx="10">
                  <c:v>7504.4988083072203</c:v>
                </c:pt>
                <c:pt idx="11">
                  <c:v>7558.1001176868403</c:v>
                </c:pt>
                <c:pt idx="12">
                  <c:v>7605.9023888868596</c:v>
                </c:pt>
              </c:numCache>
            </c:numRef>
          </c:val>
          <c:smooth val="0"/>
          <c:extLst>
            <c:ext xmlns:c16="http://schemas.microsoft.com/office/drawing/2014/chart" uri="{C3380CC4-5D6E-409C-BE32-E72D297353CC}">
              <c16:uniqueId val="{00000001-8D56-4878-A92B-8F8AA530BC2B}"/>
            </c:ext>
          </c:extLst>
        </c:ser>
        <c:dLbls>
          <c:showLegendKey val="0"/>
          <c:showVal val="0"/>
          <c:showCatName val="0"/>
          <c:showSerName val="0"/>
          <c:showPercent val="0"/>
          <c:showBubbleSize val="0"/>
        </c:dLbls>
        <c:marker val="1"/>
        <c:smooth val="0"/>
        <c:axId val="710878760"/>
        <c:axId val="710875808"/>
      </c:lineChart>
      <c:catAx>
        <c:axId val="710878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0875808"/>
        <c:crosses val="autoZero"/>
        <c:auto val="1"/>
        <c:lblAlgn val="ctr"/>
        <c:lblOffset val="100"/>
        <c:noMultiLvlLbl val="0"/>
      </c:catAx>
      <c:valAx>
        <c:axId val="710875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Rate of emergency hospitalisations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0878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baseline="0">
                <a:solidFill>
                  <a:schemeClr val="tx2"/>
                </a:solidFill>
                <a:latin typeface="+mn-lt"/>
                <a:ea typeface="+mn-ea"/>
                <a:cs typeface="+mn-cs"/>
              </a:defRPr>
            </a:pPr>
            <a:r>
              <a:rPr lang="en-US" sz="1100" b="1"/>
              <a:t>Rate of patients aged 65+ years with multiple emergency  hospitalisations, 2002-2004 to 2014-2016, Aberdeen City and Scotland</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Hospitalisations!$B$37</c:f>
              <c:strCache>
                <c:ptCount val="1"/>
                <c:pt idx="0">
                  <c:v>Aberdeen 65+ years multiple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Hospitalisations!$A$38:$A$50</c:f>
              <c:strCache>
                <c:ptCount val="13"/>
                <c:pt idx="0">
                  <c:v>2002-2004</c:v>
                </c:pt>
                <c:pt idx="1">
                  <c:v>2003-2005</c:v>
                </c:pt>
                <c:pt idx="2">
                  <c:v>2004-2006</c:v>
                </c:pt>
                <c:pt idx="3">
                  <c:v>2005-2007</c:v>
                </c:pt>
                <c:pt idx="4">
                  <c:v>2006-2008</c:v>
                </c:pt>
                <c:pt idx="5">
                  <c:v>2007-2009</c:v>
                </c:pt>
                <c:pt idx="6">
                  <c:v>2008-2010</c:v>
                </c:pt>
                <c:pt idx="7">
                  <c:v>2009-2011</c:v>
                </c:pt>
                <c:pt idx="8">
                  <c:v>2010-2012</c:v>
                </c:pt>
                <c:pt idx="9">
                  <c:v>2011-2013</c:v>
                </c:pt>
                <c:pt idx="10">
                  <c:v>2012-2014</c:v>
                </c:pt>
                <c:pt idx="11">
                  <c:v>2013-2015</c:v>
                </c:pt>
                <c:pt idx="12">
                  <c:v>2014-2016</c:v>
                </c:pt>
              </c:strCache>
            </c:strRef>
          </c:cat>
          <c:val>
            <c:numRef>
              <c:f>Hospitalisations!$B$38:$B$50</c:f>
              <c:numCache>
                <c:formatCode>0.0</c:formatCode>
                <c:ptCount val="13"/>
                <c:pt idx="0">
                  <c:v>4925.6483793830903</c:v>
                </c:pt>
                <c:pt idx="1">
                  <c:v>4928.5709012941697</c:v>
                </c:pt>
                <c:pt idx="2">
                  <c:v>4823.4998392937696</c:v>
                </c:pt>
                <c:pt idx="3">
                  <c:v>4874.0086452569403</c:v>
                </c:pt>
                <c:pt idx="4">
                  <c:v>5057.9567812709602</c:v>
                </c:pt>
                <c:pt idx="5">
                  <c:v>5202.9008647578403</c:v>
                </c:pt>
                <c:pt idx="6">
                  <c:v>5215.8014973031304</c:v>
                </c:pt>
                <c:pt idx="7">
                  <c:v>5111.6280449752703</c:v>
                </c:pt>
                <c:pt idx="8">
                  <c:v>5092.01079021642</c:v>
                </c:pt>
                <c:pt idx="9">
                  <c:v>5142.1158109924399</c:v>
                </c:pt>
                <c:pt idx="10">
                  <c:v>5177.3004485767196</c:v>
                </c:pt>
                <c:pt idx="11">
                  <c:v>5332.5625639434702</c:v>
                </c:pt>
                <c:pt idx="12">
                  <c:v>5306.6230911914899</c:v>
                </c:pt>
              </c:numCache>
            </c:numRef>
          </c:val>
          <c:extLst>
            <c:ext xmlns:c16="http://schemas.microsoft.com/office/drawing/2014/chart" uri="{C3380CC4-5D6E-409C-BE32-E72D297353CC}">
              <c16:uniqueId val="{00000000-9EA3-41DA-BA30-9EF3E45F96F5}"/>
            </c:ext>
          </c:extLst>
        </c:ser>
        <c:ser>
          <c:idx val="1"/>
          <c:order val="1"/>
          <c:tx>
            <c:strRef>
              <c:f>Hospitalisations!$C$37</c:f>
              <c:strCache>
                <c:ptCount val="1"/>
                <c:pt idx="0">
                  <c:v>Scotland 65+ years multiple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Hospitalisations!$A$38:$A$50</c:f>
              <c:strCache>
                <c:ptCount val="13"/>
                <c:pt idx="0">
                  <c:v>2002-2004</c:v>
                </c:pt>
                <c:pt idx="1">
                  <c:v>2003-2005</c:v>
                </c:pt>
                <c:pt idx="2">
                  <c:v>2004-2006</c:v>
                </c:pt>
                <c:pt idx="3">
                  <c:v>2005-2007</c:v>
                </c:pt>
                <c:pt idx="4">
                  <c:v>2006-2008</c:v>
                </c:pt>
                <c:pt idx="5">
                  <c:v>2007-2009</c:v>
                </c:pt>
                <c:pt idx="6">
                  <c:v>2008-2010</c:v>
                </c:pt>
                <c:pt idx="7">
                  <c:v>2009-2011</c:v>
                </c:pt>
                <c:pt idx="8">
                  <c:v>2010-2012</c:v>
                </c:pt>
                <c:pt idx="9">
                  <c:v>2011-2013</c:v>
                </c:pt>
                <c:pt idx="10">
                  <c:v>2012-2014</c:v>
                </c:pt>
                <c:pt idx="11">
                  <c:v>2013-2015</c:v>
                </c:pt>
                <c:pt idx="12">
                  <c:v>2014-2016</c:v>
                </c:pt>
              </c:strCache>
            </c:strRef>
          </c:cat>
          <c:val>
            <c:numRef>
              <c:f>Hospitalisations!$C$38:$C$50</c:f>
              <c:numCache>
                <c:formatCode>0.0</c:formatCode>
                <c:ptCount val="13"/>
                <c:pt idx="0">
                  <c:v>4737.1371454694799</c:v>
                </c:pt>
                <c:pt idx="1">
                  <c:v>4744.76720321007</c:v>
                </c:pt>
                <c:pt idx="2">
                  <c:v>4789.1210895396098</c:v>
                </c:pt>
                <c:pt idx="3">
                  <c:v>4882.2644419837097</c:v>
                </c:pt>
                <c:pt idx="4">
                  <c:v>5053.4654552382999</c:v>
                </c:pt>
                <c:pt idx="5">
                  <c:v>5148.2790487543998</c:v>
                </c:pt>
                <c:pt idx="6">
                  <c:v>5185.89193513173</c:v>
                </c:pt>
                <c:pt idx="7">
                  <c:v>5171.9916392211098</c:v>
                </c:pt>
                <c:pt idx="8">
                  <c:v>5243.1014987342096</c:v>
                </c:pt>
                <c:pt idx="9">
                  <c:v>5309.9133595154399</c:v>
                </c:pt>
                <c:pt idx="10">
                  <c:v>5368.7839125847504</c:v>
                </c:pt>
                <c:pt idx="11">
                  <c:v>5384.4658567319302</c:v>
                </c:pt>
                <c:pt idx="12">
                  <c:v>5405.26106426353</c:v>
                </c:pt>
              </c:numCache>
            </c:numRef>
          </c:val>
          <c:extLst>
            <c:ext xmlns:c16="http://schemas.microsoft.com/office/drawing/2014/chart" uri="{C3380CC4-5D6E-409C-BE32-E72D297353CC}">
              <c16:uniqueId val="{00000001-9EA3-41DA-BA30-9EF3E45F96F5}"/>
            </c:ext>
          </c:extLst>
        </c:ser>
        <c:dLbls>
          <c:showLegendKey val="0"/>
          <c:showVal val="0"/>
          <c:showCatName val="0"/>
          <c:showSerName val="0"/>
          <c:showPercent val="0"/>
          <c:showBubbleSize val="0"/>
        </c:dLbls>
        <c:gapWidth val="100"/>
        <c:overlap val="-24"/>
        <c:axId val="425474032"/>
        <c:axId val="425476000"/>
      </c:barChart>
      <c:catAx>
        <c:axId val="42547403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25476000"/>
        <c:crosses val="autoZero"/>
        <c:auto val="1"/>
        <c:lblAlgn val="ctr"/>
        <c:lblOffset val="100"/>
        <c:noMultiLvlLbl val="0"/>
      </c:catAx>
      <c:valAx>
        <c:axId val="42547600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2"/>
                    </a:solidFill>
                    <a:latin typeface="+mn-lt"/>
                    <a:ea typeface="+mn-ea"/>
                    <a:cs typeface="+mn-cs"/>
                  </a:defRPr>
                </a:pPr>
                <a:r>
                  <a:rPr lang="en-US" b="0"/>
                  <a:t>Rate per 100,000 population</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25474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200" b="0"/>
              <a:t>Wellbeing indicators, Aberdeen City</a:t>
            </a:r>
            <a:r>
              <a:rPr lang="en-US" sz="1200" b="0" baseline="0"/>
              <a:t> and Scotland</a:t>
            </a:r>
            <a:endParaRPr lang="en-US" sz="1200" b="0"/>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bar"/>
        <c:grouping val="clustered"/>
        <c:varyColors val="0"/>
        <c:ser>
          <c:idx val="0"/>
          <c:order val="0"/>
          <c:tx>
            <c:strRef>
              <c:f>Wellbeing!$D$2</c:f>
              <c:strCache>
                <c:ptCount val="1"/>
                <c:pt idx="0">
                  <c:v>Aberdeen City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Wellbeing!$C$3:$C$10</c:f>
              <c:strCache>
                <c:ptCount val="8"/>
                <c:pt idx="0">
                  <c:v>Male mean mental wellbeing score</c:v>
                </c:pt>
                <c:pt idx="1">
                  <c:v>Female mean mental wellbeing score</c:v>
                </c:pt>
                <c:pt idx="3">
                  <c:v>Male mean life satisfaction score</c:v>
                </c:pt>
                <c:pt idx="4">
                  <c:v>Female mean life satisfaction score</c:v>
                </c:pt>
                <c:pt idx="6">
                  <c:v>Male common mental health problems</c:v>
                </c:pt>
                <c:pt idx="7">
                  <c:v>Female common mental health problems</c:v>
                </c:pt>
              </c:strCache>
            </c:strRef>
          </c:cat>
          <c:val>
            <c:numRef>
              <c:f>Wellbeing!$D$3:$D$10</c:f>
              <c:numCache>
                <c:formatCode>0.0</c:formatCode>
                <c:ptCount val="8"/>
                <c:pt idx="0">
                  <c:v>50.725352090000001</c:v>
                </c:pt>
                <c:pt idx="1">
                  <c:v>50.849535750000001</c:v>
                </c:pt>
                <c:pt idx="3">
                  <c:v>7.7655048539999996</c:v>
                </c:pt>
                <c:pt idx="4">
                  <c:v>7.7985378450000002</c:v>
                </c:pt>
                <c:pt idx="6">
                  <c:v>8.4937063429999995</c:v>
                </c:pt>
                <c:pt idx="7">
                  <c:v>17.02360723</c:v>
                </c:pt>
              </c:numCache>
            </c:numRef>
          </c:val>
          <c:extLst>
            <c:ext xmlns:c16="http://schemas.microsoft.com/office/drawing/2014/chart" uri="{C3380CC4-5D6E-409C-BE32-E72D297353CC}">
              <c16:uniqueId val="{00000000-BFE4-408B-8692-E38B308DB3F4}"/>
            </c:ext>
          </c:extLst>
        </c:ser>
        <c:ser>
          <c:idx val="1"/>
          <c:order val="1"/>
          <c:tx>
            <c:strRef>
              <c:f>Wellbeing!$E$2</c:f>
              <c:strCache>
                <c:ptCount val="1"/>
                <c:pt idx="0">
                  <c:v>Scotland</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Wellbeing!$C$3:$C$10</c:f>
              <c:strCache>
                <c:ptCount val="8"/>
                <c:pt idx="0">
                  <c:v>Male mean mental wellbeing score</c:v>
                </c:pt>
                <c:pt idx="1">
                  <c:v>Female mean mental wellbeing score</c:v>
                </c:pt>
                <c:pt idx="3">
                  <c:v>Male mean life satisfaction score</c:v>
                </c:pt>
                <c:pt idx="4">
                  <c:v>Female mean life satisfaction score</c:v>
                </c:pt>
                <c:pt idx="6">
                  <c:v>Male common mental health problems</c:v>
                </c:pt>
                <c:pt idx="7">
                  <c:v>Female common mental health problems</c:v>
                </c:pt>
              </c:strCache>
            </c:strRef>
          </c:cat>
          <c:val>
            <c:numRef>
              <c:f>Wellbeing!$E$3:$E$10</c:f>
              <c:numCache>
                <c:formatCode>0.0</c:formatCode>
                <c:ptCount val="8"/>
                <c:pt idx="0">
                  <c:v>50.046867650000003</c:v>
                </c:pt>
                <c:pt idx="1">
                  <c:v>49.847843789999999</c:v>
                </c:pt>
                <c:pt idx="3">
                  <c:v>7.7474348040000001</c:v>
                </c:pt>
                <c:pt idx="4">
                  <c:v>7.7323094670000003</c:v>
                </c:pt>
                <c:pt idx="6">
                  <c:v>13.625660379999999</c:v>
                </c:pt>
                <c:pt idx="7">
                  <c:v>17.215750679999999</c:v>
                </c:pt>
              </c:numCache>
            </c:numRef>
          </c:val>
          <c:extLst>
            <c:ext xmlns:c16="http://schemas.microsoft.com/office/drawing/2014/chart" uri="{C3380CC4-5D6E-409C-BE32-E72D297353CC}">
              <c16:uniqueId val="{00000001-BFE4-408B-8692-E38B308DB3F4}"/>
            </c:ext>
          </c:extLst>
        </c:ser>
        <c:dLbls>
          <c:dLblPos val="outEnd"/>
          <c:showLegendKey val="0"/>
          <c:showVal val="1"/>
          <c:showCatName val="0"/>
          <c:showSerName val="0"/>
          <c:showPercent val="0"/>
          <c:showBubbleSize val="0"/>
        </c:dLbls>
        <c:gapWidth val="100"/>
        <c:axId val="655306480"/>
        <c:axId val="655306808"/>
      </c:barChart>
      <c:catAx>
        <c:axId val="655306480"/>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55306808"/>
        <c:crosses val="autoZero"/>
        <c:auto val="1"/>
        <c:lblAlgn val="ctr"/>
        <c:lblOffset val="100"/>
        <c:noMultiLvlLbl val="0"/>
      </c:catAx>
      <c:valAx>
        <c:axId val="655306808"/>
        <c:scaling>
          <c:orientation val="minMax"/>
        </c:scaling>
        <c:delete val="0"/>
        <c:axPos val="b"/>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5530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1"/>
              <a:t>Percentage population change by age group, Aberdeen City and Scotland, 1997-2017</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Sheet1!$B$13</c:f>
              <c:strCache>
                <c:ptCount val="1"/>
                <c:pt idx="0">
                  <c:v>Aberdeen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Sheet1!$A$14:$A$20</c:f>
              <c:strCache>
                <c:ptCount val="7"/>
                <c:pt idx="0">
                  <c:v>All people</c:v>
                </c:pt>
                <c:pt idx="1">
                  <c:v>0 to 15</c:v>
                </c:pt>
                <c:pt idx="2">
                  <c:v>16 to 24</c:v>
                </c:pt>
                <c:pt idx="3">
                  <c:v>25 to 44</c:v>
                </c:pt>
                <c:pt idx="4">
                  <c:v>45 to 64</c:v>
                </c:pt>
                <c:pt idx="5">
                  <c:v>65 to 74</c:v>
                </c:pt>
                <c:pt idx="6">
                  <c:v>75 and over</c:v>
                </c:pt>
              </c:strCache>
            </c:strRef>
          </c:cat>
          <c:val>
            <c:numRef>
              <c:f>Sheet1!$B$14:$B$20</c:f>
              <c:numCache>
                <c:formatCode>0%</c:formatCode>
                <c:ptCount val="7"/>
                <c:pt idx="0">
                  <c:v>5.2999999999999999E-2</c:v>
                </c:pt>
                <c:pt idx="1">
                  <c:v>-8.3000000000000004E-2</c:v>
                </c:pt>
                <c:pt idx="2">
                  <c:v>-0.10199999999999999</c:v>
                </c:pt>
                <c:pt idx="3">
                  <c:v>0.1</c:v>
                </c:pt>
                <c:pt idx="4">
                  <c:v>0.16600000000000001</c:v>
                </c:pt>
                <c:pt idx="5">
                  <c:v>5.9000000000000004E-2</c:v>
                </c:pt>
                <c:pt idx="6">
                  <c:v>0.157</c:v>
                </c:pt>
              </c:numCache>
            </c:numRef>
          </c:val>
          <c:extLst>
            <c:ext xmlns:c16="http://schemas.microsoft.com/office/drawing/2014/chart" uri="{C3380CC4-5D6E-409C-BE32-E72D297353CC}">
              <c16:uniqueId val="{00000000-CB52-4DE2-90B0-5442FC935618}"/>
            </c:ext>
          </c:extLst>
        </c:ser>
        <c:ser>
          <c:idx val="1"/>
          <c:order val="1"/>
          <c:tx>
            <c:strRef>
              <c:f>Sheet1!$C$13</c:f>
              <c:strCache>
                <c:ptCount val="1"/>
                <c:pt idx="0">
                  <c:v>Scotland</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Sheet1!$A$14:$A$20</c:f>
              <c:strCache>
                <c:ptCount val="7"/>
                <c:pt idx="0">
                  <c:v>All people</c:v>
                </c:pt>
                <c:pt idx="1">
                  <c:v>0 to 15</c:v>
                </c:pt>
                <c:pt idx="2">
                  <c:v>16 to 24</c:v>
                </c:pt>
                <c:pt idx="3">
                  <c:v>25 to 44</c:v>
                </c:pt>
                <c:pt idx="4">
                  <c:v>45 to 64</c:v>
                </c:pt>
                <c:pt idx="5">
                  <c:v>65 to 74</c:v>
                </c:pt>
                <c:pt idx="6">
                  <c:v>75 and over</c:v>
                </c:pt>
              </c:strCache>
            </c:strRef>
          </c:cat>
          <c:val>
            <c:numRef>
              <c:f>Sheet1!$C$14:$C$20</c:f>
              <c:numCache>
                <c:formatCode>0%</c:formatCode>
                <c:ptCount val="7"/>
                <c:pt idx="0">
                  <c:v>6.7000000000000004E-2</c:v>
                </c:pt>
                <c:pt idx="1">
                  <c:v>-9.1999999999999998E-2</c:v>
                </c:pt>
                <c:pt idx="2">
                  <c:v>3.4000000000000002E-2</c:v>
                </c:pt>
                <c:pt idx="3">
                  <c:v>-7.8E-2</c:v>
                </c:pt>
                <c:pt idx="4">
                  <c:v>0.26100000000000001</c:v>
                </c:pt>
                <c:pt idx="5">
                  <c:v>0.26600000000000001</c:v>
                </c:pt>
                <c:pt idx="6">
                  <c:v>0.30599999999999999</c:v>
                </c:pt>
              </c:numCache>
            </c:numRef>
          </c:val>
          <c:extLst>
            <c:ext xmlns:c16="http://schemas.microsoft.com/office/drawing/2014/chart" uri="{C3380CC4-5D6E-409C-BE32-E72D297353CC}">
              <c16:uniqueId val="{00000001-CB52-4DE2-90B0-5442FC935618}"/>
            </c:ext>
          </c:extLst>
        </c:ser>
        <c:dLbls>
          <c:dLblPos val="outEnd"/>
          <c:showLegendKey val="0"/>
          <c:showVal val="1"/>
          <c:showCatName val="0"/>
          <c:showSerName val="0"/>
          <c:showPercent val="0"/>
          <c:showBubbleSize val="0"/>
        </c:dLbls>
        <c:gapWidth val="219"/>
        <c:overlap val="-27"/>
        <c:axId val="711253520"/>
        <c:axId val="711260408"/>
      </c:barChart>
      <c:catAx>
        <c:axId val="71125352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1260408"/>
        <c:crosses val="autoZero"/>
        <c:auto val="1"/>
        <c:lblAlgn val="ctr"/>
        <c:lblOffset val="100"/>
        <c:noMultiLvlLbl val="0"/>
      </c:catAx>
      <c:valAx>
        <c:axId val="7112604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1253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200" b="0"/>
              <a:t>Number of dwelling by neighbourhood, Aberdeen City, 2016</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'characteristics dz'!$C$3</c:f>
              <c:strCache>
                <c:ptCount val="1"/>
                <c:pt idx="0">
                  <c:v>Total number of dwellings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A17-4A21-975C-59D880F0FA8F}"/>
                </c:ext>
              </c:extLst>
            </c:dLbl>
            <c:dLbl>
              <c:idx val="3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A17-4A21-975C-59D880F0FA8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'characteristics dz'!$B$4:$B$323</c:f>
              <c:strCache>
                <c:ptCount val="37"/>
                <c:pt idx="0">
                  <c:v>Cummings Park</c:v>
                </c:pt>
                <c:pt idx="1">
                  <c:v>Heathryfold</c:v>
                </c:pt>
                <c:pt idx="2">
                  <c:v>Middlefield</c:v>
                </c:pt>
                <c:pt idx="3">
                  <c:v>Old Aberdeen</c:v>
                </c:pt>
                <c:pt idx="4">
                  <c:v>Ashgrove</c:v>
                </c:pt>
                <c:pt idx="5">
                  <c:v>Denmore</c:v>
                </c:pt>
                <c:pt idx="6">
                  <c:v>Danestone</c:v>
                </c:pt>
                <c:pt idx="7">
                  <c:v>Summerhill</c:v>
                </c:pt>
                <c:pt idx="8">
                  <c:v>Sheddocksley</c:v>
                </c:pt>
                <c:pt idx="9">
                  <c:v>Midstocket</c:v>
                </c:pt>
                <c:pt idx="10">
                  <c:v>Kingswells</c:v>
                </c:pt>
                <c:pt idx="11">
                  <c:v>Stockethill</c:v>
                </c:pt>
                <c:pt idx="12">
                  <c:v>Woodside</c:v>
                </c:pt>
                <c:pt idx="13">
                  <c:v>Northfield</c:v>
                </c:pt>
                <c:pt idx="14">
                  <c:v>Culter </c:v>
                </c:pt>
                <c:pt idx="15">
                  <c:v>Hazlehead</c:v>
                </c:pt>
                <c:pt idx="16">
                  <c:v>Garthdee</c:v>
                </c:pt>
                <c:pt idx="17">
                  <c:v>Tillydrone</c:v>
                </c:pt>
                <c:pt idx="18">
                  <c:v>Balgownie &amp; Donmouth</c:v>
                </c:pt>
                <c:pt idx="19">
                  <c:v>Cove</c:v>
                </c:pt>
                <c:pt idx="20">
                  <c:v>Froghall, Powis &amp; Sunnybank</c:v>
                </c:pt>
                <c:pt idx="21">
                  <c:v>Dyce</c:v>
                </c:pt>
                <c:pt idx="22">
                  <c:v>Seaton</c:v>
                </c:pt>
                <c:pt idx="23">
                  <c:v>Mastrick</c:v>
                </c:pt>
                <c:pt idx="24">
                  <c:v>Oldmachar</c:v>
                </c:pt>
                <c:pt idx="25">
                  <c:v>Bucksburn</c:v>
                </c:pt>
                <c:pt idx="26">
                  <c:v>Hilton</c:v>
                </c:pt>
                <c:pt idx="27">
                  <c:v>Cults, Bieldside &amp; Milltimber</c:v>
                </c:pt>
                <c:pt idx="28">
                  <c:v>City Centre</c:v>
                </c:pt>
                <c:pt idx="29">
                  <c:v>Rosemount</c:v>
                </c:pt>
                <c:pt idx="30">
                  <c:v>Kincorth, Leggart &amp; Nigg</c:v>
                </c:pt>
                <c:pt idx="31">
                  <c:v>George Street </c:v>
                </c:pt>
                <c:pt idx="32">
                  <c:v>Hanover</c:v>
                </c:pt>
                <c:pt idx="33">
                  <c:v>West End</c:v>
                </c:pt>
                <c:pt idx="34">
                  <c:v>Torry</c:v>
                </c:pt>
                <c:pt idx="35">
                  <c:v>Ferryhill</c:v>
                </c:pt>
                <c:pt idx="36">
                  <c:v>*Braeside, Mannofield</c:v>
                </c:pt>
              </c:strCache>
            </c:strRef>
          </c:cat>
          <c:val>
            <c:numRef>
              <c:f>'characteristics dz'!$C$4:$C$323</c:f>
              <c:numCache>
                <c:formatCode>#,##0</c:formatCode>
                <c:ptCount val="37"/>
                <c:pt idx="0">
                  <c:v>724</c:v>
                </c:pt>
                <c:pt idx="1">
                  <c:v>920</c:v>
                </c:pt>
                <c:pt idx="2">
                  <c:v>1358</c:v>
                </c:pt>
                <c:pt idx="3">
                  <c:v>1378</c:v>
                </c:pt>
                <c:pt idx="4">
                  <c:v>1532</c:v>
                </c:pt>
                <c:pt idx="5">
                  <c:v>1537</c:v>
                </c:pt>
                <c:pt idx="6">
                  <c:v>1807</c:v>
                </c:pt>
                <c:pt idx="7">
                  <c:v>1926</c:v>
                </c:pt>
                <c:pt idx="8">
                  <c:v>1995</c:v>
                </c:pt>
                <c:pt idx="9">
                  <c:v>2051</c:v>
                </c:pt>
                <c:pt idx="10">
                  <c:v>2120</c:v>
                </c:pt>
                <c:pt idx="11">
                  <c:v>2125</c:v>
                </c:pt>
                <c:pt idx="12">
                  <c:v>2257</c:v>
                </c:pt>
                <c:pt idx="13">
                  <c:v>2263</c:v>
                </c:pt>
                <c:pt idx="14">
                  <c:v>2292</c:v>
                </c:pt>
                <c:pt idx="15">
                  <c:v>2499</c:v>
                </c:pt>
                <c:pt idx="16">
                  <c:v>2626</c:v>
                </c:pt>
                <c:pt idx="17">
                  <c:v>2851</c:v>
                </c:pt>
                <c:pt idx="18">
                  <c:v>3023</c:v>
                </c:pt>
                <c:pt idx="19">
                  <c:v>3029</c:v>
                </c:pt>
                <c:pt idx="20">
                  <c:v>3056</c:v>
                </c:pt>
                <c:pt idx="21">
                  <c:v>3150</c:v>
                </c:pt>
                <c:pt idx="22">
                  <c:v>3304</c:v>
                </c:pt>
                <c:pt idx="23">
                  <c:v>3549</c:v>
                </c:pt>
                <c:pt idx="24">
                  <c:v>4037</c:v>
                </c:pt>
                <c:pt idx="25">
                  <c:v>4076</c:v>
                </c:pt>
                <c:pt idx="26">
                  <c:v>4113</c:v>
                </c:pt>
                <c:pt idx="27">
                  <c:v>4194</c:v>
                </c:pt>
                <c:pt idx="28">
                  <c:v>4402</c:v>
                </c:pt>
                <c:pt idx="29">
                  <c:v>4536</c:v>
                </c:pt>
                <c:pt idx="30">
                  <c:v>4623</c:v>
                </c:pt>
                <c:pt idx="31">
                  <c:v>4699</c:v>
                </c:pt>
                <c:pt idx="32">
                  <c:v>4722</c:v>
                </c:pt>
                <c:pt idx="33">
                  <c:v>5251</c:v>
                </c:pt>
                <c:pt idx="34">
                  <c:v>5620</c:v>
                </c:pt>
                <c:pt idx="35">
                  <c:v>5702</c:v>
                </c:pt>
                <c:pt idx="36">
                  <c:v>6688</c:v>
                </c:pt>
              </c:numCache>
            </c:numRef>
          </c:val>
          <c:extLst>
            <c:ext xmlns:c16="http://schemas.microsoft.com/office/drawing/2014/chart" uri="{C3380CC4-5D6E-409C-BE32-E72D297353CC}">
              <c16:uniqueId val="{00000002-4A17-4A21-975C-59D880F0FA8F}"/>
            </c:ext>
          </c:extLst>
        </c:ser>
        <c:dLbls>
          <c:showLegendKey val="0"/>
          <c:showVal val="0"/>
          <c:showCatName val="0"/>
          <c:showSerName val="0"/>
          <c:showPercent val="0"/>
          <c:showBubbleSize val="0"/>
        </c:dLbls>
        <c:gapWidth val="100"/>
        <c:overlap val="-24"/>
        <c:axId val="262485144"/>
        <c:axId val="262489456"/>
      </c:barChart>
      <c:catAx>
        <c:axId val="262485144"/>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2460000" spcFirstLastPara="1" vertOverflow="ellipsis" wrap="square" anchor="ctr" anchorCtr="1"/>
          <a:lstStyle/>
          <a:p>
            <a:pPr>
              <a:defRPr sz="600" b="0" i="0" u="none" strike="noStrike" kern="1200" baseline="0">
                <a:solidFill>
                  <a:schemeClr val="tx2"/>
                </a:solidFill>
                <a:latin typeface="+mn-lt"/>
                <a:ea typeface="+mn-ea"/>
                <a:cs typeface="+mn-cs"/>
              </a:defRPr>
            </a:pPr>
            <a:endParaRPr lang="en-US"/>
          </a:p>
        </c:txPr>
        <c:crossAx val="262489456"/>
        <c:crosses val="autoZero"/>
        <c:auto val="1"/>
        <c:lblAlgn val="ctr"/>
        <c:lblOffset val="100"/>
        <c:tickLblSkip val="1"/>
        <c:noMultiLvlLbl val="0"/>
      </c:catAx>
      <c:valAx>
        <c:axId val="26248945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62485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200" b="0"/>
              <a:t>Proportion of dwellings by council tax</a:t>
            </a:r>
            <a:r>
              <a:rPr lang="en-GB" sz="1200" b="0" baseline="0"/>
              <a:t> band by neighbourhood, Aberdeen City, 2016</a:t>
            </a:r>
            <a:endParaRPr lang="en-GB" sz="1200" b="0"/>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bar"/>
        <c:grouping val="stacked"/>
        <c:varyColors val="0"/>
        <c:ser>
          <c:idx val="0"/>
          <c:order val="0"/>
          <c:tx>
            <c:strRef>
              <c:f>Sheet2!$B$1</c:f>
              <c:strCache>
                <c:ptCount val="1"/>
                <c:pt idx="0">
                  <c:v>Bands A-C as % of total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Sheet2!$A$2:$A$38</c:f>
              <c:strCache>
                <c:ptCount val="37"/>
                <c:pt idx="0">
                  <c:v>Middlefield</c:v>
                </c:pt>
                <c:pt idx="1">
                  <c:v>Cummings Park</c:v>
                </c:pt>
                <c:pt idx="2">
                  <c:v>Mastrick</c:v>
                </c:pt>
                <c:pt idx="3">
                  <c:v>Northfield</c:v>
                </c:pt>
                <c:pt idx="4">
                  <c:v>Heathryfold</c:v>
                </c:pt>
                <c:pt idx="5">
                  <c:v>Torry</c:v>
                </c:pt>
                <c:pt idx="6">
                  <c:v>Sheddocksley</c:v>
                </c:pt>
                <c:pt idx="7">
                  <c:v>Woodside</c:v>
                </c:pt>
                <c:pt idx="8">
                  <c:v>Garthdee</c:v>
                </c:pt>
                <c:pt idx="9">
                  <c:v>Tillydrone</c:v>
                </c:pt>
                <c:pt idx="10">
                  <c:v>Stockethill</c:v>
                </c:pt>
                <c:pt idx="11">
                  <c:v>Seaton</c:v>
                </c:pt>
                <c:pt idx="12">
                  <c:v>George Street </c:v>
                </c:pt>
                <c:pt idx="13">
                  <c:v>Kincorth, Leggart &amp; Nigg</c:v>
                </c:pt>
                <c:pt idx="14">
                  <c:v>Summerhill</c:v>
                </c:pt>
                <c:pt idx="15">
                  <c:v>Froghall, Powis &amp; Sunnybank</c:v>
                </c:pt>
                <c:pt idx="16">
                  <c:v>City Centre</c:v>
                </c:pt>
                <c:pt idx="17">
                  <c:v>Hanover</c:v>
                </c:pt>
                <c:pt idx="18">
                  <c:v>Bucksburn</c:v>
                </c:pt>
                <c:pt idx="19">
                  <c:v>Old Aberdeen</c:v>
                </c:pt>
                <c:pt idx="20">
                  <c:v>Hilton</c:v>
                </c:pt>
                <c:pt idx="21">
                  <c:v>Rosemount</c:v>
                </c:pt>
                <c:pt idx="22">
                  <c:v>Ashgrove</c:v>
                </c:pt>
                <c:pt idx="23">
                  <c:v>Culter </c:v>
                </c:pt>
                <c:pt idx="24">
                  <c:v>Dyce</c:v>
                </c:pt>
                <c:pt idx="25">
                  <c:v>Balgownie &amp; Donmouth</c:v>
                </c:pt>
                <c:pt idx="26">
                  <c:v>Cove</c:v>
                </c:pt>
                <c:pt idx="27">
                  <c:v>Ferryhill</c:v>
                </c:pt>
                <c:pt idx="28">
                  <c:v>West End</c:v>
                </c:pt>
                <c:pt idx="29">
                  <c:v>Denmore</c:v>
                </c:pt>
                <c:pt idx="30">
                  <c:v>Oldmachar</c:v>
                </c:pt>
                <c:pt idx="31">
                  <c:v>Danestone</c:v>
                </c:pt>
                <c:pt idx="32">
                  <c:v>Hazlehead</c:v>
                </c:pt>
                <c:pt idx="33">
                  <c:v>Midstocket</c:v>
                </c:pt>
                <c:pt idx="34">
                  <c:v>*Braeside, Mannofield</c:v>
                </c:pt>
                <c:pt idx="35">
                  <c:v>Cults, Bieldside &amp; Milltimber</c:v>
                </c:pt>
                <c:pt idx="36">
                  <c:v>Kingswells</c:v>
                </c:pt>
              </c:strCache>
            </c:strRef>
          </c:cat>
          <c:val>
            <c:numRef>
              <c:f>Sheet2!$B$2:$B$38</c:f>
              <c:numCache>
                <c:formatCode>0.0%</c:formatCode>
                <c:ptCount val="37"/>
                <c:pt idx="0">
                  <c:v>0.99705449189985274</c:v>
                </c:pt>
                <c:pt idx="1">
                  <c:v>0.99309392265193375</c:v>
                </c:pt>
                <c:pt idx="2">
                  <c:v>0.98393913778529163</c:v>
                </c:pt>
                <c:pt idx="3">
                  <c:v>0.97967300044189132</c:v>
                </c:pt>
                <c:pt idx="4">
                  <c:v>0.97717391304347823</c:v>
                </c:pt>
                <c:pt idx="5">
                  <c:v>0.95177935943060499</c:v>
                </c:pt>
                <c:pt idx="6">
                  <c:v>0.94185463659147872</c:v>
                </c:pt>
                <c:pt idx="7">
                  <c:v>0.92379264510412051</c:v>
                </c:pt>
                <c:pt idx="8">
                  <c:v>0.91431835491241431</c:v>
                </c:pt>
                <c:pt idx="9">
                  <c:v>0.91266222378112938</c:v>
                </c:pt>
                <c:pt idx="10">
                  <c:v>0.87623529411764711</c:v>
                </c:pt>
                <c:pt idx="11">
                  <c:v>0.82899515738498786</c:v>
                </c:pt>
                <c:pt idx="12">
                  <c:v>0.78569908491168339</c:v>
                </c:pt>
                <c:pt idx="13">
                  <c:v>0.77200951762924508</c:v>
                </c:pt>
                <c:pt idx="14">
                  <c:v>0.75960539979231567</c:v>
                </c:pt>
                <c:pt idx="15">
                  <c:v>0.75130890052356025</c:v>
                </c:pt>
                <c:pt idx="16">
                  <c:v>0.72308041799182188</c:v>
                </c:pt>
                <c:pt idx="17">
                  <c:v>0.71812791190173653</c:v>
                </c:pt>
                <c:pt idx="18">
                  <c:v>0.6992149165848871</c:v>
                </c:pt>
                <c:pt idx="19">
                  <c:v>0.65892597968069666</c:v>
                </c:pt>
                <c:pt idx="20">
                  <c:v>0.65596887916362756</c:v>
                </c:pt>
                <c:pt idx="21">
                  <c:v>0.64902998236331566</c:v>
                </c:pt>
                <c:pt idx="22">
                  <c:v>0.56592689295039167</c:v>
                </c:pt>
                <c:pt idx="23">
                  <c:v>0.52486910994764402</c:v>
                </c:pt>
                <c:pt idx="24">
                  <c:v>0.50126984126984131</c:v>
                </c:pt>
                <c:pt idx="25">
                  <c:v>0.46873966258683425</c:v>
                </c:pt>
                <c:pt idx="26">
                  <c:v>0.41135688345988775</c:v>
                </c:pt>
                <c:pt idx="27">
                  <c:v>0.39775517362329005</c:v>
                </c:pt>
                <c:pt idx="28">
                  <c:v>0.33593601218815466</c:v>
                </c:pt>
                <c:pt idx="29">
                  <c:v>0.313597918022121</c:v>
                </c:pt>
                <c:pt idx="30">
                  <c:v>0.29056229873668565</c:v>
                </c:pt>
                <c:pt idx="31">
                  <c:v>0.25954620918649696</c:v>
                </c:pt>
                <c:pt idx="32">
                  <c:v>0.25170068027210885</c:v>
                </c:pt>
                <c:pt idx="33">
                  <c:v>0.24524622135543636</c:v>
                </c:pt>
                <c:pt idx="34">
                  <c:v>0.17000598086124402</c:v>
                </c:pt>
                <c:pt idx="35">
                  <c:v>8.4883166428230808E-2</c:v>
                </c:pt>
                <c:pt idx="36">
                  <c:v>7.4999999999999997E-2</c:v>
                </c:pt>
              </c:numCache>
            </c:numRef>
          </c:val>
          <c:extLst>
            <c:ext xmlns:c16="http://schemas.microsoft.com/office/drawing/2014/chart" uri="{C3380CC4-5D6E-409C-BE32-E72D297353CC}">
              <c16:uniqueId val="{00000000-D1D7-47B0-8A53-7D9247D8525D}"/>
            </c:ext>
          </c:extLst>
        </c:ser>
        <c:ser>
          <c:idx val="1"/>
          <c:order val="1"/>
          <c:tx>
            <c:strRef>
              <c:f>Sheet2!$C$1</c:f>
              <c:strCache>
                <c:ptCount val="1"/>
                <c:pt idx="0">
                  <c:v>Bands D-E as % of total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Sheet2!$A$2:$A$38</c:f>
              <c:strCache>
                <c:ptCount val="37"/>
                <c:pt idx="0">
                  <c:v>Middlefield</c:v>
                </c:pt>
                <c:pt idx="1">
                  <c:v>Cummings Park</c:v>
                </c:pt>
                <c:pt idx="2">
                  <c:v>Mastrick</c:v>
                </c:pt>
                <c:pt idx="3">
                  <c:v>Northfield</c:v>
                </c:pt>
                <c:pt idx="4">
                  <c:v>Heathryfold</c:v>
                </c:pt>
                <c:pt idx="5">
                  <c:v>Torry</c:v>
                </c:pt>
                <c:pt idx="6">
                  <c:v>Sheddocksley</c:v>
                </c:pt>
                <c:pt idx="7">
                  <c:v>Woodside</c:v>
                </c:pt>
                <c:pt idx="8">
                  <c:v>Garthdee</c:v>
                </c:pt>
                <c:pt idx="9">
                  <c:v>Tillydrone</c:v>
                </c:pt>
                <c:pt idx="10">
                  <c:v>Stockethill</c:v>
                </c:pt>
                <c:pt idx="11">
                  <c:v>Seaton</c:v>
                </c:pt>
                <c:pt idx="12">
                  <c:v>George Street </c:v>
                </c:pt>
                <c:pt idx="13">
                  <c:v>Kincorth, Leggart &amp; Nigg</c:v>
                </c:pt>
                <c:pt idx="14">
                  <c:v>Summerhill</c:v>
                </c:pt>
                <c:pt idx="15">
                  <c:v>Froghall, Powis &amp; Sunnybank</c:v>
                </c:pt>
                <c:pt idx="16">
                  <c:v>City Centre</c:v>
                </c:pt>
                <c:pt idx="17">
                  <c:v>Hanover</c:v>
                </c:pt>
                <c:pt idx="18">
                  <c:v>Bucksburn</c:v>
                </c:pt>
                <c:pt idx="19">
                  <c:v>Old Aberdeen</c:v>
                </c:pt>
                <c:pt idx="20">
                  <c:v>Hilton</c:v>
                </c:pt>
                <c:pt idx="21">
                  <c:v>Rosemount</c:v>
                </c:pt>
                <c:pt idx="22">
                  <c:v>Ashgrove</c:v>
                </c:pt>
                <c:pt idx="23">
                  <c:v>Culter </c:v>
                </c:pt>
                <c:pt idx="24">
                  <c:v>Dyce</c:v>
                </c:pt>
                <c:pt idx="25">
                  <c:v>Balgownie &amp; Donmouth</c:v>
                </c:pt>
                <c:pt idx="26">
                  <c:v>Cove</c:v>
                </c:pt>
                <c:pt idx="27">
                  <c:v>Ferryhill</c:v>
                </c:pt>
                <c:pt idx="28">
                  <c:v>West End</c:v>
                </c:pt>
                <c:pt idx="29">
                  <c:v>Denmore</c:v>
                </c:pt>
                <c:pt idx="30">
                  <c:v>Oldmachar</c:v>
                </c:pt>
                <c:pt idx="31">
                  <c:v>Danestone</c:v>
                </c:pt>
                <c:pt idx="32">
                  <c:v>Hazlehead</c:v>
                </c:pt>
                <c:pt idx="33">
                  <c:v>Midstocket</c:v>
                </c:pt>
                <c:pt idx="34">
                  <c:v>*Braeside, Mannofield</c:v>
                </c:pt>
                <c:pt idx="35">
                  <c:v>Cults, Bieldside &amp; Milltimber</c:v>
                </c:pt>
                <c:pt idx="36">
                  <c:v>Kingswells</c:v>
                </c:pt>
              </c:strCache>
            </c:strRef>
          </c:cat>
          <c:val>
            <c:numRef>
              <c:f>Sheet2!$C$2:$C$38</c:f>
              <c:numCache>
                <c:formatCode>0.0%</c:formatCode>
                <c:ptCount val="37"/>
                <c:pt idx="0">
                  <c:v>2.2091310751104565E-3</c:v>
                </c:pt>
                <c:pt idx="1">
                  <c:v>6.9060773480662981E-3</c:v>
                </c:pt>
                <c:pt idx="2">
                  <c:v>1.6060862214708368E-2</c:v>
                </c:pt>
                <c:pt idx="3">
                  <c:v>2.0326999558108707E-2</c:v>
                </c:pt>
                <c:pt idx="4">
                  <c:v>2.2826086956521739E-2</c:v>
                </c:pt>
                <c:pt idx="5">
                  <c:v>4.6797153024911033E-2</c:v>
                </c:pt>
                <c:pt idx="6">
                  <c:v>5.8145363408521306E-2</c:v>
                </c:pt>
                <c:pt idx="7">
                  <c:v>7.3548958794860439E-2</c:v>
                </c:pt>
                <c:pt idx="8">
                  <c:v>6.7022086824067018E-2</c:v>
                </c:pt>
                <c:pt idx="9">
                  <c:v>8.4882497369344084E-2</c:v>
                </c:pt>
                <c:pt idx="10">
                  <c:v>6.6352941176470587E-2</c:v>
                </c:pt>
                <c:pt idx="11">
                  <c:v>0.16404358353510895</c:v>
                </c:pt>
                <c:pt idx="12">
                  <c:v>0.21323685890615024</c:v>
                </c:pt>
                <c:pt idx="13">
                  <c:v>0.16569327276660178</c:v>
                </c:pt>
                <c:pt idx="14">
                  <c:v>0.10176531671858775</c:v>
                </c:pt>
                <c:pt idx="15">
                  <c:v>0.23592931937172776</c:v>
                </c:pt>
                <c:pt idx="16">
                  <c:v>0.25579282144479781</c:v>
                </c:pt>
                <c:pt idx="17">
                  <c:v>0.26090639559508683</c:v>
                </c:pt>
                <c:pt idx="18">
                  <c:v>0.25318940137389595</c:v>
                </c:pt>
                <c:pt idx="19">
                  <c:v>0.29825834542815677</c:v>
                </c:pt>
                <c:pt idx="20">
                  <c:v>0.28033065888645758</c:v>
                </c:pt>
                <c:pt idx="21">
                  <c:v>0.25330687830687831</c:v>
                </c:pt>
                <c:pt idx="22">
                  <c:v>0.38968668407310703</c:v>
                </c:pt>
                <c:pt idx="23">
                  <c:v>0.22643979057591623</c:v>
                </c:pt>
                <c:pt idx="24">
                  <c:v>0.34857142857142859</c:v>
                </c:pt>
                <c:pt idx="25">
                  <c:v>0.44128349321865695</c:v>
                </c:pt>
                <c:pt idx="26">
                  <c:v>0.46252888742159126</c:v>
                </c:pt>
                <c:pt idx="27">
                  <c:v>0.49526481936162747</c:v>
                </c:pt>
                <c:pt idx="28">
                  <c:v>0.28204151590173299</c:v>
                </c:pt>
                <c:pt idx="29">
                  <c:v>0.42875731945348083</c:v>
                </c:pt>
                <c:pt idx="30">
                  <c:v>0.51449095863264804</c:v>
                </c:pt>
                <c:pt idx="31">
                  <c:v>0.55561704482567786</c:v>
                </c:pt>
                <c:pt idx="32">
                  <c:v>0.16886754701880752</c:v>
                </c:pt>
                <c:pt idx="33">
                  <c:v>0.27986348122866894</c:v>
                </c:pt>
                <c:pt idx="34">
                  <c:v>0.45245215311004783</c:v>
                </c:pt>
                <c:pt idx="35">
                  <c:v>0.22484501669051024</c:v>
                </c:pt>
                <c:pt idx="36">
                  <c:v>0.38018867924528305</c:v>
                </c:pt>
              </c:numCache>
            </c:numRef>
          </c:val>
          <c:extLst>
            <c:ext xmlns:c16="http://schemas.microsoft.com/office/drawing/2014/chart" uri="{C3380CC4-5D6E-409C-BE32-E72D297353CC}">
              <c16:uniqueId val="{00000001-D1D7-47B0-8A53-7D9247D8525D}"/>
            </c:ext>
          </c:extLst>
        </c:ser>
        <c:ser>
          <c:idx val="2"/>
          <c:order val="2"/>
          <c:tx>
            <c:strRef>
              <c:f>Sheet2!$D$1</c:f>
              <c:strCache>
                <c:ptCount val="1"/>
                <c:pt idx="0">
                  <c:v>Bands F-H as % of total</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Sheet2!$A$2:$A$38</c:f>
              <c:strCache>
                <c:ptCount val="37"/>
                <c:pt idx="0">
                  <c:v>Middlefield</c:v>
                </c:pt>
                <c:pt idx="1">
                  <c:v>Cummings Park</c:v>
                </c:pt>
                <c:pt idx="2">
                  <c:v>Mastrick</c:v>
                </c:pt>
                <c:pt idx="3">
                  <c:v>Northfield</c:v>
                </c:pt>
                <c:pt idx="4">
                  <c:v>Heathryfold</c:v>
                </c:pt>
                <c:pt idx="5">
                  <c:v>Torry</c:v>
                </c:pt>
                <c:pt idx="6">
                  <c:v>Sheddocksley</c:v>
                </c:pt>
                <c:pt idx="7">
                  <c:v>Woodside</c:v>
                </c:pt>
                <c:pt idx="8">
                  <c:v>Garthdee</c:v>
                </c:pt>
                <c:pt idx="9">
                  <c:v>Tillydrone</c:v>
                </c:pt>
                <c:pt idx="10">
                  <c:v>Stockethill</c:v>
                </c:pt>
                <c:pt idx="11">
                  <c:v>Seaton</c:v>
                </c:pt>
                <c:pt idx="12">
                  <c:v>George Street </c:v>
                </c:pt>
                <c:pt idx="13">
                  <c:v>Kincorth, Leggart &amp; Nigg</c:v>
                </c:pt>
                <c:pt idx="14">
                  <c:v>Summerhill</c:v>
                </c:pt>
                <c:pt idx="15">
                  <c:v>Froghall, Powis &amp; Sunnybank</c:v>
                </c:pt>
                <c:pt idx="16">
                  <c:v>City Centre</c:v>
                </c:pt>
                <c:pt idx="17">
                  <c:v>Hanover</c:v>
                </c:pt>
                <c:pt idx="18">
                  <c:v>Bucksburn</c:v>
                </c:pt>
                <c:pt idx="19">
                  <c:v>Old Aberdeen</c:v>
                </c:pt>
                <c:pt idx="20">
                  <c:v>Hilton</c:v>
                </c:pt>
                <c:pt idx="21">
                  <c:v>Rosemount</c:v>
                </c:pt>
                <c:pt idx="22">
                  <c:v>Ashgrove</c:v>
                </c:pt>
                <c:pt idx="23">
                  <c:v>Culter </c:v>
                </c:pt>
                <c:pt idx="24">
                  <c:v>Dyce</c:v>
                </c:pt>
                <c:pt idx="25">
                  <c:v>Balgownie &amp; Donmouth</c:v>
                </c:pt>
                <c:pt idx="26">
                  <c:v>Cove</c:v>
                </c:pt>
                <c:pt idx="27">
                  <c:v>Ferryhill</c:v>
                </c:pt>
                <c:pt idx="28">
                  <c:v>West End</c:v>
                </c:pt>
                <c:pt idx="29">
                  <c:v>Denmore</c:v>
                </c:pt>
                <c:pt idx="30">
                  <c:v>Oldmachar</c:v>
                </c:pt>
                <c:pt idx="31">
                  <c:v>Danestone</c:v>
                </c:pt>
                <c:pt idx="32">
                  <c:v>Hazlehead</c:v>
                </c:pt>
                <c:pt idx="33">
                  <c:v>Midstocket</c:v>
                </c:pt>
                <c:pt idx="34">
                  <c:v>*Braeside, Mannofield</c:v>
                </c:pt>
                <c:pt idx="35">
                  <c:v>Cults, Bieldside &amp; Milltimber</c:v>
                </c:pt>
                <c:pt idx="36">
                  <c:v>Kingswells</c:v>
                </c:pt>
              </c:strCache>
            </c:strRef>
          </c:cat>
          <c:val>
            <c:numRef>
              <c:f>Sheet2!$D$2:$D$38</c:f>
              <c:numCache>
                <c:formatCode>0.0%</c:formatCode>
                <c:ptCount val="37"/>
                <c:pt idx="0">
                  <c:v>7.3637702503681884E-4</c:v>
                </c:pt>
                <c:pt idx="1">
                  <c:v>0</c:v>
                </c:pt>
                <c:pt idx="2">
                  <c:v>0</c:v>
                </c:pt>
                <c:pt idx="3">
                  <c:v>0</c:v>
                </c:pt>
                <c:pt idx="4">
                  <c:v>0</c:v>
                </c:pt>
                <c:pt idx="5">
                  <c:v>1.4234875444839859E-3</c:v>
                </c:pt>
                <c:pt idx="6">
                  <c:v>0</c:v>
                </c:pt>
                <c:pt idx="7">
                  <c:v>2.658396101019052E-3</c:v>
                </c:pt>
                <c:pt idx="8">
                  <c:v>1.8659558263518658E-2</c:v>
                </c:pt>
                <c:pt idx="9">
                  <c:v>2.4552788495264821E-3</c:v>
                </c:pt>
                <c:pt idx="10">
                  <c:v>5.741176470588235E-2</c:v>
                </c:pt>
                <c:pt idx="11">
                  <c:v>6.9612590799031475E-3</c:v>
                </c:pt>
                <c:pt idx="12">
                  <c:v>1.0640561821664183E-3</c:v>
                </c:pt>
                <c:pt idx="13">
                  <c:v>6.229720960415315E-2</c:v>
                </c:pt>
                <c:pt idx="14">
                  <c:v>0.13862928348909656</c:v>
                </c:pt>
                <c:pt idx="15">
                  <c:v>1.2761780104712041E-2</c:v>
                </c:pt>
                <c:pt idx="16">
                  <c:v>2.1126760563380281E-2</c:v>
                </c:pt>
                <c:pt idx="17">
                  <c:v>2.0965692503176619E-2</c:v>
                </c:pt>
                <c:pt idx="18">
                  <c:v>4.7595682041216877E-2</c:v>
                </c:pt>
                <c:pt idx="19">
                  <c:v>4.2815674891146592E-2</c:v>
                </c:pt>
                <c:pt idx="20">
                  <c:v>6.3700461949914911E-2</c:v>
                </c:pt>
                <c:pt idx="21">
                  <c:v>9.7663139329805998E-2</c:v>
                </c:pt>
                <c:pt idx="22">
                  <c:v>4.4386422976501305E-2</c:v>
                </c:pt>
                <c:pt idx="23">
                  <c:v>0.2486910994764398</c:v>
                </c:pt>
                <c:pt idx="24">
                  <c:v>0.15015873015873016</c:v>
                </c:pt>
                <c:pt idx="25">
                  <c:v>8.997684419450877E-2</c:v>
                </c:pt>
                <c:pt idx="26">
                  <c:v>0.12611422911852097</c:v>
                </c:pt>
                <c:pt idx="27">
                  <c:v>0.10698000701508242</c:v>
                </c:pt>
                <c:pt idx="28">
                  <c:v>0.38202247191011235</c:v>
                </c:pt>
                <c:pt idx="29">
                  <c:v>0.25764476252439816</c:v>
                </c:pt>
                <c:pt idx="30">
                  <c:v>0.19494674263066633</c:v>
                </c:pt>
                <c:pt idx="31">
                  <c:v>0.18483674598782512</c:v>
                </c:pt>
                <c:pt idx="32">
                  <c:v>0.57943177270908364</c:v>
                </c:pt>
                <c:pt idx="33">
                  <c:v>0.47489029741589467</c:v>
                </c:pt>
                <c:pt idx="34">
                  <c:v>0.37754186602870815</c:v>
                </c:pt>
                <c:pt idx="35">
                  <c:v>0.69027181688125894</c:v>
                </c:pt>
                <c:pt idx="36">
                  <c:v>0.54481132075471694</c:v>
                </c:pt>
              </c:numCache>
            </c:numRef>
          </c:val>
          <c:extLst>
            <c:ext xmlns:c16="http://schemas.microsoft.com/office/drawing/2014/chart" uri="{C3380CC4-5D6E-409C-BE32-E72D297353CC}">
              <c16:uniqueId val="{00000002-D1D7-47B0-8A53-7D9247D8525D}"/>
            </c:ext>
          </c:extLst>
        </c:ser>
        <c:dLbls>
          <c:showLegendKey val="0"/>
          <c:showVal val="0"/>
          <c:showCatName val="0"/>
          <c:showSerName val="0"/>
          <c:showPercent val="0"/>
          <c:showBubbleSize val="0"/>
        </c:dLbls>
        <c:gapWidth val="20"/>
        <c:overlap val="100"/>
        <c:axId val="713046488"/>
        <c:axId val="713047144"/>
      </c:barChart>
      <c:catAx>
        <c:axId val="71304648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2"/>
                </a:solidFill>
                <a:latin typeface="+mn-lt"/>
                <a:ea typeface="+mn-ea"/>
                <a:cs typeface="+mn-cs"/>
              </a:defRPr>
            </a:pPr>
            <a:endParaRPr lang="en-US"/>
          </a:p>
        </c:txPr>
        <c:crossAx val="713047144"/>
        <c:crosses val="autoZero"/>
        <c:auto val="1"/>
        <c:lblAlgn val="ctr"/>
        <c:lblOffset val="100"/>
        <c:tickLblSkip val="1"/>
        <c:noMultiLvlLbl val="0"/>
      </c:catAx>
      <c:valAx>
        <c:axId val="713047144"/>
        <c:scaling>
          <c:orientation val="minMax"/>
          <c:max val="1"/>
        </c:scaling>
        <c:delete val="0"/>
        <c:axPos val="b"/>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crossAx val="713046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1" i="0" u="none" strike="noStrike" kern="1200" baseline="0">
                <a:solidFill>
                  <a:schemeClr val="tx2"/>
                </a:solidFill>
                <a:latin typeface="+mn-lt"/>
                <a:ea typeface="+mn-ea"/>
                <a:cs typeface="+mn-cs"/>
              </a:defRPr>
            </a:pPr>
            <a:r>
              <a:rPr lang="en-GB" sz="1050" b="0"/>
              <a:t>Percentage</a:t>
            </a:r>
            <a:r>
              <a:rPr lang="en-GB" sz="1050" b="0" baseline="0"/>
              <a:t> of d</a:t>
            </a:r>
            <a:r>
              <a:rPr lang="en-GB" sz="1050" b="0"/>
              <a:t>wellings with a 'single adult' Council Tax discount by neighbourhood, Aberdeen City, 2016</a:t>
            </a:r>
          </a:p>
        </c:rich>
      </c:tx>
      <c:overlay val="0"/>
      <c:spPr>
        <a:noFill/>
        <a:ln>
          <a:noFill/>
        </a:ln>
        <a:effectLst/>
      </c:spPr>
      <c:txPr>
        <a:bodyPr rot="0" spcFirstLastPara="1" vertOverflow="ellipsis" vert="horz" wrap="square" anchor="ctr" anchorCtr="1"/>
        <a:lstStyle/>
        <a:p>
          <a:pPr>
            <a:defRPr sz="105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10"/>
          <c:order val="0"/>
          <c:tx>
            <c:strRef>
              <c:f>'dwellings by data zone'!$N$4</c:f>
              <c:strCache>
                <c:ptCount val="1"/>
                <c:pt idx="0">
                  <c:v>% Dwellings with a 'single adult' Council Tax discount</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c:spPr>
          <c:invertIfNegative val="0"/>
          <c:dLbls>
            <c:dLbl>
              <c:idx val="0"/>
              <c:layout>
                <c:manualLayout>
                  <c:x val="2.0100502512562814E-2"/>
                  <c:y val="-2.78241513633834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599-448F-94D3-D23632F3E4B8}"/>
                </c:ext>
              </c:extLst>
            </c:dLbl>
            <c:dLbl>
              <c:idx val="3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599-448F-94D3-D23632F3E4B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'dwellings by data zone'!$C$5:$C$324</c:f>
              <c:strCache>
                <c:ptCount val="37"/>
                <c:pt idx="0">
                  <c:v>Kingswells</c:v>
                </c:pt>
                <c:pt idx="1">
                  <c:v>Cults, Bieldside &amp; Milltimber </c:v>
                </c:pt>
                <c:pt idx="2">
                  <c:v>Denmore</c:v>
                </c:pt>
                <c:pt idx="3">
                  <c:v>Oldmachar</c:v>
                </c:pt>
                <c:pt idx="4">
                  <c:v>Danestone</c:v>
                </c:pt>
                <c:pt idx="5">
                  <c:v>Cummings Park</c:v>
                </c:pt>
                <c:pt idx="6">
                  <c:v>Dyce</c:v>
                </c:pt>
                <c:pt idx="7">
                  <c:v>Cove</c:v>
                </c:pt>
                <c:pt idx="8">
                  <c:v>Old Aberdeen</c:v>
                </c:pt>
                <c:pt idx="9">
                  <c:v>Froghall, Powis &amp; Sunnybank</c:v>
                </c:pt>
                <c:pt idx="10">
                  <c:v>Northfield</c:v>
                </c:pt>
                <c:pt idx="11">
                  <c:v>Culter</c:v>
                </c:pt>
                <c:pt idx="12">
                  <c:v>Balgownie &amp; Donmouth</c:v>
                </c:pt>
                <c:pt idx="13">
                  <c:v>*Braeside, Mannofield</c:v>
                </c:pt>
                <c:pt idx="14">
                  <c:v>Kincorth, Leggart &amp; Nigg </c:v>
                </c:pt>
                <c:pt idx="15">
                  <c:v>Midstocket</c:v>
                </c:pt>
                <c:pt idx="16">
                  <c:v>West End</c:v>
                </c:pt>
                <c:pt idx="17">
                  <c:v>Hazlehead</c:v>
                </c:pt>
                <c:pt idx="18">
                  <c:v>Middlefield</c:v>
                </c:pt>
                <c:pt idx="19">
                  <c:v>Bucksburn</c:v>
                </c:pt>
                <c:pt idx="20">
                  <c:v>Heathryfold</c:v>
                </c:pt>
                <c:pt idx="21">
                  <c:v>Garthdee</c:v>
                </c:pt>
                <c:pt idx="22">
                  <c:v>Hilton</c:v>
                </c:pt>
                <c:pt idx="23">
                  <c:v>Mastrick</c:v>
                </c:pt>
                <c:pt idx="24">
                  <c:v>Hanover</c:v>
                </c:pt>
                <c:pt idx="25">
                  <c:v>City Centre</c:v>
                </c:pt>
                <c:pt idx="26">
                  <c:v>Ashgrove</c:v>
                </c:pt>
                <c:pt idx="27">
                  <c:v>Ferryhill</c:v>
                </c:pt>
                <c:pt idx="28">
                  <c:v>Summerhill</c:v>
                </c:pt>
                <c:pt idx="29">
                  <c:v>George Street</c:v>
                </c:pt>
                <c:pt idx="30">
                  <c:v>Sheddocksley </c:v>
                </c:pt>
                <c:pt idx="31">
                  <c:v>Rosemount</c:v>
                </c:pt>
                <c:pt idx="32">
                  <c:v>Tillydrone</c:v>
                </c:pt>
                <c:pt idx="33">
                  <c:v>Torry</c:v>
                </c:pt>
                <c:pt idx="34">
                  <c:v>Stockethill</c:v>
                </c:pt>
                <c:pt idx="35">
                  <c:v>Seaton</c:v>
                </c:pt>
                <c:pt idx="36">
                  <c:v>Woodside</c:v>
                </c:pt>
              </c:strCache>
            </c:strRef>
          </c:cat>
          <c:val>
            <c:numRef>
              <c:f>'dwellings by data zone'!$N$5:$N$324</c:f>
              <c:numCache>
                <c:formatCode>0.0%</c:formatCode>
                <c:ptCount val="37"/>
                <c:pt idx="0">
                  <c:v>0.22321849929211893</c:v>
                </c:pt>
                <c:pt idx="1">
                  <c:v>0.22943825551078453</c:v>
                </c:pt>
                <c:pt idx="2">
                  <c:v>0.24950625411454905</c:v>
                </c:pt>
                <c:pt idx="3">
                  <c:v>0.27226027397260272</c:v>
                </c:pt>
                <c:pt idx="4">
                  <c:v>0.28828337874659399</c:v>
                </c:pt>
                <c:pt idx="5">
                  <c:v>0.29986431478968795</c:v>
                </c:pt>
                <c:pt idx="6">
                  <c:v>0.30292544825416795</c:v>
                </c:pt>
                <c:pt idx="7">
                  <c:v>0.30706610224682512</c:v>
                </c:pt>
                <c:pt idx="8">
                  <c:v>0.31776416539050534</c:v>
                </c:pt>
                <c:pt idx="9">
                  <c:v>0.32778932778932779</c:v>
                </c:pt>
                <c:pt idx="10">
                  <c:v>0.3360797918473547</c:v>
                </c:pt>
                <c:pt idx="11">
                  <c:v>0.3376736111111111</c:v>
                </c:pt>
                <c:pt idx="12">
                  <c:v>0.33780687397708675</c:v>
                </c:pt>
                <c:pt idx="13">
                  <c:v>0.34888955582232895</c:v>
                </c:pt>
                <c:pt idx="14">
                  <c:v>0.34905660377358488</c:v>
                </c:pt>
                <c:pt idx="15">
                  <c:v>0.34958556801560214</c:v>
                </c:pt>
                <c:pt idx="16">
                  <c:v>0.35150812064965198</c:v>
                </c:pt>
                <c:pt idx="17">
                  <c:v>0.35343450479233229</c:v>
                </c:pt>
                <c:pt idx="18">
                  <c:v>0.36336109008327028</c:v>
                </c:pt>
                <c:pt idx="19">
                  <c:v>0.36999505684626793</c:v>
                </c:pt>
                <c:pt idx="20">
                  <c:v>0.37124463519313305</c:v>
                </c:pt>
                <c:pt idx="21">
                  <c:v>0.384321223709369</c:v>
                </c:pt>
                <c:pt idx="22">
                  <c:v>0.39742967992240541</c:v>
                </c:pt>
                <c:pt idx="23">
                  <c:v>0.39777777777777779</c:v>
                </c:pt>
                <c:pt idx="24">
                  <c:v>0.40112262521588948</c:v>
                </c:pt>
                <c:pt idx="25">
                  <c:v>0.40467836257309941</c:v>
                </c:pt>
                <c:pt idx="26">
                  <c:v>0.40662251655629139</c:v>
                </c:pt>
                <c:pt idx="27">
                  <c:v>0.40979519145146925</c:v>
                </c:pt>
                <c:pt idx="28">
                  <c:v>0.41748071979434448</c:v>
                </c:pt>
                <c:pt idx="29">
                  <c:v>0.41975308641975306</c:v>
                </c:pt>
                <c:pt idx="30">
                  <c:v>0.42277227722772276</c:v>
                </c:pt>
                <c:pt idx="31">
                  <c:v>0.44551353770418439</c:v>
                </c:pt>
                <c:pt idx="32">
                  <c:v>0.45708304256803906</c:v>
                </c:pt>
                <c:pt idx="33">
                  <c:v>0.47118463180362863</c:v>
                </c:pt>
                <c:pt idx="34">
                  <c:v>0.47870846981750115</c:v>
                </c:pt>
                <c:pt idx="35">
                  <c:v>0.47914764079147643</c:v>
                </c:pt>
                <c:pt idx="36">
                  <c:v>0.49935760171306209</c:v>
                </c:pt>
              </c:numCache>
            </c:numRef>
          </c:val>
          <c:extLst>
            <c:ext xmlns:c16="http://schemas.microsoft.com/office/drawing/2014/chart" uri="{C3380CC4-5D6E-409C-BE32-E72D297353CC}">
              <c16:uniqueId val="{00000002-9599-448F-94D3-D23632F3E4B8}"/>
            </c:ext>
          </c:extLst>
        </c:ser>
        <c:dLbls>
          <c:showLegendKey val="0"/>
          <c:showVal val="0"/>
          <c:showCatName val="0"/>
          <c:showSerName val="0"/>
          <c:showPercent val="0"/>
          <c:showBubbleSize val="0"/>
        </c:dLbls>
        <c:gapWidth val="100"/>
        <c:overlap val="-24"/>
        <c:axId val="149796352"/>
        <c:axId val="149797888"/>
      </c:barChart>
      <c:catAx>
        <c:axId val="149796352"/>
        <c:scaling>
          <c:orientation val="minMax"/>
        </c:scaling>
        <c:delete val="0"/>
        <c:axPos val="b"/>
        <c:numFmt formatCode="General" sourceLinked="0"/>
        <c:majorTickMark val="none"/>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crossAx val="149797888"/>
        <c:crosses val="autoZero"/>
        <c:auto val="1"/>
        <c:lblAlgn val="ctr"/>
        <c:lblOffset val="100"/>
        <c:noMultiLvlLbl val="0"/>
      </c:catAx>
      <c:valAx>
        <c:axId val="149797888"/>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crossAx val="149796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200" b="0"/>
              <a:t>Percentage</a:t>
            </a:r>
            <a:r>
              <a:rPr lang="en-GB" sz="1200" b="0" baseline="0"/>
              <a:t> of </a:t>
            </a:r>
            <a:r>
              <a:rPr lang="en-GB" sz="1200" b="0"/>
              <a:t>occupied dwellings exempt from paying council tax by neighbourhood, Aberdeen</a:t>
            </a:r>
            <a:r>
              <a:rPr lang="en-GB" sz="1200" b="0" baseline="0"/>
              <a:t> City, 2016</a:t>
            </a:r>
            <a:endParaRPr lang="en-GB" sz="1200" b="0"/>
          </a:p>
        </c:rich>
      </c:tx>
      <c:layout>
        <c:manualLayout>
          <c:xMode val="edge"/>
          <c:yMode val="edge"/>
          <c:x val="0.10596674598300154"/>
          <c:y val="5.810575246949448E-3"/>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8"/>
          <c:order val="0"/>
          <c:tx>
            <c:strRef>
              <c:f>'dwellings by data zone'!$L$4</c:f>
              <c:strCache>
                <c:ptCount val="1"/>
                <c:pt idx="0">
                  <c:v>% occupied dwellings exempt from paying council tax</c:v>
                </c:pt>
              </c:strCache>
            </c:strRef>
          </c:tx>
          <c:spPr>
            <a:solidFill>
              <a:schemeClr val="accent1"/>
            </a:solidFill>
            <a:ln>
              <a:noFill/>
            </a:ln>
            <a:effectLst/>
          </c:spPr>
          <c:invertIfNegative val="0"/>
          <c:dLbls>
            <c:dLbl>
              <c:idx val="35"/>
              <c:layout>
                <c:manualLayout>
                  <c:x val="-7.0060719290051376E-3"/>
                  <c:y val="-5.8105752469494749E-3"/>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DF0-4972-979B-6229D2662254}"/>
                </c:ext>
              </c:extLst>
            </c:dLbl>
            <c:dLbl>
              <c:idx val="36"/>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DF0-4972-979B-6229D266225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'dwellings by data zone'!$C$5:$C$324</c:f>
              <c:strCache>
                <c:ptCount val="37"/>
                <c:pt idx="0">
                  <c:v>Oldmachar</c:v>
                </c:pt>
                <c:pt idx="1">
                  <c:v>Cove</c:v>
                </c:pt>
                <c:pt idx="2">
                  <c:v>Danestone</c:v>
                </c:pt>
                <c:pt idx="3">
                  <c:v>Balgownie &amp; Donmouth</c:v>
                </c:pt>
                <c:pt idx="4">
                  <c:v>Heathryfold</c:v>
                </c:pt>
                <c:pt idx="5">
                  <c:v>Kingswells</c:v>
                </c:pt>
                <c:pt idx="6">
                  <c:v>Dyce</c:v>
                </c:pt>
                <c:pt idx="7">
                  <c:v>Bucksburn</c:v>
                </c:pt>
                <c:pt idx="8">
                  <c:v>Hazlehead</c:v>
                </c:pt>
                <c:pt idx="9">
                  <c:v>Middlefield</c:v>
                </c:pt>
                <c:pt idx="10">
                  <c:v>Northfield</c:v>
                </c:pt>
                <c:pt idx="11">
                  <c:v>Cummings Park</c:v>
                </c:pt>
                <c:pt idx="12">
                  <c:v>Culter</c:v>
                </c:pt>
                <c:pt idx="13">
                  <c:v>*Braeside, Mannofield</c:v>
                </c:pt>
                <c:pt idx="14">
                  <c:v>Denmore</c:v>
                </c:pt>
                <c:pt idx="15">
                  <c:v>Midstocket</c:v>
                </c:pt>
                <c:pt idx="16">
                  <c:v>Sheddocksley </c:v>
                </c:pt>
                <c:pt idx="17">
                  <c:v>Summerhill</c:v>
                </c:pt>
                <c:pt idx="18">
                  <c:v>Mastrick</c:v>
                </c:pt>
                <c:pt idx="19">
                  <c:v>Kincorth, Leggart &amp; Nigg </c:v>
                </c:pt>
                <c:pt idx="20">
                  <c:v>Torry</c:v>
                </c:pt>
                <c:pt idx="21">
                  <c:v>Cults, Bieldside &amp; Milltimber </c:v>
                </c:pt>
                <c:pt idx="22">
                  <c:v>West End</c:v>
                </c:pt>
                <c:pt idx="23">
                  <c:v>Tillydrone</c:v>
                </c:pt>
                <c:pt idx="24">
                  <c:v>Stockethill</c:v>
                </c:pt>
                <c:pt idx="25">
                  <c:v>Ferryhill</c:v>
                </c:pt>
                <c:pt idx="26">
                  <c:v>Hilton</c:v>
                </c:pt>
                <c:pt idx="27">
                  <c:v>Woodside</c:v>
                </c:pt>
                <c:pt idx="28">
                  <c:v>Rosemount</c:v>
                </c:pt>
                <c:pt idx="29">
                  <c:v>City Centre</c:v>
                </c:pt>
                <c:pt idx="30">
                  <c:v>Garthdee</c:v>
                </c:pt>
                <c:pt idx="31">
                  <c:v>Ashgrove</c:v>
                </c:pt>
                <c:pt idx="32">
                  <c:v>Seaton</c:v>
                </c:pt>
                <c:pt idx="33">
                  <c:v>Hanover</c:v>
                </c:pt>
                <c:pt idx="34">
                  <c:v>George Street</c:v>
                </c:pt>
                <c:pt idx="35">
                  <c:v>Froghall, Powis &amp; Sunnybank</c:v>
                </c:pt>
                <c:pt idx="36">
                  <c:v>Old Aberdeen</c:v>
                </c:pt>
              </c:strCache>
            </c:strRef>
          </c:cat>
          <c:val>
            <c:numRef>
              <c:f>'dwellings by data zone'!$L$5:$L$324</c:f>
              <c:numCache>
                <c:formatCode>0.0%</c:formatCode>
                <c:ptCount val="37"/>
                <c:pt idx="0">
                  <c:v>6.3600782778864967E-3</c:v>
                </c:pt>
                <c:pt idx="1">
                  <c:v>6.5125366330185605E-3</c:v>
                </c:pt>
                <c:pt idx="2">
                  <c:v>7.6294277929155312E-3</c:v>
                </c:pt>
                <c:pt idx="3">
                  <c:v>9.8199672667757774E-3</c:v>
                </c:pt>
                <c:pt idx="4">
                  <c:v>1.0729613733905579E-2</c:v>
                </c:pt>
                <c:pt idx="5">
                  <c:v>1.0854176498348278E-2</c:v>
                </c:pt>
                <c:pt idx="6">
                  <c:v>1.1009751494180559E-2</c:v>
                </c:pt>
                <c:pt idx="7">
                  <c:v>1.2357884330202669E-2</c:v>
                </c:pt>
                <c:pt idx="8">
                  <c:v>1.437699680511182E-2</c:v>
                </c:pt>
                <c:pt idx="9">
                  <c:v>1.4383043149129448E-2</c:v>
                </c:pt>
                <c:pt idx="10">
                  <c:v>1.5611448395490026E-2</c:v>
                </c:pt>
                <c:pt idx="11">
                  <c:v>1.8995929443690638E-2</c:v>
                </c:pt>
                <c:pt idx="12">
                  <c:v>1.9097222222222224E-2</c:v>
                </c:pt>
                <c:pt idx="13">
                  <c:v>2.220888355342137E-2</c:v>
                </c:pt>
                <c:pt idx="14">
                  <c:v>2.2383146807109941E-2</c:v>
                </c:pt>
                <c:pt idx="15">
                  <c:v>2.2915650901999023E-2</c:v>
                </c:pt>
                <c:pt idx="16">
                  <c:v>2.3267326732673267E-2</c:v>
                </c:pt>
                <c:pt idx="17">
                  <c:v>2.4164524421593829E-2</c:v>
                </c:pt>
                <c:pt idx="18">
                  <c:v>2.4166666666666666E-2</c:v>
                </c:pt>
                <c:pt idx="19">
                  <c:v>2.5085763293310463E-2</c:v>
                </c:pt>
                <c:pt idx="20">
                  <c:v>2.7926004980434009E-2</c:v>
                </c:pt>
                <c:pt idx="21">
                  <c:v>2.844275894761792E-2</c:v>
                </c:pt>
                <c:pt idx="22">
                  <c:v>3.6736272235112145E-2</c:v>
                </c:pt>
                <c:pt idx="23">
                  <c:v>4.1172365666434056E-2</c:v>
                </c:pt>
                <c:pt idx="24">
                  <c:v>4.6326626111371082E-2</c:v>
                </c:pt>
                <c:pt idx="25">
                  <c:v>5.6634016028495104E-2</c:v>
                </c:pt>
                <c:pt idx="26">
                  <c:v>6.2075654704170709E-2</c:v>
                </c:pt>
                <c:pt idx="27">
                  <c:v>7.408993576017131E-2</c:v>
                </c:pt>
                <c:pt idx="28">
                  <c:v>8.7491608861042736E-2</c:v>
                </c:pt>
                <c:pt idx="29">
                  <c:v>0.1031578947368421</c:v>
                </c:pt>
                <c:pt idx="30">
                  <c:v>0.11319311663479924</c:v>
                </c:pt>
                <c:pt idx="31">
                  <c:v>0.11721854304635762</c:v>
                </c:pt>
                <c:pt idx="32">
                  <c:v>0.16499238964992391</c:v>
                </c:pt>
                <c:pt idx="33">
                  <c:v>0.17767702936096719</c:v>
                </c:pt>
                <c:pt idx="34">
                  <c:v>0.19012345679012346</c:v>
                </c:pt>
                <c:pt idx="35">
                  <c:v>0.23284823284823286</c:v>
                </c:pt>
                <c:pt idx="36">
                  <c:v>0.32695252679938747</c:v>
                </c:pt>
              </c:numCache>
            </c:numRef>
          </c:val>
          <c:extLst>
            <c:ext xmlns:c16="http://schemas.microsoft.com/office/drawing/2014/chart" uri="{C3380CC4-5D6E-409C-BE32-E72D297353CC}">
              <c16:uniqueId val="{00000002-1DF0-4972-979B-6229D2662254}"/>
            </c:ext>
          </c:extLst>
        </c:ser>
        <c:dLbls>
          <c:showLegendKey val="0"/>
          <c:showVal val="0"/>
          <c:showCatName val="0"/>
          <c:showSerName val="0"/>
          <c:showPercent val="0"/>
          <c:showBubbleSize val="0"/>
        </c:dLbls>
        <c:gapWidth val="100"/>
        <c:overlap val="-24"/>
        <c:axId val="375752952"/>
        <c:axId val="375751384"/>
      </c:barChart>
      <c:catAx>
        <c:axId val="375752952"/>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crossAx val="375751384"/>
        <c:crosses val="autoZero"/>
        <c:auto val="1"/>
        <c:lblAlgn val="ctr"/>
        <c:lblOffset val="100"/>
        <c:noMultiLvlLbl val="0"/>
      </c:catAx>
      <c:valAx>
        <c:axId val="375751384"/>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crossAx val="375752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200" b="0"/>
              <a:t>Dwelling type, Aberdeen City and Scotland, 2017</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'Dwelling characteristics'!$A$44</c:f>
              <c:strCache>
                <c:ptCount val="1"/>
                <c:pt idx="0">
                  <c:v>Aberdeen City % of all dwellings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'Dwelling characteristics'!$B$43:$F$43</c:f>
              <c:strCache>
                <c:ptCount val="5"/>
                <c:pt idx="0">
                  <c:v>Flats</c:v>
                </c:pt>
                <c:pt idx="1">
                  <c:v>Terraced</c:v>
                </c:pt>
                <c:pt idx="2">
                  <c:v>Semi-detached</c:v>
                </c:pt>
                <c:pt idx="3">
                  <c:v>Detached</c:v>
                </c:pt>
                <c:pt idx="4">
                  <c:v>Unknown</c:v>
                </c:pt>
              </c:strCache>
            </c:strRef>
          </c:cat>
          <c:val>
            <c:numRef>
              <c:f>'Dwelling characteristics'!$B$44:$F$44</c:f>
              <c:numCache>
                <c:formatCode>0%</c:formatCode>
                <c:ptCount val="5"/>
                <c:pt idx="0">
                  <c:v>0.55000000000000004</c:v>
                </c:pt>
                <c:pt idx="1">
                  <c:v>0.18</c:v>
                </c:pt>
                <c:pt idx="2">
                  <c:v>0.16</c:v>
                </c:pt>
                <c:pt idx="3">
                  <c:v>0.11</c:v>
                </c:pt>
                <c:pt idx="4">
                  <c:v>0</c:v>
                </c:pt>
              </c:numCache>
            </c:numRef>
          </c:val>
          <c:extLst>
            <c:ext xmlns:c16="http://schemas.microsoft.com/office/drawing/2014/chart" uri="{C3380CC4-5D6E-409C-BE32-E72D297353CC}">
              <c16:uniqueId val="{00000000-EA09-410F-8D24-8807EC7C2BEC}"/>
            </c:ext>
          </c:extLst>
        </c:ser>
        <c:ser>
          <c:idx val="1"/>
          <c:order val="1"/>
          <c:tx>
            <c:strRef>
              <c:f>'Dwelling characteristics'!$A$45</c:f>
              <c:strCache>
                <c:ptCount val="1"/>
                <c:pt idx="0">
                  <c:v>Scotland % of all dwellings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'Dwelling characteristics'!$B$43:$F$43</c:f>
              <c:strCache>
                <c:ptCount val="5"/>
                <c:pt idx="0">
                  <c:v>Flats</c:v>
                </c:pt>
                <c:pt idx="1">
                  <c:v>Terraced</c:v>
                </c:pt>
                <c:pt idx="2">
                  <c:v>Semi-detached</c:v>
                </c:pt>
                <c:pt idx="3">
                  <c:v>Detached</c:v>
                </c:pt>
                <c:pt idx="4">
                  <c:v>Unknown</c:v>
                </c:pt>
              </c:strCache>
            </c:strRef>
          </c:cat>
          <c:val>
            <c:numRef>
              <c:f>'Dwelling characteristics'!$B$45:$F$45</c:f>
              <c:numCache>
                <c:formatCode>0%</c:formatCode>
                <c:ptCount val="5"/>
                <c:pt idx="0">
                  <c:v>0.38</c:v>
                </c:pt>
                <c:pt idx="1">
                  <c:v>0.2</c:v>
                </c:pt>
                <c:pt idx="2">
                  <c:v>0.2</c:v>
                </c:pt>
                <c:pt idx="3">
                  <c:v>0.21</c:v>
                </c:pt>
                <c:pt idx="4">
                  <c:v>0.01</c:v>
                </c:pt>
              </c:numCache>
            </c:numRef>
          </c:val>
          <c:extLst>
            <c:ext xmlns:c16="http://schemas.microsoft.com/office/drawing/2014/chart" uri="{C3380CC4-5D6E-409C-BE32-E72D297353CC}">
              <c16:uniqueId val="{00000001-EA09-410F-8D24-8807EC7C2BEC}"/>
            </c:ext>
          </c:extLst>
        </c:ser>
        <c:dLbls>
          <c:dLblPos val="outEnd"/>
          <c:showLegendKey val="0"/>
          <c:showVal val="1"/>
          <c:showCatName val="0"/>
          <c:showSerName val="0"/>
          <c:showPercent val="0"/>
          <c:showBubbleSize val="0"/>
        </c:dLbls>
        <c:gapWidth val="100"/>
        <c:overlap val="-24"/>
        <c:axId val="706051616"/>
        <c:axId val="706051944"/>
      </c:barChart>
      <c:catAx>
        <c:axId val="70605161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06051944"/>
        <c:crosses val="autoZero"/>
        <c:auto val="1"/>
        <c:lblAlgn val="ctr"/>
        <c:lblOffset val="100"/>
        <c:noMultiLvlLbl val="0"/>
      </c:catAx>
      <c:valAx>
        <c:axId val="706051944"/>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06051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200" b="0"/>
              <a:t>Dwelling type by neighbourhood, Aberdeen City, 2016</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bar"/>
        <c:grouping val="stacked"/>
        <c:varyColors val="0"/>
        <c:ser>
          <c:idx val="0"/>
          <c:order val="0"/>
          <c:tx>
            <c:strRef>
              <c:f>Sheet3!$B$1</c:f>
              <c:strCache>
                <c:ptCount val="1"/>
                <c:pt idx="0">
                  <c:v>%  Detached</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Sheet3!$A$2:$A$38</c:f>
              <c:strCache>
                <c:ptCount val="37"/>
                <c:pt idx="0">
                  <c:v>Seaton</c:v>
                </c:pt>
                <c:pt idx="1">
                  <c:v>City Centre</c:v>
                </c:pt>
                <c:pt idx="2">
                  <c:v>George Street </c:v>
                </c:pt>
                <c:pt idx="3">
                  <c:v>Hanover</c:v>
                </c:pt>
                <c:pt idx="4">
                  <c:v>Woodside</c:v>
                </c:pt>
                <c:pt idx="5">
                  <c:v>Rosemount</c:v>
                </c:pt>
                <c:pt idx="6">
                  <c:v>Ashgrove</c:v>
                </c:pt>
                <c:pt idx="7">
                  <c:v>Froghall, Powis &amp; Sunnybank</c:v>
                </c:pt>
                <c:pt idx="8">
                  <c:v>Old Aberdeen</c:v>
                </c:pt>
                <c:pt idx="9">
                  <c:v>Torry</c:v>
                </c:pt>
                <c:pt idx="10">
                  <c:v>Middlefield</c:v>
                </c:pt>
                <c:pt idx="11">
                  <c:v>Ferryhill</c:v>
                </c:pt>
                <c:pt idx="12">
                  <c:v>Tillydrone</c:v>
                </c:pt>
                <c:pt idx="13">
                  <c:v>Hilton</c:v>
                </c:pt>
                <c:pt idx="14">
                  <c:v>Stockethill</c:v>
                </c:pt>
                <c:pt idx="15">
                  <c:v>West End</c:v>
                </c:pt>
                <c:pt idx="16">
                  <c:v>Garthdee</c:v>
                </c:pt>
                <c:pt idx="17">
                  <c:v>Midstocket</c:v>
                </c:pt>
                <c:pt idx="18">
                  <c:v>Summerhill</c:v>
                </c:pt>
                <c:pt idx="19">
                  <c:v>*Braeside, Mannofield</c:v>
                </c:pt>
                <c:pt idx="20">
                  <c:v>Kincorth, Leggart &amp; Nigg</c:v>
                </c:pt>
                <c:pt idx="21">
                  <c:v>Culter </c:v>
                </c:pt>
                <c:pt idx="22">
                  <c:v>Bucksburn</c:v>
                </c:pt>
                <c:pt idx="23">
                  <c:v>Mastrick</c:v>
                </c:pt>
                <c:pt idx="24">
                  <c:v>Heathryfold</c:v>
                </c:pt>
                <c:pt idx="25">
                  <c:v>Dyce</c:v>
                </c:pt>
                <c:pt idx="26">
                  <c:v>Balgownie &amp; Donmouth</c:v>
                </c:pt>
                <c:pt idx="27">
                  <c:v>Danestone</c:v>
                </c:pt>
                <c:pt idx="28">
                  <c:v>Hazlehead</c:v>
                </c:pt>
                <c:pt idx="29">
                  <c:v>Sheddocksley</c:v>
                </c:pt>
                <c:pt idx="30">
                  <c:v>Northfield</c:v>
                </c:pt>
                <c:pt idx="31">
                  <c:v>Cults, Bieldside &amp; Milltimber</c:v>
                </c:pt>
                <c:pt idx="32">
                  <c:v>Cummings Park</c:v>
                </c:pt>
                <c:pt idx="33">
                  <c:v>Denmore</c:v>
                </c:pt>
                <c:pt idx="34">
                  <c:v>Cove</c:v>
                </c:pt>
                <c:pt idx="35">
                  <c:v>Oldmachar</c:v>
                </c:pt>
                <c:pt idx="36">
                  <c:v>Kingswells</c:v>
                </c:pt>
              </c:strCache>
            </c:strRef>
          </c:cat>
          <c:val>
            <c:numRef>
              <c:f>Sheet3!$B$2:$B$38</c:f>
              <c:numCache>
                <c:formatCode>0.0%</c:formatCode>
                <c:ptCount val="37"/>
                <c:pt idx="0">
                  <c:v>7.5665859564164649E-3</c:v>
                </c:pt>
                <c:pt idx="1">
                  <c:v>2.7260336210813267E-3</c:v>
                </c:pt>
                <c:pt idx="2">
                  <c:v>2.4686103426260906E-2</c:v>
                </c:pt>
                <c:pt idx="3">
                  <c:v>4.2354934349851754E-3</c:v>
                </c:pt>
                <c:pt idx="4">
                  <c:v>1.0633584404076208E-2</c:v>
                </c:pt>
                <c:pt idx="5">
                  <c:v>1.4550264550264549E-2</c:v>
                </c:pt>
                <c:pt idx="6">
                  <c:v>7.1801566579634468E-3</c:v>
                </c:pt>
                <c:pt idx="7">
                  <c:v>1.3416230366492147E-2</c:v>
                </c:pt>
                <c:pt idx="8">
                  <c:v>7.9100145137880981E-2</c:v>
                </c:pt>
                <c:pt idx="9">
                  <c:v>5.3380782918149468E-3</c:v>
                </c:pt>
                <c:pt idx="10">
                  <c:v>1.1045655375552283E-2</c:v>
                </c:pt>
                <c:pt idx="11">
                  <c:v>2.928796913363732E-2</c:v>
                </c:pt>
                <c:pt idx="12">
                  <c:v>1.3679410733076113E-2</c:v>
                </c:pt>
                <c:pt idx="13">
                  <c:v>3.4767809384877217E-2</c:v>
                </c:pt>
                <c:pt idx="14">
                  <c:v>4.3764705882352942E-2</c:v>
                </c:pt>
                <c:pt idx="15">
                  <c:v>8.6840601790135211E-2</c:v>
                </c:pt>
                <c:pt idx="16">
                  <c:v>2.5514089870525513E-2</c:v>
                </c:pt>
                <c:pt idx="17">
                  <c:v>0.10043881033642126</c:v>
                </c:pt>
                <c:pt idx="18">
                  <c:v>0.12512980269989615</c:v>
                </c:pt>
                <c:pt idx="19">
                  <c:v>0.11498205741626795</c:v>
                </c:pt>
                <c:pt idx="20">
                  <c:v>9.9935107073329005E-2</c:v>
                </c:pt>
                <c:pt idx="21">
                  <c:v>0.23821989528795812</c:v>
                </c:pt>
                <c:pt idx="22">
                  <c:v>8.3905789990186455E-2</c:v>
                </c:pt>
                <c:pt idx="23">
                  <c:v>3.3812341504649195E-3</c:v>
                </c:pt>
                <c:pt idx="24">
                  <c:v>1.0869565217391304E-3</c:v>
                </c:pt>
                <c:pt idx="25">
                  <c:v>0.20158730158730159</c:v>
                </c:pt>
                <c:pt idx="26">
                  <c:v>0.12537214687396625</c:v>
                </c:pt>
                <c:pt idx="27">
                  <c:v>0.27946873270614275</c:v>
                </c:pt>
                <c:pt idx="28">
                  <c:v>0.2861144457783113</c:v>
                </c:pt>
                <c:pt idx="29">
                  <c:v>1.0025062656641604E-3</c:v>
                </c:pt>
                <c:pt idx="30">
                  <c:v>1.3256738842244808E-3</c:v>
                </c:pt>
                <c:pt idx="31">
                  <c:v>0.58607534573199804</c:v>
                </c:pt>
                <c:pt idx="32">
                  <c:v>5.5248618784530384E-3</c:v>
                </c:pt>
                <c:pt idx="33">
                  <c:v>0.35328562134027325</c:v>
                </c:pt>
                <c:pt idx="34">
                  <c:v>0.26939584021129087</c:v>
                </c:pt>
                <c:pt idx="35">
                  <c:v>0.30814961605152341</c:v>
                </c:pt>
                <c:pt idx="36">
                  <c:v>0.64811320754716983</c:v>
                </c:pt>
              </c:numCache>
            </c:numRef>
          </c:val>
          <c:extLst>
            <c:ext xmlns:c16="http://schemas.microsoft.com/office/drawing/2014/chart" uri="{C3380CC4-5D6E-409C-BE32-E72D297353CC}">
              <c16:uniqueId val="{00000000-554A-4CF8-B2F8-79B91CC6674B}"/>
            </c:ext>
          </c:extLst>
        </c:ser>
        <c:ser>
          <c:idx val="1"/>
          <c:order val="1"/>
          <c:tx>
            <c:strRef>
              <c:f>Sheet3!$C$1</c:f>
              <c:strCache>
                <c:ptCount val="1"/>
                <c:pt idx="0">
                  <c:v>% semi-detached</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Sheet3!$A$2:$A$38</c:f>
              <c:strCache>
                <c:ptCount val="37"/>
                <c:pt idx="0">
                  <c:v>Seaton</c:v>
                </c:pt>
                <c:pt idx="1">
                  <c:v>City Centre</c:v>
                </c:pt>
                <c:pt idx="2">
                  <c:v>George Street </c:v>
                </c:pt>
                <c:pt idx="3">
                  <c:v>Hanover</c:v>
                </c:pt>
                <c:pt idx="4">
                  <c:v>Woodside</c:v>
                </c:pt>
                <c:pt idx="5">
                  <c:v>Rosemount</c:v>
                </c:pt>
                <c:pt idx="6">
                  <c:v>Ashgrove</c:v>
                </c:pt>
                <c:pt idx="7">
                  <c:v>Froghall, Powis &amp; Sunnybank</c:v>
                </c:pt>
                <c:pt idx="8">
                  <c:v>Old Aberdeen</c:v>
                </c:pt>
                <c:pt idx="9">
                  <c:v>Torry</c:v>
                </c:pt>
                <c:pt idx="10">
                  <c:v>Middlefield</c:v>
                </c:pt>
                <c:pt idx="11">
                  <c:v>Ferryhill</c:v>
                </c:pt>
                <c:pt idx="12">
                  <c:v>Tillydrone</c:v>
                </c:pt>
                <c:pt idx="13">
                  <c:v>Hilton</c:v>
                </c:pt>
                <c:pt idx="14">
                  <c:v>Stockethill</c:v>
                </c:pt>
                <c:pt idx="15">
                  <c:v>West End</c:v>
                </c:pt>
                <c:pt idx="16">
                  <c:v>Garthdee</c:v>
                </c:pt>
                <c:pt idx="17">
                  <c:v>Midstocket</c:v>
                </c:pt>
                <c:pt idx="18">
                  <c:v>Summerhill</c:v>
                </c:pt>
                <c:pt idx="19">
                  <c:v>*Braeside, Mannofield</c:v>
                </c:pt>
                <c:pt idx="20">
                  <c:v>Kincorth, Leggart &amp; Nigg</c:v>
                </c:pt>
                <c:pt idx="21">
                  <c:v>Culter </c:v>
                </c:pt>
                <c:pt idx="22">
                  <c:v>Bucksburn</c:v>
                </c:pt>
                <c:pt idx="23">
                  <c:v>Mastrick</c:v>
                </c:pt>
                <c:pt idx="24">
                  <c:v>Heathryfold</c:v>
                </c:pt>
                <c:pt idx="25">
                  <c:v>Dyce</c:v>
                </c:pt>
                <c:pt idx="26">
                  <c:v>Balgownie &amp; Donmouth</c:v>
                </c:pt>
                <c:pt idx="27">
                  <c:v>Danestone</c:v>
                </c:pt>
                <c:pt idx="28">
                  <c:v>Hazlehead</c:v>
                </c:pt>
                <c:pt idx="29">
                  <c:v>Sheddocksley</c:v>
                </c:pt>
                <c:pt idx="30">
                  <c:v>Northfield</c:v>
                </c:pt>
                <c:pt idx="31">
                  <c:v>Cults, Bieldside &amp; Milltimber</c:v>
                </c:pt>
                <c:pt idx="32">
                  <c:v>Cummings Park</c:v>
                </c:pt>
                <c:pt idx="33">
                  <c:v>Denmore</c:v>
                </c:pt>
                <c:pt idx="34">
                  <c:v>Cove</c:v>
                </c:pt>
                <c:pt idx="35">
                  <c:v>Oldmachar</c:v>
                </c:pt>
                <c:pt idx="36">
                  <c:v>Kingswells</c:v>
                </c:pt>
              </c:strCache>
            </c:strRef>
          </c:cat>
          <c:val>
            <c:numRef>
              <c:f>Sheet3!$C$2:$C$38</c:f>
              <c:numCache>
                <c:formatCode>0.0%</c:formatCode>
                <c:ptCount val="37"/>
                <c:pt idx="0">
                  <c:v>9.0799031476997572E-3</c:v>
                </c:pt>
                <c:pt idx="1">
                  <c:v>6.1335756474329853E-3</c:v>
                </c:pt>
                <c:pt idx="2">
                  <c:v>4.0434134922323894E-3</c:v>
                </c:pt>
                <c:pt idx="3">
                  <c:v>5.5061414654807286E-3</c:v>
                </c:pt>
                <c:pt idx="4">
                  <c:v>3.8989809481612757E-2</c:v>
                </c:pt>
                <c:pt idx="5">
                  <c:v>5.0705467372134036E-2</c:v>
                </c:pt>
                <c:pt idx="6">
                  <c:v>3.8511749347258484E-2</c:v>
                </c:pt>
                <c:pt idx="7">
                  <c:v>4.9083769633507857E-2</c:v>
                </c:pt>
                <c:pt idx="8">
                  <c:v>3.3381712626995644E-2</c:v>
                </c:pt>
                <c:pt idx="9">
                  <c:v>7.4377224199288258E-2</c:v>
                </c:pt>
                <c:pt idx="10">
                  <c:v>0.15758468335787923</c:v>
                </c:pt>
                <c:pt idx="11">
                  <c:v>0.11346895826025956</c:v>
                </c:pt>
                <c:pt idx="12">
                  <c:v>7.435987372851631E-2</c:v>
                </c:pt>
                <c:pt idx="13">
                  <c:v>0.11451495258935084</c:v>
                </c:pt>
                <c:pt idx="14">
                  <c:v>8.3294117647058824E-2</c:v>
                </c:pt>
                <c:pt idx="15">
                  <c:v>0.12664254427728053</c:v>
                </c:pt>
                <c:pt idx="16">
                  <c:v>0.1808834729626809</c:v>
                </c:pt>
                <c:pt idx="17">
                  <c:v>0.20672842515845929</c:v>
                </c:pt>
                <c:pt idx="18">
                  <c:v>0.11422637590861889</c:v>
                </c:pt>
                <c:pt idx="19">
                  <c:v>0.40071770334928231</c:v>
                </c:pt>
                <c:pt idx="20">
                  <c:v>0.14298074843175426</c:v>
                </c:pt>
                <c:pt idx="21">
                  <c:v>0.22294938917975568</c:v>
                </c:pt>
                <c:pt idx="22">
                  <c:v>0.25024533856722275</c:v>
                </c:pt>
                <c:pt idx="23">
                  <c:v>0.10030994646379261</c:v>
                </c:pt>
                <c:pt idx="24">
                  <c:v>9.5652173913043481E-2</c:v>
                </c:pt>
                <c:pt idx="25">
                  <c:v>0.31936507936507935</c:v>
                </c:pt>
                <c:pt idx="26">
                  <c:v>0.43202117102216342</c:v>
                </c:pt>
                <c:pt idx="27">
                  <c:v>0.31765356945213058</c:v>
                </c:pt>
                <c:pt idx="28">
                  <c:v>0.34813925570228094</c:v>
                </c:pt>
                <c:pt idx="29">
                  <c:v>0.12581453634085213</c:v>
                </c:pt>
                <c:pt idx="30">
                  <c:v>0.19354838709677419</c:v>
                </c:pt>
                <c:pt idx="31">
                  <c:v>0.20863137815927515</c:v>
                </c:pt>
                <c:pt idx="32">
                  <c:v>0.48066298342541436</c:v>
                </c:pt>
                <c:pt idx="33">
                  <c:v>0.34287573194534809</c:v>
                </c:pt>
                <c:pt idx="34">
                  <c:v>0.29910861670518324</c:v>
                </c:pt>
                <c:pt idx="35">
                  <c:v>0.40450829824126827</c:v>
                </c:pt>
                <c:pt idx="36">
                  <c:v>0.25047169811320757</c:v>
                </c:pt>
              </c:numCache>
            </c:numRef>
          </c:val>
          <c:extLst>
            <c:ext xmlns:c16="http://schemas.microsoft.com/office/drawing/2014/chart" uri="{C3380CC4-5D6E-409C-BE32-E72D297353CC}">
              <c16:uniqueId val="{00000001-554A-4CF8-B2F8-79B91CC6674B}"/>
            </c:ext>
          </c:extLst>
        </c:ser>
        <c:ser>
          <c:idx val="2"/>
          <c:order val="2"/>
          <c:tx>
            <c:strRef>
              <c:f>Sheet3!$D$1</c:f>
              <c:strCache>
                <c:ptCount val="1"/>
                <c:pt idx="0">
                  <c:v>% Terrace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Sheet3!$A$2:$A$38</c:f>
              <c:strCache>
                <c:ptCount val="37"/>
                <c:pt idx="0">
                  <c:v>Seaton</c:v>
                </c:pt>
                <c:pt idx="1">
                  <c:v>City Centre</c:v>
                </c:pt>
                <c:pt idx="2">
                  <c:v>George Street </c:v>
                </c:pt>
                <c:pt idx="3">
                  <c:v>Hanover</c:v>
                </c:pt>
                <c:pt idx="4">
                  <c:v>Woodside</c:v>
                </c:pt>
                <c:pt idx="5">
                  <c:v>Rosemount</c:v>
                </c:pt>
                <c:pt idx="6">
                  <c:v>Ashgrove</c:v>
                </c:pt>
                <c:pt idx="7">
                  <c:v>Froghall, Powis &amp; Sunnybank</c:v>
                </c:pt>
                <c:pt idx="8">
                  <c:v>Old Aberdeen</c:v>
                </c:pt>
                <c:pt idx="9">
                  <c:v>Torry</c:v>
                </c:pt>
                <c:pt idx="10">
                  <c:v>Middlefield</c:v>
                </c:pt>
                <c:pt idx="11">
                  <c:v>Ferryhill</c:v>
                </c:pt>
                <c:pt idx="12">
                  <c:v>Tillydrone</c:v>
                </c:pt>
                <c:pt idx="13">
                  <c:v>Hilton</c:v>
                </c:pt>
                <c:pt idx="14">
                  <c:v>Stockethill</c:v>
                </c:pt>
                <c:pt idx="15">
                  <c:v>West End</c:v>
                </c:pt>
                <c:pt idx="16">
                  <c:v>Garthdee</c:v>
                </c:pt>
                <c:pt idx="17">
                  <c:v>Midstocket</c:v>
                </c:pt>
                <c:pt idx="18">
                  <c:v>Summerhill</c:v>
                </c:pt>
                <c:pt idx="19">
                  <c:v>*Braeside, Mannofield</c:v>
                </c:pt>
                <c:pt idx="20">
                  <c:v>Kincorth, Leggart &amp; Nigg</c:v>
                </c:pt>
                <c:pt idx="21">
                  <c:v>Culter </c:v>
                </c:pt>
                <c:pt idx="22">
                  <c:v>Bucksburn</c:v>
                </c:pt>
                <c:pt idx="23">
                  <c:v>Mastrick</c:v>
                </c:pt>
                <c:pt idx="24">
                  <c:v>Heathryfold</c:v>
                </c:pt>
                <c:pt idx="25">
                  <c:v>Dyce</c:v>
                </c:pt>
                <c:pt idx="26">
                  <c:v>Balgownie &amp; Donmouth</c:v>
                </c:pt>
                <c:pt idx="27">
                  <c:v>Danestone</c:v>
                </c:pt>
                <c:pt idx="28">
                  <c:v>Hazlehead</c:v>
                </c:pt>
                <c:pt idx="29">
                  <c:v>Sheddocksley</c:v>
                </c:pt>
                <c:pt idx="30">
                  <c:v>Northfield</c:v>
                </c:pt>
                <c:pt idx="31">
                  <c:v>Cults, Bieldside &amp; Milltimber</c:v>
                </c:pt>
                <c:pt idx="32">
                  <c:v>Cummings Park</c:v>
                </c:pt>
                <c:pt idx="33">
                  <c:v>Denmore</c:v>
                </c:pt>
                <c:pt idx="34">
                  <c:v>Cove</c:v>
                </c:pt>
                <c:pt idx="35">
                  <c:v>Oldmachar</c:v>
                </c:pt>
                <c:pt idx="36">
                  <c:v>Kingswells</c:v>
                </c:pt>
              </c:strCache>
            </c:strRef>
          </c:cat>
          <c:val>
            <c:numRef>
              <c:f>Sheet3!$D$2:$D$38</c:f>
              <c:numCache>
                <c:formatCode>0.0%</c:formatCode>
                <c:ptCount val="37"/>
                <c:pt idx="0">
                  <c:v>1.5738498789346248E-2</c:v>
                </c:pt>
                <c:pt idx="1">
                  <c:v>2.4534302589731941E-2</c:v>
                </c:pt>
                <c:pt idx="2">
                  <c:v>5.9587146201319427E-3</c:v>
                </c:pt>
                <c:pt idx="3">
                  <c:v>3.1977975434138078E-2</c:v>
                </c:pt>
                <c:pt idx="4">
                  <c:v>4.563579973416039E-2</c:v>
                </c:pt>
                <c:pt idx="5">
                  <c:v>4.585537918871252E-2</c:v>
                </c:pt>
                <c:pt idx="6">
                  <c:v>7.7676240208877284E-2</c:v>
                </c:pt>
                <c:pt idx="7">
                  <c:v>6.7081151832460731E-2</c:v>
                </c:pt>
                <c:pt idx="8">
                  <c:v>5.5152394775036286E-2</c:v>
                </c:pt>
                <c:pt idx="9">
                  <c:v>9.6085409252669035E-2</c:v>
                </c:pt>
                <c:pt idx="10">
                  <c:v>5.0073637702503684E-2</c:v>
                </c:pt>
                <c:pt idx="11">
                  <c:v>8.5057874430024549E-2</c:v>
                </c:pt>
                <c:pt idx="12">
                  <c:v>0.17748158540862854</c:v>
                </c:pt>
                <c:pt idx="13">
                  <c:v>0.137612448334549</c:v>
                </c:pt>
                <c:pt idx="14">
                  <c:v>0.17694117647058824</c:v>
                </c:pt>
                <c:pt idx="15">
                  <c:v>0.11616834888592649</c:v>
                </c:pt>
                <c:pt idx="16">
                  <c:v>0.28903274942878904</c:v>
                </c:pt>
                <c:pt idx="17">
                  <c:v>0.19112627986348124</c:v>
                </c:pt>
                <c:pt idx="18">
                  <c:v>0.31412253374870197</c:v>
                </c:pt>
                <c:pt idx="19">
                  <c:v>9.6590909090909088E-2</c:v>
                </c:pt>
                <c:pt idx="20">
                  <c:v>0.38870863075924722</c:v>
                </c:pt>
                <c:pt idx="21">
                  <c:v>0.17452006980802792</c:v>
                </c:pt>
                <c:pt idx="22">
                  <c:v>0.31844946025515208</c:v>
                </c:pt>
                <c:pt idx="23">
                  <c:v>0.59312482389405463</c:v>
                </c:pt>
                <c:pt idx="24">
                  <c:v>0.62173913043478257</c:v>
                </c:pt>
                <c:pt idx="25">
                  <c:v>0.2146031746031746</c:v>
                </c:pt>
                <c:pt idx="26">
                  <c:v>0.20410188554416142</c:v>
                </c:pt>
                <c:pt idx="27">
                  <c:v>0.17653569452130602</c:v>
                </c:pt>
                <c:pt idx="28">
                  <c:v>0.14045618247298919</c:v>
                </c:pt>
                <c:pt idx="29">
                  <c:v>0.67468671679198</c:v>
                </c:pt>
                <c:pt idx="30">
                  <c:v>0.64471939902783915</c:v>
                </c:pt>
                <c:pt idx="31">
                  <c:v>5.7224606580829757E-2</c:v>
                </c:pt>
                <c:pt idx="32">
                  <c:v>0.37845303867403313</c:v>
                </c:pt>
                <c:pt idx="33">
                  <c:v>0.18087182823682499</c:v>
                </c:pt>
                <c:pt idx="34">
                  <c:v>0.34070650379663253</c:v>
                </c:pt>
                <c:pt idx="35">
                  <c:v>0.23235075551151846</c:v>
                </c:pt>
                <c:pt idx="36">
                  <c:v>8.3490566037735844E-2</c:v>
                </c:pt>
              </c:numCache>
            </c:numRef>
          </c:val>
          <c:extLst>
            <c:ext xmlns:c16="http://schemas.microsoft.com/office/drawing/2014/chart" uri="{C3380CC4-5D6E-409C-BE32-E72D297353CC}">
              <c16:uniqueId val="{00000002-554A-4CF8-B2F8-79B91CC6674B}"/>
            </c:ext>
          </c:extLst>
        </c:ser>
        <c:ser>
          <c:idx val="3"/>
          <c:order val="3"/>
          <c:tx>
            <c:strRef>
              <c:f>Sheet3!$E$1</c:f>
              <c:strCache>
                <c:ptCount val="1"/>
                <c:pt idx="0">
                  <c:v>% Flat</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Sheet3!$A$2:$A$38</c:f>
              <c:strCache>
                <c:ptCount val="37"/>
                <c:pt idx="0">
                  <c:v>Seaton</c:v>
                </c:pt>
                <c:pt idx="1">
                  <c:v>City Centre</c:v>
                </c:pt>
                <c:pt idx="2">
                  <c:v>George Street </c:v>
                </c:pt>
                <c:pt idx="3">
                  <c:v>Hanover</c:v>
                </c:pt>
                <c:pt idx="4">
                  <c:v>Woodside</c:v>
                </c:pt>
                <c:pt idx="5">
                  <c:v>Rosemount</c:v>
                </c:pt>
                <c:pt idx="6">
                  <c:v>Ashgrove</c:v>
                </c:pt>
                <c:pt idx="7">
                  <c:v>Froghall, Powis &amp; Sunnybank</c:v>
                </c:pt>
                <c:pt idx="8">
                  <c:v>Old Aberdeen</c:v>
                </c:pt>
                <c:pt idx="9">
                  <c:v>Torry</c:v>
                </c:pt>
                <c:pt idx="10">
                  <c:v>Middlefield</c:v>
                </c:pt>
                <c:pt idx="11">
                  <c:v>Ferryhill</c:v>
                </c:pt>
                <c:pt idx="12">
                  <c:v>Tillydrone</c:v>
                </c:pt>
                <c:pt idx="13">
                  <c:v>Hilton</c:v>
                </c:pt>
                <c:pt idx="14">
                  <c:v>Stockethill</c:v>
                </c:pt>
                <c:pt idx="15">
                  <c:v>West End</c:v>
                </c:pt>
                <c:pt idx="16">
                  <c:v>Garthdee</c:v>
                </c:pt>
                <c:pt idx="17">
                  <c:v>Midstocket</c:v>
                </c:pt>
                <c:pt idx="18">
                  <c:v>Summerhill</c:v>
                </c:pt>
                <c:pt idx="19">
                  <c:v>*Braeside, Mannofield</c:v>
                </c:pt>
                <c:pt idx="20">
                  <c:v>Kincorth, Leggart &amp; Nigg</c:v>
                </c:pt>
                <c:pt idx="21">
                  <c:v>Culter </c:v>
                </c:pt>
                <c:pt idx="22">
                  <c:v>Bucksburn</c:v>
                </c:pt>
                <c:pt idx="23">
                  <c:v>Mastrick</c:v>
                </c:pt>
                <c:pt idx="24">
                  <c:v>Heathryfold</c:v>
                </c:pt>
                <c:pt idx="25">
                  <c:v>Dyce</c:v>
                </c:pt>
                <c:pt idx="26">
                  <c:v>Balgownie &amp; Donmouth</c:v>
                </c:pt>
                <c:pt idx="27">
                  <c:v>Danestone</c:v>
                </c:pt>
                <c:pt idx="28">
                  <c:v>Hazlehead</c:v>
                </c:pt>
                <c:pt idx="29">
                  <c:v>Sheddocksley</c:v>
                </c:pt>
                <c:pt idx="30">
                  <c:v>Northfield</c:v>
                </c:pt>
                <c:pt idx="31">
                  <c:v>Cults, Bieldside &amp; Milltimber</c:v>
                </c:pt>
                <c:pt idx="32">
                  <c:v>Cummings Park</c:v>
                </c:pt>
                <c:pt idx="33">
                  <c:v>Denmore</c:v>
                </c:pt>
                <c:pt idx="34">
                  <c:v>Cove</c:v>
                </c:pt>
                <c:pt idx="35">
                  <c:v>Oldmachar</c:v>
                </c:pt>
                <c:pt idx="36">
                  <c:v>Kingswells</c:v>
                </c:pt>
              </c:strCache>
            </c:strRef>
          </c:cat>
          <c:val>
            <c:numRef>
              <c:f>Sheet3!$E$2:$E$38</c:f>
              <c:numCache>
                <c:formatCode>0.0%</c:formatCode>
                <c:ptCount val="37"/>
                <c:pt idx="0">
                  <c:v>0.96761501210653755</c:v>
                </c:pt>
                <c:pt idx="1">
                  <c:v>0.96660608814175375</c:v>
                </c:pt>
                <c:pt idx="2">
                  <c:v>0.96531176846137479</c:v>
                </c:pt>
                <c:pt idx="3">
                  <c:v>0.95828038966539597</c:v>
                </c:pt>
                <c:pt idx="4">
                  <c:v>0.90474080638015064</c:v>
                </c:pt>
                <c:pt idx="5">
                  <c:v>0.88888888888888884</c:v>
                </c:pt>
                <c:pt idx="6">
                  <c:v>0.87663185378590081</c:v>
                </c:pt>
                <c:pt idx="7">
                  <c:v>0.87041884816753923</c:v>
                </c:pt>
                <c:pt idx="8">
                  <c:v>0.83236574746008707</c:v>
                </c:pt>
                <c:pt idx="9">
                  <c:v>0.82419928825622779</c:v>
                </c:pt>
                <c:pt idx="10">
                  <c:v>0.7812960235640648</c:v>
                </c:pt>
                <c:pt idx="11">
                  <c:v>0.77218519817607856</c:v>
                </c:pt>
                <c:pt idx="12">
                  <c:v>0.73447913012977906</c:v>
                </c:pt>
                <c:pt idx="13">
                  <c:v>0.71310478969122293</c:v>
                </c:pt>
                <c:pt idx="14">
                  <c:v>0.69599999999999995</c:v>
                </c:pt>
                <c:pt idx="15">
                  <c:v>0.67034850504665777</c:v>
                </c:pt>
                <c:pt idx="16">
                  <c:v>0.50456968773800459</c:v>
                </c:pt>
                <c:pt idx="17">
                  <c:v>0.50170648464163825</c:v>
                </c:pt>
                <c:pt idx="18">
                  <c:v>0.44652128764278298</c:v>
                </c:pt>
                <c:pt idx="19">
                  <c:v>0.38770933014354064</c:v>
                </c:pt>
                <c:pt idx="20">
                  <c:v>0.36837551373566946</c:v>
                </c:pt>
                <c:pt idx="21">
                  <c:v>0.36431064572425831</c:v>
                </c:pt>
                <c:pt idx="22">
                  <c:v>0.34739941118743867</c:v>
                </c:pt>
                <c:pt idx="23">
                  <c:v>0.30318399549168779</c:v>
                </c:pt>
                <c:pt idx="24">
                  <c:v>0.28152173913043477</c:v>
                </c:pt>
                <c:pt idx="25">
                  <c:v>0.26444444444444443</c:v>
                </c:pt>
                <c:pt idx="26">
                  <c:v>0.23850479655970891</c:v>
                </c:pt>
                <c:pt idx="27">
                  <c:v>0.22634200332042059</c:v>
                </c:pt>
                <c:pt idx="28">
                  <c:v>0.22529011604641858</c:v>
                </c:pt>
                <c:pt idx="29">
                  <c:v>0.19849624060150375</c:v>
                </c:pt>
                <c:pt idx="30">
                  <c:v>0.16040653999116217</c:v>
                </c:pt>
                <c:pt idx="31">
                  <c:v>0.14806866952789699</c:v>
                </c:pt>
                <c:pt idx="32">
                  <c:v>0.13535911602209943</c:v>
                </c:pt>
                <c:pt idx="33">
                  <c:v>0.12296681847755368</c:v>
                </c:pt>
                <c:pt idx="34">
                  <c:v>9.0789039286893358E-2</c:v>
                </c:pt>
                <c:pt idx="35">
                  <c:v>5.4991330195689872E-2</c:v>
                </c:pt>
                <c:pt idx="36">
                  <c:v>1.7924528301886792E-2</c:v>
                </c:pt>
              </c:numCache>
            </c:numRef>
          </c:val>
          <c:extLst>
            <c:ext xmlns:c16="http://schemas.microsoft.com/office/drawing/2014/chart" uri="{C3380CC4-5D6E-409C-BE32-E72D297353CC}">
              <c16:uniqueId val="{00000003-554A-4CF8-B2F8-79B91CC6674B}"/>
            </c:ext>
          </c:extLst>
        </c:ser>
        <c:dLbls>
          <c:showLegendKey val="0"/>
          <c:showVal val="0"/>
          <c:showCatName val="0"/>
          <c:showSerName val="0"/>
          <c:showPercent val="0"/>
          <c:showBubbleSize val="0"/>
        </c:dLbls>
        <c:gapWidth val="20"/>
        <c:overlap val="100"/>
        <c:axId val="714615480"/>
        <c:axId val="714614824"/>
      </c:barChart>
      <c:catAx>
        <c:axId val="714615480"/>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50" b="0" i="0" u="none" strike="noStrike" kern="1200" baseline="0">
                <a:solidFill>
                  <a:schemeClr val="tx2"/>
                </a:solidFill>
                <a:latin typeface="+mn-lt"/>
                <a:ea typeface="+mn-ea"/>
                <a:cs typeface="+mn-cs"/>
              </a:defRPr>
            </a:pPr>
            <a:endParaRPr lang="en-US"/>
          </a:p>
        </c:txPr>
        <c:crossAx val="714614824"/>
        <c:crosses val="autoZero"/>
        <c:auto val="1"/>
        <c:lblAlgn val="ctr"/>
        <c:lblOffset val="100"/>
        <c:tickLblSkip val="1"/>
        <c:noMultiLvlLbl val="0"/>
      </c:catAx>
      <c:valAx>
        <c:axId val="714614824"/>
        <c:scaling>
          <c:orientation val="minMax"/>
          <c:max val="1"/>
        </c:scaling>
        <c:delete val="0"/>
        <c:axPos val="b"/>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crossAx val="714615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r>
              <a:rPr lang="en-GB" sz="1200" b="0"/>
              <a:t>Household tenure by neighbourhood, Aberdeen City, 2011</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endParaRPr lang="en-US"/>
        </a:p>
      </c:txPr>
    </c:title>
    <c:autoTitleDeleted val="0"/>
    <c:plotArea>
      <c:layout/>
      <c:barChart>
        <c:barDir val="bar"/>
        <c:grouping val="stacked"/>
        <c:varyColors val="0"/>
        <c:ser>
          <c:idx val="0"/>
          <c:order val="0"/>
          <c:tx>
            <c:strRef>
              <c:f>Sheet2!$B$43</c:f>
              <c:strCache>
                <c:ptCount val="1"/>
                <c:pt idx="0">
                  <c:v>Owned</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Sheet2!$A$44:$A$81</c:f>
              <c:strCache>
                <c:ptCount val="38"/>
                <c:pt idx="0">
                  <c:v>Middlefield</c:v>
                </c:pt>
                <c:pt idx="1">
                  <c:v>Seaton</c:v>
                </c:pt>
                <c:pt idx="2">
                  <c:v>Tillydrone</c:v>
                </c:pt>
                <c:pt idx="3">
                  <c:v>George Street</c:v>
                </c:pt>
                <c:pt idx="4">
                  <c:v>Froghall, Powis &amp; Sunnybank</c:v>
                </c:pt>
                <c:pt idx="5">
                  <c:v>Hanover</c:v>
                </c:pt>
                <c:pt idx="6">
                  <c:v>Torry</c:v>
                </c:pt>
                <c:pt idx="7">
                  <c:v>City Centre</c:v>
                </c:pt>
                <c:pt idx="8">
                  <c:v>Old Aberdeen</c:v>
                </c:pt>
                <c:pt idx="9">
                  <c:v>Woodside</c:v>
                </c:pt>
                <c:pt idx="10">
                  <c:v>Stockethill</c:v>
                </c:pt>
                <c:pt idx="11">
                  <c:v>Garthdee</c:v>
                </c:pt>
                <c:pt idx="12">
                  <c:v>Cummings Park</c:v>
                </c:pt>
                <c:pt idx="13">
                  <c:v>Ashgrove</c:v>
                </c:pt>
                <c:pt idx="14">
                  <c:v>Rosemount</c:v>
                </c:pt>
                <c:pt idx="15">
                  <c:v>Northfield</c:v>
                </c:pt>
                <c:pt idx="16">
                  <c:v>Mastrick</c:v>
                </c:pt>
                <c:pt idx="17">
                  <c:v>Sheddocksley</c:v>
                </c:pt>
                <c:pt idx="18">
                  <c:v>Summerhill</c:v>
                </c:pt>
                <c:pt idx="19">
                  <c:v>Hilton</c:v>
                </c:pt>
                <c:pt idx="20">
                  <c:v>Heathryfold</c:v>
                </c:pt>
                <c:pt idx="21">
                  <c:v>Aberdeen City</c:v>
                </c:pt>
                <c:pt idx="22">
                  <c:v>Ferryhill</c:v>
                </c:pt>
                <c:pt idx="23">
                  <c:v>Kincorth, Leggart &amp; Nigg</c:v>
                </c:pt>
                <c:pt idx="24">
                  <c:v>West End</c:v>
                </c:pt>
                <c:pt idx="25">
                  <c:v>Bucksburn</c:v>
                </c:pt>
                <c:pt idx="26">
                  <c:v>Hazlehead</c:v>
                </c:pt>
                <c:pt idx="27">
                  <c:v>Culter</c:v>
                </c:pt>
                <c:pt idx="28">
                  <c:v>Dyce</c:v>
                </c:pt>
                <c:pt idx="29">
                  <c:v>Midstocket</c:v>
                </c:pt>
                <c:pt idx="30">
                  <c:v>Balgownie &amp; Donmouth</c:v>
                </c:pt>
                <c:pt idx="31">
                  <c:v>Braeside, Mannofield, Broomhill &amp; Seafield</c:v>
                </c:pt>
                <c:pt idx="32">
                  <c:v>Cults, Bieldside &amp; Milltimber</c:v>
                </c:pt>
                <c:pt idx="33">
                  <c:v>Denmore</c:v>
                </c:pt>
                <c:pt idx="34">
                  <c:v>Danestone</c:v>
                </c:pt>
                <c:pt idx="35">
                  <c:v>Kingswells</c:v>
                </c:pt>
                <c:pt idx="36">
                  <c:v>Cove</c:v>
                </c:pt>
                <c:pt idx="37">
                  <c:v>Oldmachar</c:v>
                </c:pt>
              </c:strCache>
            </c:strRef>
          </c:cat>
          <c:val>
            <c:numRef>
              <c:f>Sheet2!$B$44:$B$81</c:f>
              <c:numCache>
                <c:formatCode>0.0%</c:formatCode>
                <c:ptCount val="38"/>
                <c:pt idx="0">
                  <c:v>0.19005328596802842</c:v>
                </c:pt>
                <c:pt idx="1">
                  <c:v>0.23163507109004738</c:v>
                </c:pt>
                <c:pt idx="2">
                  <c:v>0.25383920505871727</c:v>
                </c:pt>
                <c:pt idx="3">
                  <c:v>0.28672680412371132</c:v>
                </c:pt>
                <c:pt idx="4">
                  <c:v>0.33296172426607207</c:v>
                </c:pt>
                <c:pt idx="5">
                  <c:v>0.33464877663772691</c:v>
                </c:pt>
                <c:pt idx="6">
                  <c:v>0.3481074720533438</c:v>
                </c:pt>
                <c:pt idx="7">
                  <c:v>0.35531788472964942</c:v>
                </c:pt>
                <c:pt idx="8">
                  <c:v>0.35897435897435898</c:v>
                </c:pt>
                <c:pt idx="9">
                  <c:v>0.36636294608959757</c:v>
                </c:pt>
                <c:pt idx="10">
                  <c:v>0.39659618359979371</c:v>
                </c:pt>
                <c:pt idx="11">
                  <c:v>0.43840889649272885</c:v>
                </c:pt>
                <c:pt idx="12">
                  <c:v>0.43958868894601544</c:v>
                </c:pt>
                <c:pt idx="13">
                  <c:v>0.4457917261055635</c:v>
                </c:pt>
                <c:pt idx="14">
                  <c:v>0.47532777115613828</c:v>
                </c:pt>
                <c:pt idx="15">
                  <c:v>0.49912280701754386</c:v>
                </c:pt>
                <c:pt idx="16">
                  <c:v>0.50595410978797561</c:v>
                </c:pt>
                <c:pt idx="17">
                  <c:v>0.53235908141962418</c:v>
                </c:pt>
                <c:pt idx="18">
                  <c:v>0.53325688073394495</c:v>
                </c:pt>
                <c:pt idx="19">
                  <c:v>0.56001179593040407</c:v>
                </c:pt>
                <c:pt idx="20">
                  <c:v>0.57276368491321761</c:v>
                </c:pt>
                <c:pt idx="21">
                  <c:v>0.57278153447291791</c:v>
                </c:pt>
                <c:pt idx="22">
                  <c:v>0.57787265639502505</c:v>
                </c:pt>
                <c:pt idx="23">
                  <c:v>0.64028398632658423</c:v>
                </c:pt>
                <c:pt idx="24">
                  <c:v>0.64655710422300816</c:v>
                </c:pt>
                <c:pt idx="25">
                  <c:v>0.66666666666666663</c:v>
                </c:pt>
                <c:pt idx="26">
                  <c:v>0.73959218351741718</c:v>
                </c:pt>
                <c:pt idx="27">
                  <c:v>0.74705349048050773</c:v>
                </c:pt>
                <c:pt idx="28">
                  <c:v>0.75846153846153841</c:v>
                </c:pt>
                <c:pt idx="29">
                  <c:v>0.76505429417571569</c:v>
                </c:pt>
                <c:pt idx="30">
                  <c:v>0.76955454226587161</c:v>
                </c:pt>
                <c:pt idx="31">
                  <c:v>0.79476763080922974</c:v>
                </c:pt>
                <c:pt idx="32">
                  <c:v>0.85543152736182959</c:v>
                </c:pt>
                <c:pt idx="33">
                  <c:v>0.86422764227642279</c:v>
                </c:pt>
                <c:pt idx="34">
                  <c:v>0.86453744493392071</c:v>
                </c:pt>
                <c:pt idx="35">
                  <c:v>0.88116100766703176</c:v>
                </c:pt>
                <c:pt idx="36">
                  <c:v>0.88117533096545042</c:v>
                </c:pt>
                <c:pt idx="37">
                  <c:v>0.89749123280280552</c:v>
                </c:pt>
              </c:numCache>
            </c:numRef>
          </c:val>
          <c:extLst>
            <c:ext xmlns:c16="http://schemas.microsoft.com/office/drawing/2014/chart" uri="{C3380CC4-5D6E-409C-BE32-E72D297353CC}">
              <c16:uniqueId val="{00000000-A786-4759-B3B8-B020A03A6C10}"/>
            </c:ext>
          </c:extLst>
        </c:ser>
        <c:ser>
          <c:idx val="1"/>
          <c:order val="1"/>
          <c:tx>
            <c:strRef>
              <c:f>Sheet2!$C$43</c:f>
              <c:strCache>
                <c:ptCount val="1"/>
                <c:pt idx="0">
                  <c:v>Social rented</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Sheet2!$A$44:$A$81</c:f>
              <c:strCache>
                <c:ptCount val="38"/>
                <c:pt idx="0">
                  <c:v>Middlefield</c:v>
                </c:pt>
                <c:pt idx="1">
                  <c:v>Seaton</c:v>
                </c:pt>
                <c:pt idx="2">
                  <c:v>Tillydrone</c:v>
                </c:pt>
                <c:pt idx="3">
                  <c:v>George Street</c:v>
                </c:pt>
                <c:pt idx="4">
                  <c:v>Froghall, Powis &amp; Sunnybank</c:v>
                </c:pt>
                <c:pt idx="5">
                  <c:v>Hanover</c:v>
                </c:pt>
                <c:pt idx="6">
                  <c:v>Torry</c:v>
                </c:pt>
                <c:pt idx="7">
                  <c:v>City Centre</c:v>
                </c:pt>
                <c:pt idx="8">
                  <c:v>Old Aberdeen</c:v>
                </c:pt>
                <c:pt idx="9">
                  <c:v>Woodside</c:v>
                </c:pt>
                <c:pt idx="10">
                  <c:v>Stockethill</c:v>
                </c:pt>
                <c:pt idx="11">
                  <c:v>Garthdee</c:v>
                </c:pt>
                <c:pt idx="12">
                  <c:v>Cummings Park</c:v>
                </c:pt>
                <c:pt idx="13">
                  <c:v>Ashgrove</c:v>
                </c:pt>
                <c:pt idx="14">
                  <c:v>Rosemount</c:v>
                </c:pt>
                <c:pt idx="15">
                  <c:v>Northfield</c:v>
                </c:pt>
                <c:pt idx="16">
                  <c:v>Mastrick</c:v>
                </c:pt>
                <c:pt idx="17">
                  <c:v>Sheddocksley</c:v>
                </c:pt>
                <c:pt idx="18">
                  <c:v>Summerhill</c:v>
                </c:pt>
                <c:pt idx="19">
                  <c:v>Hilton</c:v>
                </c:pt>
                <c:pt idx="20">
                  <c:v>Heathryfold</c:v>
                </c:pt>
                <c:pt idx="21">
                  <c:v>Aberdeen City</c:v>
                </c:pt>
                <c:pt idx="22">
                  <c:v>Ferryhill</c:v>
                </c:pt>
                <c:pt idx="23">
                  <c:v>Kincorth, Leggart &amp; Nigg</c:v>
                </c:pt>
                <c:pt idx="24">
                  <c:v>West End</c:v>
                </c:pt>
                <c:pt idx="25">
                  <c:v>Bucksburn</c:v>
                </c:pt>
                <c:pt idx="26">
                  <c:v>Hazlehead</c:v>
                </c:pt>
                <c:pt idx="27">
                  <c:v>Culter</c:v>
                </c:pt>
                <c:pt idx="28">
                  <c:v>Dyce</c:v>
                </c:pt>
                <c:pt idx="29">
                  <c:v>Midstocket</c:v>
                </c:pt>
                <c:pt idx="30">
                  <c:v>Balgownie &amp; Donmouth</c:v>
                </c:pt>
                <c:pt idx="31">
                  <c:v>Braeside, Mannofield, Broomhill &amp; Seafield</c:v>
                </c:pt>
                <c:pt idx="32">
                  <c:v>Cults, Bieldside &amp; Milltimber</c:v>
                </c:pt>
                <c:pt idx="33">
                  <c:v>Denmore</c:v>
                </c:pt>
                <c:pt idx="34">
                  <c:v>Danestone</c:v>
                </c:pt>
                <c:pt idx="35">
                  <c:v>Kingswells</c:v>
                </c:pt>
                <c:pt idx="36">
                  <c:v>Cove</c:v>
                </c:pt>
                <c:pt idx="37">
                  <c:v>Oldmachar</c:v>
                </c:pt>
              </c:strCache>
            </c:strRef>
          </c:cat>
          <c:val>
            <c:numRef>
              <c:f>Sheet2!$C$44:$C$81</c:f>
              <c:numCache>
                <c:formatCode>0.0%</c:formatCode>
                <c:ptCount val="38"/>
                <c:pt idx="0">
                  <c:v>0.76465364120781532</c:v>
                </c:pt>
                <c:pt idx="1">
                  <c:v>0.58678909952606639</c:v>
                </c:pt>
                <c:pt idx="2">
                  <c:v>0.68112014453477865</c:v>
                </c:pt>
                <c:pt idx="3">
                  <c:v>0.3237757731958763</c:v>
                </c:pt>
                <c:pt idx="4">
                  <c:v>0.25269416573764397</c:v>
                </c:pt>
                <c:pt idx="5">
                  <c:v>0.2528282031044462</c:v>
                </c:pt>
                <c:pt idx="6">
                  <c:v>0.48107472053343792</c:v>
                </c:pt>
                <c:pt idx="7">
                  <c:v>0.15715983363042185</c:v>
                </c:pt>
                <c:pt idx="8">
                  <c:v>0.20854700854700856</c:v>
                </c:pt>
                <c:pt idx="9">
                  <c:v>0.46886864085041763</c:v>
                </c:pt>
                <c:pt idx="10">
                  <c:v>0.49664775657555443</c:v>
                </c:pt>
                <c:pt idx="11">
                  <c:v>0.35158254918733961</c:v>
                </c:pt>
                <c:pt idx="12">
                  <c:v>0.51670951156812339</c:v>
                </c:pt>
                <c:pt idx="13">
                  <c:v>0.27746077032810273</c:v>
                </c:pt>
                <c:pt idx="14">
                  <c:v>0.16686531585220502</c:v>
                </c:pt>
                <c:pt idx="15">
                  <c:v>0.45833333333333331</c:v>
                </c:pt>
                <c:pt idx="16">
                  <c:v>0.45106012198663958</c:v>
                </c:pt>
                <c:pt idx="17">
                  <c:v>0.4232776617954071</c:v>
                </c:pt>
                <c:pt idx="18">
                  <c:v>0.38245412844036697</c:v>
                </c:pt>
                <c:pt idx="19">
                  <c:v>0.29902683574166911</c:v>
                </c:pt>
                <c:pt idx="20">
                  <c:v>0.40320427236315087</c:v>
                </c:pt>
                <c:pt idx="21">
                  <c:v>0.24362732294357217</c:v>
                </c:pt>
                <c:pt idx="22">
                  <c:v>0.10451085947651755</c:v>
                </c:pt>
                <c:pt idx="23">
                  <c:v>0.30134104654220351</c:v>
                </c:pt>
                <c:pt idx="24">
                  <c:v>2.8708133971291867E-2</c:v>
                </c:pt>
                <c:pt idx="25">
                  <c:v>0.22222222222222221</c:v>
                </c:pt>
                <c:pt idx="26">
                  <c:v>0.15505522514868308</c:v>
                </c:pt>
                <c:pt idx="27">
                  <c:v>0.14097914777878512</c:v>
                </c:pt>
                <c:pt idx="28">
                  <c:v>0.16076923076923078</c:v>
                </c:pt>
                <c:pt idx="29">
                  <c:v>8.1934846989141163E-2</c:v>
                </c:pt>
                <c:pt idx="30">
                  <c:v>0.15783935461241669</c:v>
                </c:pt>
                <c:pt idx="31">
                  <c:v>3.6399090022749429E-2</c:v>
                </c:pt>
                <c:pt idx="32">
                  <c:v>2.7225701061802342E-2</c:v>
                </c:pt>
                <c:pt idx="33">
                  <c:v>4.1463414634146344E-2</c:v>
                </c:pt>
                <c:pt idx="34">
                  <c:v>1.1013215859030838E-2</c:v>
                </c:pt>
                <c:pt idx="35">
                  <c:v>3.5596933187294635E-2</c:v>
                </c:pt>
                <c:pt idx="36">
                  <c:v>5.5537617048756864E-2</c:v>
                </c:pt>
                <c:pt idx="37">
                  <c:v>4.8017264634475317E-2</c:v>
                </c:pt>
              </c:numCache>
            </c:numRef>
          </c:val>
          <c:extLst>
            <c:ext xmlns:c16="http://schemas.microsoft.com/office/drawing/2014/chart" uri="{C3380CC4-5D6E-409C-BE32-E72D297353CC}">
              <c16:uniqueId val="{00000001-A786-4759-B3B8-B020A03A6C10}"/>
            </c:ext>
          </c:extLst>
        </c:ser>
        <c:ser>
          <c:idx val="2"/>
          <c:order val="2"/>
          <c:tx>
            <c:strRef>
              <c:f>Sheet2!$D$43</c:f>
              <c:strCache>
                <c:ptCount val="1"/>
                <c:pt idx="0">
                  <c:v>Private rented</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Sheet2!$A$44:$A$81</c:f>
              <c:strCache>
                <c:ptCount val="38"/>
                <c:pt idx="0">
                  <c:v>Middlefield</c:v>
                </c:pt>
                <c:pt idx="1">
                  <c:v>Seaton</c:v>
                </c:pt>
                <c:pt idx="2">
                  <c:v>Tillydrone</c:v>
                </c:pt>
                <c:pt idx="3">
                  <c:v>George Street</c:v>
                </c:pt>
                <c:pt idx="4">
                  <c:v>Froghall, Powis &amp; Sunnybank</c:v>
                </c:pt>
                <c:pt idx="5">
                  <c:v>Hanover</c:v>
                </c:pt>
                <c:pt idx="6">
                  <c:v>Torry</c:v>
                </c:pt>
                <c:pt idx="7">
                  <c:v>City Centre</c:v>
                </c:pt>
                <c:pt idx="8">
                  <c:v>Old Aberdeen</c:v>
                </c:pt>
                <c:pt idx="9">
                  <c:v>Woodside</c:v>
                </c:pt>
                <c:pt idx="10">
                  <c:v>Stockethill</c:v>
                </c:pt>
                <c:pt idx="11">
                  <c:v>Garthdee</c:v>
                </c:pt>
                <c:pt idx="12">
                  <c:v>Cummings Park</c:v>
                </c:pt>
                <c:pt idx="13">
                  <c:v>Ashgrove</c:v>
                </c:pt>
                <c:pt idx="14">
                  <c:v>Rosemount</c:v>
                </c:pt>
                <c:pt idx="15">
                  <c:v>Northfield</c:v>
                </c:pt>
                <c:pt idx="16">
                  <c:v>Mastrick</c:v>
                </c:pt>
                <c:pt idx="17">
                  <c:v>Sheddocksley</c:v>
                </c:pt>
                <c:pt idx="18">
                  <c:v>Summerhill</c:v>
                </c:pt>
                <c:pt idx="19">
                  <c:v>Hilton</c:v>
                </c:pt>
                <c:pt idx="20">
                  <c:v>Heathryfold</c:v>
                </c:pt>
                <c:pt idx="21">
                  <c:v>Aberdeen City</c:v>
                </c:pt>
                <c:pt idx="22">
                  <c:v>Ferryhill</c:v>
                </c:pt>
                <c:pt idx="23">
                  <c:v>Kincorth, Leggart &amp; Nigg</c:v>
                </c:pt>
                <c:pt idx="24">
                  <c:v>West End</c:v>
                </c:pt>
                <c:pt idx="25">
                  <c:v>Bucksburn</c:v>
                </c:pt>
                <c:pt idx="26">
                  <c:v>Hazlehead</c:v>
                </c:pt>
                <c:pt idx="27">
                  <c:v>Culter</c:v>
                </c:pt>
                <c:pt idx="28">
                  <c:v>Dyce</c:v>
                </c:pt>
                <c:pt idx="29">
                  <c:v>Midstocket</c:v>
                </c:pt>
                <c:pt idx="30">
                  <c:v>Balgownie &amp; Donmouth</c:v>
                </c:pt>
                <c:pt idx="31">
                  <c:v>Braeside, Mannofield, Broomhill &amp; Seafield</c:v>
                </c:pt>
                <c:pt idx="32">
                  <c:v>Cults, Bieldside &amp; Milltimber</c:v>
                </c:pt>
                <c:pt idx="33">
                  <c:v>Denmore</c:v>
                </c:pt>
                <c:pt idx="34">
                  <c:v>Danestone</c:v>
                </c:pt>
                <c:pt idx="35">
                  <c:v>Kingswells</c:v>
                </c:pt>
                <c:pt idx="36">
                  <c:v>Cove</c:v>
                </c:pt>
                <c:pt idx="37">
                  <c:v>Oldmachar</c:v>
                </c:pt>
              </c:strCache>
            </c:strRef>
          </c:cat>
          <c:val>
            <c:numRef>
              <c:f>Sheet2!$D$44:$D$81</c:f>
              <c:numCache>
                <c:formatCode>0.0%</c:formatCode>
                <c:ptCount val="38"/>
                <c:pt idx="0">
                  <c:v>4.5293072824156302E-2</c:v>
                </c:pt>
                <c:pt idx="1">
                  <c:v>0.16676540284360189</c:v>
                </c:pt>
                <c:pt idx="2">
                  <c:v>6.1878952122854561E-2</c:v>
                </c:pt>
                <c:pt idx="3">
                  <c:v>0.37242268041237114</c:v>
                </c:pt>
                <c:pt idx="4">
                  <c:v>0.39204756596060941</c:v>
                </c:pt>
                <c:pt idx="5">
                  <c:v>0.39094975006577215</c:v>
                </c:pt>
                <c:pt idx="6">
                  <c:v>0.16061972935869778</c:v>
                </c:pt>
                <c:pt idx="7">
                  <c:v>0.47088532382650028</c:v>
                </c:pt>
                <c:pt idx="8">
                  <c:v>0.40170940170940173</c:v>
                </c:pt>
                <c:pt idx="9">
                  <c:v>0.15755504935459377</c:v>
                </c:pt>
                <c:pt idx="10">
                  <c:v>9.6441464672511606E-2</c:v>
                </c:pt>
                <c:pt idx="11">
                  <c:v>0.19546621043627033</c:v>
                </c:pt>
                <c:pt idx="12">
                  <c:v>3.2133676092544985E-2</c:v>
                </c:pt>
                <c:pt idx="13">
                  <c:v>0.25820256776034239</c:v>
                </c:pt>
                <c:pt idx="14">
                  <c:v>0.34469606674612635</c:v>
                </c:pt>
                <c:pt idx="15">
                  <c:v>3.5526315789473684E-2</c:v>
                </c:pt>
                <c:pt idx="16">
                  <c:v>3.3691548068544873E-2</c:v>
                </c:pt>
                <c:pt idx="17">
                  <c:v>3.5490605427974949E-2</c:v>
                </c:pt>
                <c:pt idx="18">
                  <c:v>7.3394495412844041E-2</c:v>
                </c:pt>
                <c:pt idx="19">
                  <c:v>0.12710115010321438</c:v>
                </c:pt>
                <c:pt idx="20">
                  <c:v>2.1361815754339118E-2</c:v>
                </c:pt>
                <c:pt idx="21">
                  <c:v>0.17008638786506855</c:v>
                </c:pt>
                <c:pt idx="22">
                  <c:v>0.30053833302394656</c:v>
                </c:pt>
                <c:pt idx="23">
                  <c:v>4.5227452011569816E-2</c:v>
                </c:pt>
                <c:pt idx="24">
                  <c:v>0.30060328687330978</c:v>
                </c:pt>
                <c:pt idx="25">
                  <c:v>9.4185094185094187E-2</c:v>
                </c:pt>
                <c:pt idx="26">
                  <c:v>9.0909090909090912E-2</c:v>
                </c:pt>
                <c:pt idx="27">
                  <c:v>9.8821396192203079E-2</c:v>
                </c:pt>
                <c:pt idx="28">
                  <c:v>6.6923076923076918E-2</c:v>
                </c:pt>
                <c:pt idx="29">
                  <c:v>0.140177690029615</c:v>
                </c:pt>
                <c:pt idx="30">
                  <c:v>5.8575938267274641E-2</c:v>
                </c:pt>
                <c:pt idx="31">
                  <c:v>0.15599610009749756</c:v>
                </c:pt>
                <c:pt idx="32">
                  <c:v>0.10264089300299482</c:v>
                </c:pt>
                <c:pt idx="33">
                  <c:v>8.4552845528455281E-2</c:v>
                </c:pt>
                <c:pt idx="34">
                  <c:v>0.11343612334801761</c:v>
                </c:pt>
                <c:pt idx="35">
                  <c:v>7.3384446878422785E-2</c:v>
                </c:pt>
                <c:pt idx="36">
                  <c:v>5.3923151436874393E-2</c:v>
                </c:pt>
                <c:pt idx="37">
                  <c:v>4.7747504720798487E-2</c:v>
                </c:pt>
              </c:numCache>
            </c:numRef>
          </c:val>
          <c:extLst>
            <c:ext xmlns:c16="http://schemas.microsoft.com/office/drawing/2014/chart" uri="{C3380CC4-5D6E-409C-BE32-E72D297353CC}">
              <c16:uniqueId val="{00000002-A786-4759-B3B8-B020A03A6C10}"/>
            </c:ext>
          </c:extLst>
        </c:ser>
        <c:ser>
          <c:idx val="3"/>
          <c:order val="3"/>
          <c:tx>
            <c:strRef>
              <c:f>Sheet2!$E$43</c:f>
              <c:strCache>
                <c:ptCount val="1"/>
                <c:pt idx="0">
                  <c:v>Living rent free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Sheet2!$A$44:$A$81</c:f>
              <c:strCache>
                <c:ptCount val="38"/>
                <c:pt idx="0">
                  <c:v>Middlefield</c:v>
                </c:pt>
                <c:pt idx="1">
                  <c:v>Seaton</c:v>
                </c:pt>
                <c:pt idx="2">
                  <c:v>Tillydrone</c:v>
                </c:pt>
                <c:pt idx="3">
                  <c:v>George Street</c:v>
                </c:pt>
                <c:pt idx="4">
                  <c:v>Froghall, Powis &amp; Sunnybank</c:v>
                </c:pt>
                <c:pt idx="5">
                  <c:v>Hanover</c:v>
                </c:pt>
                <c:pt idx="6">
                  <c:v>Torry</c:v>
                </c:pt>
                <c:pt idx="7">
                  <c:v>City Centre</c:v>
                </c:pt>
                <c:pt idx="8">
                  <c:v>Old Aberdeen</c:v>
                </c:pt>
                <c:pt idx="9">
                  <c:v>Woodside</c:v>
                </c:pt>
                <c:pt idx="10">
                  <c:v>Stockethill</c:v>
                </c:pt>
                <c:pt idx="11">
                  <c:v>Garthdee</c:v>
                </c:pt>
                <c:pt idx="12">
                  <c:v>Cummings Park</c:v>
                </c:pt>
                <c:pt idx="13">
                  <c:v>Ashgrove</c:v>
                </c:pt>
                <c:pt idx="14">
                  <c:v>Rosemount</c:v>
                </c:pt>
                <c:pt idx="15">
                  <c:v>Northfield</c:v>
                </c:pt>
                <c:pt idx="16">
                  <c:v>Mastrick</c:v>
                </c:pt>
                <c:pt idx="17">
                  <c:v>Sheddocksley</c:v>
                </c:pt>
                <c:pt idx="18">
                  <c:v>Summerhill</c:v>
                </c:pt>
                <c:pt idx="19">
                  <c:v>Hilton</c:v>
                </c:pt>
                <c:pt idx="20">
                  <c:v>Heathryfold</c:v>
                </c:pt>
                <c:pt idx="21">
                  <c:v>Aberdeen City</c:v>
                </c:pt>
                <c:pt idx="22">
                  <c:v>Ferryhill</c:v>
                </c:pt>
                <c:pt idx="23">
                  <c:v>Kincorth, Leggart &amp; Nigg</c:v>
                </c:pt>
                <c:pt idx="24">
                  <c:v>West End</c:v>
                </c:pt>
                <c:pt idx="25">
                  <c:v>Bucksburn</c:v>
                </c:pt>
                <c:pt idx="26">
                  <c:v>Hazlehead</c:v>
                </c:pt>
                <c:pt idx="27">
                  <c:v>Culter</c:v>
                </c:pt>
                <c:pt idx="28">
                  <c:v>Dyce</c:v>
                </c:pt>
                <c:pt idx="29">
                  <c:v>Midstocket</c:v>
                </c:pt>
                <c:pt idx="30">
                  <c:v>Balgownie &amp; Donmouth</c:v>
                </c:pt>
                <c:pt idx="31">
                  <c:v>Braeside, Mannofield, Broomhill &amp; Seafield</c:v>
                </c:pt>
                <c:pt idx="32">
                  <c:v>Cults, Bieldside &amp; Milltimber</c:v>
                </c:pt>
                <c:pt idx="33">
                  <c:v>Denmore</c:v>
                </c:pt>
                <c:pt idx="34">
                  <c:v>Danestone</c:v>
                </c:pt>
                <c:pt idx="35">
                  <c:v>Kingswells</c:v>
                </c:pt>
                <c:pt idx="36">
                  <c:v>Cove</c:v>
                </c:pt>
                <c:pt idx="37">
                  <c:v>Oldmachar</c:v>
                </c:pt>
              </c:strCache>
            </c:strRef>
          </c:cat>
          <c:val>
            <c:numRef>
              <c:f>Sheet2!$E$44:$E$81</c:f>
              <c:numCache>
                <c:formatCode>0.0%</c:formatCode>
                <c:ptCount val="38"/>
                <c:pt idx="0">
                  <c:v>0</c:v>
                </c:pt>
                <c:pt idx="1">
                  <c:v>1.481042654028436E-2</c:v>
                </c:pt>
                <c:pt idx="2">
                  <c:v>3.1616982836495033E-3</c:v>
                </c:pt>
                <c:pt idx="3">
                  <c:v>1.7074742268041235E-2</c:v>
                </c:pt>
                <c:pt idx="4">
                  <c:v>2.2296544035674472E-2</c:v>
                </c:pt>
                <c:pt idx="5">
                  <c:v>2.1573270192054721E-2</c:v>
                </c:pt>
                <c:pt idx="6">
                  <c:v>1.0198078054520495E-2</c:v>
                </c:pt>
                <c:pt idx="7">
                  <c:v>1.6636957813428402E-2</c:v>
                </c:pt>
                <c:pt idx="8">
                  <c:v>3.0769230769230771E-2</c:v>
                </c:pt>
                <c:pt idx="9">
                  <c:v>7.2133637053910403E-3</c:v>
                </c:pt>
                <c:pt idx="10">
                  <c:v>1.0314595152140279E-2</c:v>
                </c:pt>
                <c:pt idx="11">
                  <c:v>1.4542343883661249E-2</c:v>
                </c:pt>
                <c:pt idx="12">
                  <c:v>1.1568123393316195E-2</c:v>
                </c:pt>
                <c:pt idx="13">
                  <c:v>1.8544935805991442E-2</c:v>
                </c:pt>
                <c:pt idx="14">
                  <c:v>1.3110846245530394E-2</c:v>
                </c:pt>
                <c:pt idx="15">
                  <c:v>7.0175438596491229E-3</c:v>
                </c:pt>
                <c:pt idx="16">
                  <c:v>9.2942201568399652E-3</c:v>
                </c:pt>
                <c:pt idx="17">
                  <c:v>8.8726513569937372E-3</c:v>
                </c:pt>
                <c:pt idx="18">
                  <c:v>1.0894495412844037E-2</c:v>
                </c:pt>
                <c:pt idx="19">
                  <c:v>1.3860218224712475E-2</c:v>
                </c:pt>
                <c:pt idx="20">
                  <c:v>2.6702269692923898E-3</c:v>
                </c:pt>
                <c:pt idx="21">
                  <c:v>1.3504754718441342E-2</c:v>
                </c:pt>
                <c:pt idx="22">
                  <c:v>1.7078151104510858E-2</c:v>
                </c:pt>
                <c:pt idx="23">
                  <c:v>1.3147515119642388E-2</c:v>
                </c:pt>
                <c:pt idx="24">
                  <c:v>2.4131474932390266E-2</c:v>
                </c:pt>
                <c:pt idx="25">
                  <c:v>1.6926016926016925E-2</c:v>
                </c:pt>
                <c:pt idx="26">
                  <c:v>1.4443500424808835E-2</c:v>
                </c:pt>
                <c:pt idx="27">
                  <c:v>1.314596554850408E-2</c:v>
                </c:pt>
                <c:pt idx="28">
                  <c:v>1.3846153846153847E-2</c:v>
                </c:pt>
                <c:pt idx="29">
                  <c:v>1.2833168805528134E-2</c:v>
                </c:pt>
                <c:pt idx="30">
                  <c:v>1.403016485443704E-2</c:v>
                </c:pt>
                <c:pt idx="31">
                  <c:v>1.2837179070523237E-2</c:v>
                </c:pt>
                <c:pt idx="32">
                  <c:v>1.4701878573373264E-2</c:v>
                </c:pt>
                <c:pt idx="33">
                  <c:v>9.7560975609756097E-3</c:v>
                </c:pt>
                <c:pt idx="34">
                  <c:v>1.1013215859030838E-2</c:v>
                </c:pt>
                <c:pt idx="35">
                  <c:v>9.8576122672508221E-3</c:v>
                </c:pt>
                <c:pt idx="36">
                  <c:v>9.363900548918308E-3</c:v>
                </c:pt>
                <c:pt idx="37">
                  <c:v>6.743997841920691E-3</c:v>
                </c:pt>
              </c:numCache>
            </c:numRef>
          </c:val>
          <c:extLst>
            <c:ext xmlns:c16="http://schemas.microsoft.com/office/drawing/2014/chart" uri="{C3380CC4-5D6E-409C-BE32-E72D297353CC}">
              <c16:uniqueId val="{00000003-A786-4759-B3B8-B020A03A6C10}"/>
            </c:ext>
          </c:extLst>
        </c:ser>
        <c:dLbls>
          <c:showLegendKey val="0"/>
          <c:showVal val="0"/>
          <c:showCatName val="0"/>
          <c:showSerName val="0"/>
          <c:showPercent val="0"/>
          <c:showBubbleSize val="0"/>
        </c:dLbls>
        <c:gapWidth val="50"/>
        <c:overlap val="100"/>
        <c:axId val="736501600"/>
        <c:axId val="736494712"/>
      </c:barChart>
      <c:catAx>
        <c:axId val="736501600"/>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crossAx val="736494712"/>
        <c:crosses val="autoZero"/>
        <c:auto val="1"/>
        <c:lblAlgn val="ctr"/>
        <c:lblOffset val="100"/>
        <c:tickLblSkip val="1"/>
        <c:noMultiLvlLbl val="0"/>
      </c:catAx>
      <c:valAx>
        <c:axId val="736494712"/>
        <c:scaling>
          <c:orientation val="minMax"/>
          <c:max val="1"/>
        </c:scaling>
        <c:delete val="0"/>
        <c:axPos val="b"/>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36501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200" b="0"/>
              <a:t>Housing Stock, Aberdeen City, 1998 to 2017</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stacked"/>
        <c:varyColors val="0"/>
        <c:ser>
          <c:idx val="0"/>
          <c:order val="0"/>
          <c:tx>
            <c:strRef>
              <c:f>'Housing stock'!$A$25</c:f>
              <c:strCache>
                <c:ptCount val="1"/>
                <c:pt idx="0">
                  <c:v>Flats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numRef>
              <c:f>'Housing stock'!$B$24:$U$24</c:f>
              <c:numCache>
                <c:formatCode>General</c:formatCode>
                <c:ptCount val="20"/>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numCache>
            </c:numRef>
          </c:cat>
          <c:val>
            <c:numRef>
              <c:f>'Housing stock'!$B$25:$U$25</c:f>
              <c:numCache>
                <c:formatCode>General</c:formatCode>
                <c:ptCount val="20"/>
                <c:pt idx="0">
                  <c:v>20821</c:v>
                </c:pt>
                <c:pt idx="1">
                  <c:v>20488</c:v>
                </c:pt>
                <c:pt idx="2">
                  <c:v>20009</c:v>
                </c:pt>
                <c:pt idx="3">
                  <c:v>19735</c:v>
                </c:pt>
                <c:pt idx="4">
                  <c:v>19391</c:v>
                </c:pt>
                <c:pt idx="5">
                  <c:v>19070</c:v>
                </c:pt>
                <c:pt idx="6">
                  <c:v>18748</c:v>
                </c:pt>
                <c:pt idx="7">
                  <c:v>18484</c:v>
                </c:pt>
                <c:pt idx="8">
                  <c:v>18112</c:v>
                </c:pt>
                <c:pt idx="9">
                  <c:v>17842</c:v>
                </c:pt>
                <c:pt idx="10">
                  <c:v>17554</c:v>
                </c:pt>
                <c:pt idx="11">
                  <c:v>17364</c:v>
                </c:pt>
                <c:pt idx="12">
                  <c:v>17278</c:v>
                </c:pt>
                <c:pt idx="13">
                  <c:v>17200</c:v>
                </c:pt>
                <c:pt idx="14">
                  <c:v>17215</c:v>
                </c:pt>
                <c:pt idx="15">
                  <c:v>17155</c:v>
                </c:pt>
                <c:pt idx="16">
                  <c:v>17030</c:v>
                </c:pt>
                <c:pt idx="17">
                  <c:v>16904</c:v>
                </c:pt>
                <c:pt idx="18">
                  <c:v>16836</c:v>
                </c:pt>
                <c:pt idx="19">
                  <c:v>16716</c:v>
                </c:pt>
              </c:numCache>
            </c:numRef>
          </c:val>
          <c:extLst>
            <c:ext xmlns:c16="http://schemas.microsoft.com/office/drawing/2014/chart" uri="{C3380CC4-5D6E-409C-BE32-E72D297353CC}">
              <c16:uniqueId val="{00000000-0924-4536-ADE8-39B087C4B69D}"/>
            </c:ext>
          </c:extLst>
        </c:ser>
        <c:ser>
          <c:idx val="1"/>
          <c:order val="1"/>
          <c:tx>
            <c:strRef>
              <c:f>'Housing stock'!$A$26</c:f>
              <c:strCache>
                <c:ptCount val="1"/>
                <c:pt idx="0">
                  <c:v>Houses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numRef>
              <c:f>'Housing stock'!$B$24:$U$24</c:f>
              <c:numCache>
                <c:formatCode>General</c:formatCode>
                <c:ptCount val="20"/>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numCache>
            </c:numRef>
          </c:cat>
          <c:val>
            <c:numRef>
              <c:f>'Housing stock'!$B$26:$U$26</c:f>
              <c:numCache>
                <c:formatCode>General</c:formatCode>
                <c:ptCount val="20"/>
                <c:pt idx="0">
                  <c:v>8621</c:v>
                </c:pt>
                <c:pt idx="1">
                  <c:v>8274</c:v>
                </c:pt>
                <c:pt idx="2">
                  <c:v>7820</c:v>
                </c:pt>
                <c:pt idx="3">
                  <c:v>7452</c:v>
                </c:pt>
                <c:pt idx="4">
                  <c:v>7119</c:v>
                </c:pt>
                <c:pt idx="5">
                  <c:v>6771</c:v>
                </c:pt>
                <c:pt idx="6">
                  <c:v>6445</c:v>
                </c:pt>
                <c:pt idx="7">
                  <c:v>6199</c:v>
                </c:pt>
                <c:pt idx="8">
                  <c:v>6007</c:v>
                </c:pt>
                <c:pt idx="9">
                  <c:v>5819</c:v>
                </c:pt>
                <c:pt idx="10">
                  <c:v>5639</c:v>
                </c:pt>
                <c:pt idx="11">
                  <c:v>5576</c:v>
                </c:pt>
                <c:pt idx="12">
                  <c:v>5531</c:v>
                </c:pt>
                <c:pt idx="13">
                  <c:v>5504</c:v>
                </c:pt>
                <c:pt idx="14">
                  <c:v>5525</c:v>
                </c:pt>
                <c:pt idx="15">
                  <c:v>5501</c:v>
                </c:pt>
                <c:pt idx="16">
                  <c:v>5466</c:v>
                </c:pt>
                <c:pt idx="17">
                  <c:v>5424</c:v>
                </c:pt>
                <c:pt idx="18">
                  <c:v>5384</c:v>
                </c:pt>
                <c:pt idx="19">
                  <c:v>5325</c:v>
                </c:pt>
              </c:numCache>
            </c:numRef>
          </c:val>
          <c:extLst>
            <c:ext xmlns:c16="http://schemas.microsoft.com/office/drawing/2014/chart" uri="{C3380CC4-5D6E-409C-BE32-E72D297353CC}">
              <c16:uniqueId val="{00000001-0924-4536-ADE8-39B087C4B69D}"/>
            </c:ext>
          </c:extLst>
        </c:ser>
        <c:dLbls>
          <c:showLegendKey val="0"/>
          <c:showVal val="0"/>
          <c:showCatName val="0"/>
          <c:showSerName val="0"/>
          <c:showPercent val="0"/>
          <c:showBubbleSize val="0"/>
        </c:dLbls>
        <c:gapWidth val="100"/>
        <c:overlap val="100"/>
        <c:axId val="795938088"/>
        <c:axId val="795939400"/>
      </c:barChart>
      <c:catAx>
        <c:axId val="79593808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95939400"/>
        <c:crosses val="autoZero"/>
        <c:auto val="1"/>
        <c:lblAlgn val="ctr"/>
        <c:lblOffset val="100"/>
        <c:noMultiLvlLbl val="0"/>
      </c:catAx>
      <c:valAx>
        <c:axId val="795939400"/>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95938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Number of registered places in care homes for adults by client group, Aberdeen City, 2006 to 2016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'Care homes'!$A$28</c:f>
              <c:strCache>
                <c:ptCount val="1"/>
                <c:pt idx="0">
                  <c:v>Older people</c:v>
                </c:pt>
              </c:strCache>
            </c:strRef>
          </c:tx>
          <c:spPr>
            <a:solidFill>
              <a:schemeClr val="accent1"/>
            </a:solidFill>
            <a:ln>
              <a:noFill/>
            </a:ln>
            <a:effectLst/>
          </c:spPr>
          <c:invertIfNegative val="0"/>
          <c:cat>
            <c:strRef>
              <c:f>'Care homes'!$B$27:$L$27</c:f>
              <c:strCache>
                <c:ptCount val="11"/>
                <c:pt idx="0">
                  <c:v>2006</c:v>
                </c:pt>
                <c:pt idx="1">
                  <c:v>2007</c:v>
                </c:pt>
                <c:pt idx="2">
                  <c:v>2008</c:v>
                </c:pt>
                <c:pt idx="3">
                  <c:v>2009</c:v>
                </c:pt>
                <c:pt idx="4">
                  <c:v>2010</c:v>
                </c:pt>
                <c:pt idx="5">
                  <c:v>2011</c:v>
                </c:pt>
                <c:pt idx="6">
                  <c:v>2012</c:v>
                </c:pt>
                <c:pt idx="7">
                  <c:v>2013</c:v>
                </c:pt>
                <c:pt idx="8">
                  <c:v>2014</c:v>
                </c:pt>
                <c:pt idx="9">
                  <c:v>2015</c:v>
                </c:pt>
                <c:pt idx="10">
                  <c:v>2016</c:v>
                </c:pt>
              </c:strCache>
            </c:strRef>
          </c:cat>
          <c:val>
            <c:numRef>
              <c:f>'Care homes'!$B$28:$L$28</c:f>
              <c:numCache>
                <c:formatCode>General</c:formatCode>
                <c:ptCount val="11"/>
                <c:pt idx="0">
                  <c:v>1553</c:v>
                </c:pt>
                <c:pt idx="1">
                  <c:v>1541</c:v>
                </c:pt>
                <c:pt idx="2">
                  <c:v>1639</c:v>
                </c:pt>
                <c:pt idx="3">
                  <c:v>1758</c:v>
                </c:pt>
                <c:pt idx="4">
                  <c:v>1709</c:v>
                </c:pt>
                <c:pt idx="5">
                  <c:v>1622</c:v>
                </c:pt>
                <c:pt idx="6">
                  <c:v>1648</c:v>
                </c:pt>
                <c:pt idx="7">
                  <c:v>1562</c:v>
                </c:pt>
                <c:pt idx="8">
                  <c:v>1488</c:v>
                </c:pt>
                <c:pt idx="9">
                  <c:v>1434</c:v>
                </c:pt>
                <c:pt idx="10">
                  <c:v>1472</c:v>
                </c:pt>
              </c:numCache>
            </c:numRef>
          </c:val>
          <c:extLst>
            <c:ext xmlns:c16="http://schemas.microsoft.com/office/drawing/2014/chart" uri="{C3380CC4-5D6E-409C-BE32-E72D297353CC}">
              <c16:uniqueId val="{00000000-4696-4C90-BBE4-1BA7EC0E30C9}"/>
            </c:ext>
          </c:extLst>
        </c:ser>
        <c:ser>
          <c:idx val="1"/>
          <c:order val="1"/>
          <c:tx>
            <c:strRef>
              <c:f>'Care homes'!$A$29</c:f>
              <c:strCache>
                <c:ptCount val="1"/>
                <c:pt idx="0">
                  <c:v>Adults with physical disabilities</c:v>
                </c:pt>
              </c:strCache>
            </c:strRef>
          </c:tx>
          <c:spPr>
            <a:solidFill>
              <a:schemeClr val="accent2"/>
            </a:solidFill>
            <a:ln>
              <a:noFill/>
            </a:ln>
            <a:effectLst/>
          </c:spPr>
          <c:invertIfNegative val="0"/>
          <c:cat>
            <c:strRef>
              <c:f>'Care homes'!$B$27:$L$27</c:f>
              <c:strCache>
                <c:ptCount val="11"/>
                <c:pt idx="0">
                  <c:v>2006</c:v>
                </c:pt>
                <c:pt idx="1">
                  <c:v>2007</c:v>
                </c:pt>
                <c:pt idx="2">
                  <c:v>2008</c:v>
                </c:pt>
                <c:pt idx="3">
                  <c:v>2009</c:v>
                </c:pt>
                <c:pt idx="4">
                  <c:v>2010</c:v>
                </c:pt>
                <c:pt idx="5">
                  <c:v>2011</c:v>
                </c:pt>
                <c:pt idx="6">
                  <c:v>2012</c:v>
                </c:pt>
                <c:pt idx="7">
                  <c:v>2013</c:v>
                </c:pt>
                <c:pt idx="8">
                  <c:v>2014</c:v>
                </c:pt>
                <c:pt idx="9">
                  <c:v>2015</c:v>
                </c:pt>
                <c:pt idx="10">
                  <c:v>2016</c:v>
                </c:pt>
              </c:strCache>
            </c:strRef>
          </c:cat>
          <c:val>
            <c:numRef>
              <c:f>'Care homes'!$B$29:$L$29</c:f>
              <c:numCache>
                <c:formatCode>General</c:formatCode>
                <c:ptCount val="11"/>
                <c:pt idx="0">
                  <c:v>50</c:v>
                </c:pt>
                <c:pt idx="1">
                  <c:v>50</c:v>
                </c:pt>
                <c:pt idx="2">
                  <c:v>50</c:v>
                </c:pt>
                <c:pt idx="3">
                  <c:v>62</c:v>
                </c:pt>
                <c:pt idx="4">
                  <c:v>62</c:v>
                </c:pt>
                <c:pt idx="5">
                  <c:v>62</c:v>
                </c:pt>
                <c:pt idx="6">
                  <c:v>61</c:v>
                </c:pt>
                <c:pt idx="7">
                  <c:v>61</c:v>
                </c:pt>
                <c:pt idx="8">
                  <c:v>61</c:v>
                </c:pt>
                <c:pt idx="9">
                  <c:v>61</c:v>
                </c:pt>
                <c:pt idx="10">
                  <c:v>61</c:v>
                </c:pt>
              </c:numCache>
            </c:numRef>
          </c:val>
          <c:extLst>
            <c:ext xmlns:c16="http://schemas.microsoft.com/office/drawing/2014/chart" uri="{C3380CC4-5D6E-409C-BE32-E72D297353CC}">
              <c16:uniqueId val="{00000001-4696-4C90-BBE4-1BA7EC0E30C9}"/>
            </c:ext>
          </c:extLst>
        </c:ser>
        <c:ser>
          <c:idx val="2"/>
          <c:order val="2"/>
          <c:tx>
            <c:strRef>
              <c:f>'Care homes'!$A$30</c:f>
              <c:strCache>
                <c:ptCount val="1"/>
                <c:pt idx="0">
                  <c:v>Adults with mental health problems</c:v>
                </c:pt>
              </c:strCache>
            </c:strRef>
          </c:tx>
          <c:spPr>
            <a:solidFill>
              <a:schemeClr val="accent3"/>
            </a:solidFill>
            <a:ln>
              <a:noFill/>
            </a:ln>
            <a:effectLst/>
          </c:spPr>
          <c:invertIfNegative val="0"/>
          <c:cat>
            <c:strRef>
              <c:f>'Care homes'!$B$27:$L$27</c:f>
              <c:strCache>
                <c:ptCount val="11"/>
                <c:pt idx="0">
                  <c:v>2006</c:v>
                </c:pt>
                <c:pt idx="1">
                  <c:v>2007</c:v>
                </c:pt>
                <c:pt idx="2">
                  <c:v>2008</c:v>
                </c:pt>
                <c:pt idx="3">
                  <c:v>2009</c:v>
                </c:pt>
                <c:pt idx="4">
                  <c:v>2010</c:v>
                </c:pt>
                <c:pt idx="5">
                  <c:v>2011</c:v>
                </c:pt>
                <c:pt idx="6">
                  <c:v>2012</c:v>
                </c:pt>
                <c:pt idx="7">
                  <c:v>2013</c:v>
                </c:pt>
                <c:pt idx="8">
                  <c:v>2014</c:v>
                </c:pt>
                <c:pt idx="9">
                  <c:v>2015</c:v>
                </c:pt>
                <c:pt idx="10">
                  <c:v>2016</c:v>
                </c:pt>
              </c:strCache>
            </c:strRef>
          </c:cat>
          <c:val>
            <c:numRef>
              <c:f>'Care homes'!$B$30:$L$30</c:f>
              <c:numCache>
                <c:formatCode>General</c:formatCode>
                <c:ptCount val="11"/>
                <c:pt idx="0">
                  <c:v>134</c:v>
                </c:pt>
                <c:pt idx="1">
                  <c:v>119</c:v>
                </c:pt>
                <c:pt idx="2">
                  <c:v>116</c:v>
                </c:pt>
                <c:pt idx="3">
                  <c:v>135</c:v>
                </c:pt>
                <c:pt idx="4">
                  <c:v>125</c:v>
                </c:pt>
                <c:pt idx="5">
                  <c:v>110</c:v>
                </c:pt>
                <c:pt idx="6">
                  <c:v>110</c:v>
                </c:pt>
                <c:pt idx="7">
                  <c:v>99</c:v>
                </c:pt>
                <c:pt idx="8">
                  <c:v>82</c:v>
                </c:pt>
                <c:pt idx="9">
                  <c:v>82</c:v>
                </c:pt>
                <c:pt idx="10">
                  <c:v>82</c:v>
                </c:pt>
              </c:numCache>
            </c:numRef>
          </c:val>
          <c:extLst>
            <c:ext xmlns:c16="http://schemas.microsoft.com/office/drawing/2014/chart" uri="{C3380CC4-5D6E-409C-BE32-E72D297353CC}">
              <c16:uniqueId val="{00000002-4696-4C90-BBE4-1BA7EC0E30C9}"/>
            </c:ext>
          </c:extLst>
        </c:ser>
        <c:ser>
          <c:idx val="3"/>
          <c:order val="3"/>
          <c:tx>
            <c:strRef>
              <c:f>'Care homes'!$A$31</c:f>
              <c:strCache>
                <c:ptCount val="1"/>
                <c:pt idx="0">
                  <c:v>Adults with learning diabilities</c:v>
                </c:pt>
              </c:strCache>
            </c:strRef>
          </c:tx>
          <c:spPr>
            <a:solidFill>
              <a:schemeClr val="accent4"/>
            </a:solidFill>
            <a:ln>
              <a:noFill/>
            </a:ln>
            <a:effectLst/>
          </c:spPr>
          <c:invertIfNegative val="0"/>
          <c:cat>
            <c:strRef>
              <c:f>'Care homes'!$B$27:$L$27</c:f>
              <c:strCache>
                <c:ptCount val="11"/>
                <c:pt idx="0">
                  <c:v>2006</c:v>
                </c:pt>
                <c:pt idx="1">
                  <c:v>2007</c:v>
                </c:pt>
                <c:pt idx="2">
                  <c:v>2008</c:v>
                </c:pt>
                <c:pt idx="3">
                  <c:v>2009</c:v>
                </c:pt>
                <c:pt idx="4">
                  <c:v>2010</c:v>
                </c:pt>
                <c:pt idx="5">
                  <c:v>2011</c:v>
                </c:pt>
                <c:pt idx="6">
                  <c:v>2012</c:v>
                </c:pt>
                <c:pt idx="7">
                  <c:v>2013</c:v>
                </c:pt>
                <c:pt idx="8">
                  <c:v>2014</c:v>
                </c:pt>
                <c:pt idx="9">
                  <c:v>2015</c:v>
                </c:pt>
                <c:pt idx="10">
                  <c:v>2016</c:v>
                </c:pt>
              </c:strCache>
            </c:strRef>
          </c:cat>
          <c:val>
            <c:numRef>
              <c:f>'Care homes'!$B$31:$L$31</c:f>
              <c:numCache>
                <c:formatCode>General</c:formatCode>
                <c:ptCount val="11"/>
                <c:pt idx="0">
                  <c:v>223</c:v>
                </c:pt>
                <c:pt idx="1">
                  <c:v>227</c:v>
                </c:pt>
                <c:pt idx="2">
                  <c:v>216</c:v>
                </c:pt>
                <c:pt idx="3">
                  <c:v>236</c:v>
                </c:pt>
                <c:pt idx="4">
                  <c:v>233</c:v>
                </c:pt>
                <c:pt idx="5">
                  <c:v>176</c:v>
                </c:pt>
                <c:pt idx="6">
                  <c:v>168</c:v>
                </c:pt>
                <c:pt idx="7">
                  <c:v>168</c:v>
                </c:pt>
                <c:pt idx="8">
                  <c:v>157</c:v>
                </c:pt>
                <c:pt idx="9">
                  <c:v>134</c:v>
                </c:pt>
                <c:pt idx="10">
                  <c:v>116</c:v>
                </c:pt>
              </c:numCache>
            </c:numRef>
          </c:val>
          <c:extLst>
            <c:ext xmlns:c16="http://schemas.microsoft.com/office/drawing/2014/chart" uri="{C3380CC4-5D6E-409C-BE32-E72D297353CC}">
              <c16:uniqueId val="{00000003-4696-4C90-BBE4-1BA7EC0E30C9}"/>
            </c:ext>
          </c:extLst>
        </c:ser>
        <c:ser>
          <c:idx val="4"/>
          <c:order val="4"/>
          <c:tx>
            <c:strRef>
              <c:f>'Care homes'!$A$32</c:f>
              <c:strCache>
                <c:ptCount val="1"/>
                <c:pt idx="0">
                  <c:v>Other groups</c:v>
                </c:pt>
              </c:strCache>
            </c:strRef>
          </c:tx>
          <c:spPr>
            <a:solidFill>
              <a:schemeClr val="accent5"/>
            </a:solidFill>
            <a:ln>
              <a:noFill/>
            </a:ln>
            <a:effectLst/>
          </c:spPr>
          <c:invertIfNegative val="0"/>
          <c:cat>
            <c:strRef>
              <c:f>'Care homes'!$B$27:$L$27</c:f>
              <c:strCache>
                <c:ptCount val="11"/>
                <c:pt idx="0">
                  <c:v>2006</c:v>
                </c:pt>
                <c:pt idx="1">
                  <c:v>2007</c:v>
                </c:pt>
                <c:pt idx="2">
                  <c:v>2008</c:v>
                </c:pt>
                <c:pt idx="3">
                  <c:v>2009</c:v>
                </c:pt>
                <c:pt idx="4">
                  <c:v>2010</c:v>
                </c:pt>
                <c:pt idx="5">
                  <c:v>2011</c:v>
                </c:pt>
                <c:pt idx="6">
                  <c:v>2012</c:v>
                </c:pt>
                <c:pt idx="7">
                  <c:v>2013</c:v>
                </c:pt>
                <c:pt idx="8">
                  <c:v>2014</c:v>
                </c:pt>
                <c:pt idx="9">
                  <c:v>2015</c:v>
                </c:pt>
                <c:pt idx="10">
                  <c:v>2016</c:v>
                </c:pt>
              </c:strCache>
            </c:strRef>
          </c:cat>
          <c:val>
            <c:numRef>
              <c:f>'Care homes'!$B$32:$L$32</c:f>
              <c:numCache>
                <c:formatCode>General</c:formatCode>
                <c:ptCount val="11"/>
                <c:pt idx="0">
                  <c:v>109</c:v>
                </c:pt>
                <c:pt idx="1">
                  <c:v>109</c:v>
                </c:pt>
                <c:pt idx="2">
                  <c:v>107</c:v>
                </c:pt>
                <c:pt idx="3">
                  <c:v>60</c:v>
                </c:pt>
                <c:pt idx="4">
                  <c:v>49</c:v>
                </c:pt>
                <c:pt idx="5">
                  <c:v>49</c:v>
                </c:pt>
                <c:pt idx="6">
                  <c:v>49</c:v>
                </c:pt>
                <c:pt idx="7">
                  <c:v>50</c:v>
                </c:pt>
                <c:pt idx="8">
                  <c:v>68</c:v>
                </c:pt>
                <c:pt idx="9">
                  <c:v>58</c:v>
                </c:pt>
                <c:pt idx="10">
                  <c:v>58</c:v>
                </c:pt>
              </c:numCache>
            </c:numRef>
          </c:val>
          <c:extLst>
            <c:ext xmlns:c16="http://schemas.microsoft.com/office/drawing/2014/chart" uri="{C3380CC4-5D6E-409C-BE32-E72D297353CC}">
              <c16:uniqueId val="{00000004-4696-4C90-BBE4-1BA7EC0E30C9}"/>
            </c:ext>
          </c:extLst>
        </c:ser>
        <c:dLbls>
          <c:showLegendKey val="0"/>
          <c:showVal val="0"/>
          <c:showCatName val="0"/>
          <c:showSerName val="0"/>
          <c:showPercent val="0"/>
          <c:showBubbleSize val="0"/>
        </c:dLbls>
        <c:gapWidth val="150"/>
        <c:axId val="640341728"/>
        <c:axId val="640333200"/>
      </c:barChart>
      <c:catAx>
        <c:axId val="640341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0333200"/>
        <c:crosses val="autoZero"/>
        <c:auto val="1"/>
        <c:lblAlgn val="ctr"/>
        <c:lblOffset val="100"/>
        <c:noMultiLvlLbl val="0"/>
      </c:catAx>
      <c:valAx>
        <c:axId val="640333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0341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Residential properties; average purchase price and volume of sales, Aberdeen City, 2013 to 2017</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Sheet2!$A$50</c:f>
              <c:strCache>
                <c:ptCount val="1"/>
                <c:pt idx="0">
                  <c:v>Volume of sales</c:v>
                </c:pt>
              </c:strCache>
            </c:strRef>
          </c:tx>
          <c:spPr>
            <a:solidFill>
              <a:schemeClr val="accent1"/>
            </a:solidFill>
            <a:ln>
              <a:noFill/>
            </a:ln>
            <a:effectLst/>
          </c:spPr>
          <c:invertIfNegative val="0"/>
          <c:dLbls>
            <c:dLbl>
              <c:idx val="2"/>
              <c:layout>
                <c:manualLayout>
                  <c:x val="0"/>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3D-4D02-BEAC-7973C5187B2D}"/>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Sheet2!$B$49:$F$49</c:f>
              <c:numCache>
                <c:formatCode>General</c:formatCode>
                <c:ptCount val="5"/>
                <c:pt idx="0">
                  <c:v>2013</c:v>
                </c:pt>
                <c:pt idx="1">
                  <c:v>2014</c:v>
                </c:pt>
                <c:pt idx="2">
                  <c:v>2015</c:v>
                </c:pt>
                <c:pt idx="3">
                  <c:v>2016</c:v>
                </c:pt>
                <c:pt idx="4">
                  <c:v>2017</c:v>
                </c:pt>
              </c:numCache>
            </c:numRef>
          </c:cat>
          <c:val>
            <c:numRef>
              <c:f>Sheet2!$B$50:$F$50</c:f>
              <c:numCache>
                <c:formatCode>General</c:formatCode>
                <c:ptCount val="5"/>
                <c:pt idx="0">
                  <c:v>5525</c:v>
                </c:pt>
                <c:pt idx="1">
                  <c:v>5284</c:v>
                </c:pt>
                <c:pt idx="2">
                  <c:v>4907</c:v>
                </c:pt>
                <c:pt idx="3">
                  <c:v>3941</c:v>
                </c:pt>
                <c:pt idx="4">
                  <c:v>3991</c:v>
                </c:pt>
              </c:numCache>
            </c:numRef>
          </c:val>
          <c:extLst>
            <c:ext xmlns:c16="http://schemas.microsoft.com/office/drawing/2014/chart" uri="{C3380CC4-5D6E-409C-BE32-E72D297353CC}">
              <c16:uniqueId val="{00000000-FCA6-4266-9AF9-6BB0A31A6529}"/>
            </c:ext>
          </c:extLst>
        </c:ser>
        <c:dLbls>
          <c:showLegendKey val="0"/>
          <c:showVal val="0"/>
          <c:showCatName val="0"/>
          <c:showSerName val="0"/>
          <c:showPercent val="0"/>
          <c:showBubbleSize val="0"/>
        </c:dLbls>
        <c:gapWidth val="219"/>
        <c:overlap val="-27"/>
        <c:axId val="435949800"/>
        <c:axId val="435951112"/>
      </c:barChart>
      <c:lineChart>
        <c:grouping val="standard"/>
        <c:varyColors val="0"/>
        <c:ser>
          <c:idx val="1"/>
          <c:order val="1"/>
          <c:tx>
            <c:strRef>
              <c:f>Sheet2!$A$51</c:f>
              <c:strCache>
                <c:ptCount val="1"/>
                <c:pt idx="0">
                  <c:v>Average purchase price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Sheet2!$B$49:$F$49</c:f>
              <c:numCache>
                <c:formatCode>General</c:formatCode>
                <c:ptCount val="5"/>
                <c:pt idx="0">
                  <c:v>2013</c:v>
                </c:pt>
                <c:pt idx="1">
                  <c:v>2014</c:v>
                </c:pt>
                <c:pt idx="2">
                  <c:v>2015</c:v>
                </c:pt>
                <c:pt idx="3">
                  <c:v>2016</c:v>
                </c:pt>
                <c:pt idx="4">
                  <c:v>2017</c:v>
                </c:pt>
              </c:numCache>
            </c:numRef>
          </c:cat>
          <c:val>
            <c:numRef>
              <c:f>Sheet2!$B$51:$F$51</c:f>
              <c:numCache>
                <c:formatCode>0</c:formatCode>
                <c:ptCount val="5"/>
                <c:pt idx="0">
                  <c:v>198858.82292307692</c:v>
                </c:pt>
                <c:pt idx="1">
                  <c:v>213717.41518925055</c:v>
                </c:pt>
                <c:pt idx="2">
                  <c:v>220768.05381495823</c:v>
                </c:pt>
                <c:pt idx="3">
                  <c:v>203649.72621162143</c:v>
                </c:pt>
                <c:pt idx="4">
                  <c:v>200983.30092708595</c:v>
                </c:pt>
              </c:numCache>
            </c:numRef>
          </c:val>
          <c:smooth val="0"/>
          <c:extLst>
            <c:ext xmlns:c16="http://schemas.microsoft.com/office/drawing/2014/chart" uri="{C3380CC4-5D6E-409C-BE32-E72D297353CC}">
              <c16:uniqueId val="{00000001-FCA6-4266-9AF9-6BB0A31A6529}"/>
            </c:ext>
          </c:extLst>
        </c:ser>
        <c:dLbls>
          <c:showLegendKey val="0"/>
          <c:showVal val="0"/>
          <c:showCatName val="0"/>
          <c:showSerName val="0"/>
          <c:showPercent val="0"/>
          <c:showBubbleSize val="0"/>
        </c:dLbls>
        <c:marker val="1"/>
        <c:smooth val="0"/>
        <c:axId val="808288216"/>
        <c:axId val="808281656"/>
      </c:lineChart>
      <c:catAx>
        <c:axId val="435949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951112"/>
        <c:crosses val="autoZero"/>
        <c:auto val="1"/>
        <c:lblAlgn val="ctr"/>
        <c:lblOffset val="100"/>
        <c:noMultiLvlLbl val="0"/>
      </c:catAx>
      <c:valAx>
        <c:axId val="4359511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949800"/>
        <c:crosses val="autoZero"/>
        <c:crossBetween val="between"/>
      </c:valAx>
      <c:valAx>
        <c:axId val="808281656"/>
        <c:scaling>
          <c:orientation val="minMax"/>
        </c:scaling>
        <c:delete val="0"/>
        <c:axPos val="r"/>
        <c:numFmt formatCode="&quot;£&quot;#,##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8288216"/>
        <c:crosses val="max"/>
        <c:crossBetween val="between"/>
      </c:valAx>
      <c:catAx>
        <c:axId val="808288216"/>
        <c:scaling>
          <c:orientation val="minMax"/>
        </c:scaling>
        <c:delete val="1"/>
        <c:axPos val="b"/>
        <c:numFmt formatCode="General" sourceLinked="1"/>
        <c:majorTickMark val="out"/>
        <c:minorTickMark val="none"/>
        <c:tickLblPos val="nextTo"/>
        <c:crossAx val="8082816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Broad age groups as proportion of population, Aberdeen City, 1997 and 2017</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Sheet1!$B$13</c:f>
              <c:strCache>
                <c:ptCount val="1"/>
                <c:pt idx="0">
                  <c:v>0-15 years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Sheet1!$A$14:$A$15</c:f>
              <c:numCache>
                <c:formatCode>General</c:formatCode>
                <c:ptCount val="2"/>
                <c:pt idx="0">
                  <c:v>1997</c:v>
                </c:pt>
                <c:pt idx="1">
                  <c:v>2017</c:v>
                </c:pt>
              </c:numCache>
            </c:numRef>
          </c:cat>
          <c:val>
            <c:numRef>
              <c:f>Sheet1!$B$14:$B$15</c:f>
              <c:numCache>
                <c:formatCode>0.0%</c:formatCode>
                <c:ptCount val="2"/>
                <c:pt idx="0">
                  <c:v>0.17305568338702254</c:v>
                </c:pt>
                <c:pt idx="1">
                  <c:v>0.15076486013986015</c:v>
                </c:pt>
              </c:numCache>
            </c:numRef>
          </c:val>
          <c:extLst>
            <c:ext xmlns:c16="http://schemas.microsoft.com/office/drawing/2014/chart" uri="{C3380CC4-5D6E-409C-BE32-E72D297353CC}">
              <c16:uniqueId val="{00000000-05F0-4ECE-ACE8-31C330FFAB4B}"/>
            </c:ext>
          </c:extLst>
        </c:ser>
        <c:ser>
          <c:idx val="1"/>
          <c:order val="1"/>
          <c:tx>
            <c:strRef>
              <c:f>Sheet1!$C$13</c:f>
              <c:strCache>
                <c:ptCount val="1"/>
                <c:pt idx="0">
                  <c:v>16-64 years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Sheet1!$A$14:$A$15</c:f>
              <c:numCache>
                <c:formatCode>General</c:formatCode>
                <c:ptCount val="2"/>
                <c:pt idx="0">
                  <c:v>1997</c:v>
                </c:pt>
                <c:pt idx="1">
                  <c:v>2017</c:v>
                </c:pt>
              </c:numCache>
            </c:numRef>
          </c:cat>
          <c:val>
            <c:numRef>
              <c:f>Sheet1!$C$14:$C$15</c:f>
              <c:numCache>
                <c:formatCode>0.0%</c:formatCode>
                <c:ptCount val="2"/>
                <c:pt idx="0">
                  <c:v>0.67954440865163368</c:v>
                </c:pt>
                <c:pt idx="1">
                  <c:v>0.69498688811188813</c:v>
                </c:pt>
              </c:numCache>
            </c:numRef>
          </c:val>
          <c:extLst>
            <c:ext xmlns:c16="http://schemas.microsoft.com/office/drawing/2014/chart" uri="{C3380CC4-5D6E-409C-BE32-E72D297353CC}">
              <c16:uniqueId val="{00000001-05F0-4ECE-ACE8-31C330FFAB4B}"/>
            </c:ext>
          </c:extLst>
        </c:ser>
        <c:ser>
          <c:idx val="2"/>
          <c:order val="2"/>
          <c:tx>
            <c:strRef>
              <c:f>Sheet1!$D$13</c:f>
              <c:strCache>
                <c:ptCount val="1"/>
                <c:pt idx="0">
                  <c:v>65+ years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Sheet1!$A$14:$A$15</c:f>
              <c:numCache>
                <c:formatCode>General</c:formatCode>
                <c:ptCount val="2"/>
                <c:pt idx="0">
                  <c:v>1997</c:v>
                </c:pt>
                <c:pt idx="1">
                  <c:v>2017</c:v>
                </c:pt>
              </c:numCache>
            </c:numRef>
          </c:cat>
          <c:val>
            <c:numRef>
              <c:f>Sheet1!$D$14:$D$15</c:f>
              <c:numCache>
                <c:formatCode>0.0%</c:formatCode>
                <c:ptCount val="2"/>
                <c:pt idx="0">
                  <c:v>0.14739990796134375</c:v>
                </c:pt>
                <c:pt idx="1">
                  <c:v>0.15424825174825174</c:v>
                </c:pt>
              </c:numCache>
            </c:numRef>
          </c:val>
          <c:extLst>
            <c:ext xmlns:c16="http://schemas.microsoft.com/office/drawing/2014/chart" uri="{C3380CC4-5D6E-409C-BE32-E72D297353CC}">
              <c16:uniqueId val="{00000002-05F0-4ECE-ACE8-31C330FFAB4B}"/>
            </c:ext>
          </c:extLst>
        </c:ser>
        <c:dLbls>
          <c:dLblPos val="ctr"/>
          <c:showLegendKey val="0"/>
          <c:showVal val="1"/>
          <c:showCatName val="0"/>
          <c:showSerName val="0"/>
          <c:showPercent val="0"/>
          <c:showBubbleSize val="0"/>
        </c:dLbls>
        <c:gapWidth val="150"/>
        <c:overlap val="100"/>
        <c:axId val="749519576"/>
        <c:axId val="749520560"/>
      </c:barChart>
      <c:catAx>
        <c:axId val="749519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520560"/>
        <c:crosses val="autoZero"/>
        <c:auto val="1"/>
        <c:lblAlgn val="ctr"/>
        <c:lblOffset val="100"/>
        <c:noMultiLvlLbl val="0"/>
      </c:catAx>
      <c:valAx>
        <c:axId val="7495205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519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100"/>
              <a:t>Supply of new housing, Aberdeen City,</a:t>
            </a:r>
            <a:r>
              <a:rPr lang="en-GB" sz="1100" baseline="0"/>
              <a:t> 1996/97 to 2016/17</a:t>
            </a:r>
            <a:endParaRPr lang="en-GB" sz="11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'New housing supply'!$A$12</c:f>
              <c:strCache>
                <c:ptCount val="1"/>
                <c:pt idx="0">
                  <c:v>Aberdeen City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 housing supply'!$B$11:$V$11</c:f>
              <c:strCache>
                <c:ptCount val="21"/>
                <c:pt idx="0">
                  <c:v>1996-97</c:v>
                </c:pt>
                <c:pt idx="1">
                  <c:v>1997-98</c:v>
                </c:pt>
                <c:pt idx="2">
                  <c:v>1998-99</c:v>
                </c:pt>
                <c:pt idx="3">
                  <c:v>1999-00</c:v>
                </c:pt>
                <c:pt idx="4">
                  <c:v>2000-01</c:v>
                </c:pt>
                <c:pt idx="5">
                  <c:v>2001-02</c:v>
                </c:pt>
                <c:pt idx="6">
                  <c:v>2002-03</c:v>
                </c:pt>
                <c:pt idx="7">
                  <c:v>2003-04</c:v>
                </c:pt>
                <c:pt idx="8">
                  <c:v>2004-05</c:v>
                </c:pt>
                <c:pt idx="9">
                  <c:v>2005-06</c:v>
                </c:pt>
                <c:pt idx="10">
                  <c:v>2006-07</c:v>
                </c:pt>
                <c:pt idx="11">
                  <c:v>2007-08</c:v>
                </c:pt>
                <c:pt idx="12">
                  <c:v>2008-09</c:v>
                </c:pt>
                <c:pt idx="13">
                  <c:v>2009-10</c:v>
                </c:pt>
                <c:pt idx="14">
                  <c:v>2010-11</c:v>
                </c:pt>
                <c:pt idx="15">
                  <c:v>2011-12</c:v>
                </c:pt>
                <c:pt idx="16">
                  <c:v>2012-13</c:v>
                </c:pt>
                <c:pt idx="17">
                  <c:v>2013-14</c:v>
                </c:pt>
                <c:pt idx="18">
                  <c:v>2014-15</c:v>
                </c:pt>
                <c:pt idx="19">
                  <c:v>2015-16</c:v>
                </c:pt>
                <c:pt idx="20">
                  <c:v>2016-17</c:v>
                </c:pt>
              </c:strCache>
            </c:strRef>
          </c:cat>
          <c:val>
            <c:numRef>
              <c:f>'New housing supply'!$B$12:$V$12</c:f>
              <c:numCache>
                <c:formatCode>General</c:formatCode>
                <c:ptCount val="21"/>
                <c:pt idx="0">
                  <c:v>1074</c:v>
                </c:pt>
                <c:pt idx="1">
                  <c:v>1571</c:v>
                </c:pt>
                <c:pt idx="2">
                  <c:v>653</c:v>
                </c:pt>
                <c:pt idx="3">
                  <c:v>984</c:v>
                </c:pt>
                <c:pt idx="4">
                  <c:v>929</c:v>
                </c:pt>
                <c:pt idx="5">
                  <c:v>836</c:v>
                </c:pt>
                <c:pt idx="6">
                  <c:v>685</c:v>
                </c:pt>
                <c:pt idx="7">
                  <c:v>743</c:v>
                </c:pt>
                <c:pt idx="8">
                  <c:v>1242</c:v>
                </c:pt>
                <c:pt idx="9">
                  <c:v>1223</c:v>
                </c:pt>
                <c:pt idx="10">
                  <c:v>868</c:v>
                </c:pt>
                <c:pt idx="11">
                  <c:v>1277</c:v>
                </c:pt>
                <c:pt idx="12">
                  <c:v>262</c:v>
                </c:pt>
                <c:pt idx="13">
                  <c:v>320</c:v>
                </c:pt>
                <c:pt idx="14">
                  <c:v>608</c:v>
                </c:pt>
                <c:pt idx="15">
                  <c:v>574</c:v>
                </c:pt>
                <c:pt idx="16">
                  <c:v>526</c:v>
                </c:pt>
                <c:pt idx="17">
                  <c:v>754</c:v>
                </c:pt>
                <c:pt idx="18">
                  <c:v>675</c:v>
                </c:pt>
                <c:pt idx="19">
                  <c:v>974</c:v>
                </c:pt>
                <c:pt idx="20">
                  <c:v>671</c:v>
                </c:pt>
              </c:numCache>
            </c:numRef>
          </c:val>
          <c:extLst>
            <c:ext xmlns:c16="http://schemas.microsoft.com/office/drawing/2014/chart" uri="{C3380CC4-5D6E-409C-BE32-E72D297353CC}">
              <c16:uniqueId val="{00000000-08B5-4E59-85CA-A46759CC74F5}"/>
            </c:ext>
          </c:extLst>
        </c:ser>
        <c:dLbls>
          <c:dLblPos val="outEnd"/>
          <c:showLegendKey val="0"/>
          <c:showVal val="1"/>
          <c:showCatName val="0"/>
          <c:showSerName val="0"/>
          <c:showPercent val="0"/>
          <c:showBubbleSize val="0"/>
        </c:dLbls>
        <c:gapWidth val="219"/>
        <c:overlap val="-27"/>
        <c:axId val="624464688"/>
        <c:axId val="624467968"/>
      </c:barChart>
      <c:catAx>
        <c:axId val="624464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24467968"/>
        <c:crosses val="autoZero"/>
        <c:auto val="1"/>
        <c:lblAlgn val="ctr"/>
        <c:lblOffset val="100"/>
        <c:noMultiLvlLbl val="0"/>
      </c:catAx>
      <c:valAx>
        <c:axId val="6244679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4646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'Crime 2'!$D$45</c:f>
              <c:strCache>
                <c:ptCount val="1"/>
                <c:pt idx="0">
                  <c:v>Number of crimes and offences, Aberdeen City 2017/18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'Crime 2'!$C$46:$C$52</c:f>
              <c:strCache>
                <c:ptCount val="7"/>
                <c:pt idx="0">
                  <c:v>G1 Crimes of violence</c:v>
                </c:pt>
                <c:pt idx="1">
                  <c:v>G2 Sexual crimes</c:v>
                </c:pt>
                <c:pt idx="2">
                  <c:v>G3 Crimes of dishonesty</c:v>
                </c:pt>
                <c:pt idx="3">
                  <c:v>G4 Fire-raising and vandalism</c:v>
                </c:pt>
                <c:pt idx="4">
                  <c:v>G5 Other crimes</c:v>
                </c:pt>
                <c:pt idx="5">
                  <c:v>G6 Miscellaneous offences</c:v>
                </c:pt>
                <c:pt idx="6">
                  <c:v>G7 Motor vehicle offences</c:v>
                </c:pt>
              </c:strCache>
            </c:strRef>
          </c:cat>
          <c:val>
            <c:numRef>
              <c:f>'Crime 2'!$D$46:$D$52</c:f>
              <c:numCache>
                <c:formatCode>#,##0</c:formatCode>
                <c:ptCount val="7"/>
                <c:pt idx="0">
                  <c:v>359</c:v>
                </c:pt>
                <c:pt idx="1">
                  <c:v>496</c:v>
                </c:pt>
                <c:pt idx="2">
                  <c:v>5859</c:v>
                </c:pt>
                <c:pt idx="3">
                  <c:v>2136</c:v>
                </c:pt>
                <c:pt idx="4">
                  <c:v>2864</c:v>
                </c:pt>
                <c:pt idx="5">
                  <c:v>5987</c:v>
                </c:pt>
                <c:pt idx="6">
                  <c:v>3855</c:v>
                </c:pt>
              </c:numCache>
            </c:numRef>
          </c:val>
          <c:extLst>
            <c:ext xmlns:c16="http://schemas.microsoft.com/office/drawing/2014/chart" uri="{C3380CC4-5D6E-409C-BE32-E72D297353CC}">
              <c16:uniqueId val="{00000000-3946-46DE-96B9-37859D3F56FF}"/>
            </c:ext>
          </c:extLst>
        </c:ser>
        <c:dLbls>
          <c:dLblPos val="outEnd"/>
          <c:showLegendKey val="0"/>
          <c:showVal val="1"/>
          <c:showCatName val="0"/>
          <c:showSerName val="0"/>
          <c:showPercent val="0"/>
          <c:showBubbleSize val="0"/>
        </c:dLbls>
        <c:gapWidth val="182"/>
        <c:axId val="640546208"/>
        <c:axId val="640546536"/>
      </c:barChart>
      <c:catAx>
        <c:axId val="640546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40546536"/>
        <c:crosses val="autoZero"/>
        <c:auto val="1"/>
        <c:lblAlgn val="ctr"/>
        <c:lblOffset val="100"/>
        <c:noMultiLvlLbl val="0"/>
      </c:catAx>
      <c:valAx>
        <c:axId val="6405465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05462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50" b="1" i="0" u="none" strike="noStrike" kern="1200" baseline="0">
                <a:solidFill>
                  <a:schemeClr val="tx2"/>
                </a:solidFill>
                <a:latin typeface="+mn-lt"/>
                <a:ea typeface="+mn-ea"/>
                <a:cs typeface="+mn-cs"/>
              </a:defRPr>
            </a:pPr>
            <a:r>
              <a:rPr lang="en-US" sz="1150" b="1"/>
              <a:t>Rates of crimes and offences, Aberdeen City and Scotland, 2016/17</a:t>
            </a:r>
          </a:p>
        </c:rich>
      </c:tx>
      <c:overlay val="0"/>
      <c:spPr>
        <a:noFill/>
        <a:ln>
          <a:noFill/>
        </a:ln>
        <a:effectLst/>
      </c:spPr>
      <c:txPr>
        <a:bodyPr rot="0" spcFirstLastPara="1" vertOverflow="ellipsis" vert="horz" wrap="square" anchor="ctr" anchorCtr="1"/>
        <a:lstStyle/>
        <a:p>
          <a:pPr>
            <a:defRPr sz="115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'Crime 2'!$K$2</c:f>
              <c:strCache>
                <c:ptCount val="1"/>
                <c:pt idx="0">
                  <c:v>Aberdeen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4"/>
              <c:layout>
                <c:manualLayout>
                  <c:x val="-7.0175438596490371E-3"/>
                  <c:y val="-7.8725146315120047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ED2-4230-9D3F-16BE4AEDCAB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'Crime 2'!$J$3:$J$9</c:f>
              <c:strCache>
                <c:ptCount val="7"/>
                <c:pt idx="0">
                  <c:v>G1 Crimes of violence</c:v>
                </c:pt>
                <c:pt idx="1">
                  <c:v>G2 Sexual crimes</c:v>
                </c:pt>
                <c:pt idx="2">
                  <c:v>G3 Crimes of dishonesty</c:v>
                </c:pt>
                <c:pt idx="3">
                  <c:v>G4 Fire-raising and vandalism</c:v>
                </c:pt>
                <c:pt idx="4">
                  <c:v>G5 Other crimes</c:v>
                </c:pt>
                <c:pt idx="5">
                  <c:v>G6 Miscellaneous offences</c:v>
                </c:pt>
                <c:pt idx="6">
                  <c:v>G7 Motor vehicle offences</c:v>
                </c:pt>
              </c:strCache>
            </c:strRef>
          </c:cat>
          <c:val>
            <c:numRef>
              <c:f>'Crime 2'!$K$3:$K$9</c:f>
              <c:numCache>
                <c:formatCode>0.0</c:formatCode>
                <c:ptCount val="7"/>
                <c:pt idx="0">
                  <c:v>16.837800208840932</c:v>
                </c:pt>
                <c:pt idx="1">
                  <c:v>23.277062304211629</c:v>
                </c:pt>
                <c:pt idx="2">
                  <c:v>316.48103028193526</c:v>
                </c:pt>
                <c:pt idx="3">
                  <c:v>98.677340758788716</c:v>
                </c:pt>
                <c:pt idx="4">
                  <c:v>107.64009745910198</c:v>
                </c:pt>
                <c:pt idx="5">
                  <c:v>292.76888270100937</c:v>
                </c:pt>
                <c:pt idx="6">
                  <c:v>203.70692655760527</c:v>
                </c:pt>
              </c:numCache>
            </c:numRef>
          </c:val>
          <c:extLst>
            <c:ext xmlns:c16="http://schemas.microsoft.com/office/drawing/2014/chart" uri="{C3380CC4-5D6E-409C-BE32-E72D297353CC}">
              <c16:uniqueId val="{00000001-FED2-4230-9D3F-16BE4AEDCABA}"/>
            </c:ext>
          </c:extLst>
        </c:ser>
        <c:ser>
          <c:idx val="1"/>
          <c:order val="1"/>
          <c:tx>
            <c:strRef>
              <c:f>'Crime 2'!$L$2</c:f>
              <c:strCache>
                <c:ptCount val="1"/>
                <c:pt idx="0">
                  <c:v>Scotland</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dLbl>
              <c:idx val="5"/>
              <c:layout>
                <c:manualLayout>
                  <c:x val="1.4035087719298246E-2"/>
                  <c:y val="4.294148495712445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ED2-4230-9D3F-16BE4AEDCAB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'Crime 2'!$J$3:$J$9</c:f>
              <c:strCache>
                <c:ptCount val="7"/>
                <c:pt idx="0">
                  <c:v>G1 Crimes of violence</c:v>
                </c:pt>
                <c:pt idx="1">
                  <c:v>G2 Sexual crimes</c:v>
                </c:pt>
                <c:pt idx="2">
                  <c:v>G3 Crimes of dishonesty</c:v>
                </c:pt>
                <c:pt idx="3">
                  <c:v>G4 Fire-raising and vandalism</c:v>
                </c:pt>
                <c:pt idx="4">
                  <c:v>G5 Other crimes</c:v>
                </c:pt>
                <c:pt idx="5">
                  <c:v>G6 Miscellaneous offences</c:v>
                </c:pt>
                <c:pt idx="6">
                  <c:v>G7 Motor vehicle offences</c:v>
                </c:pt>
              </c:strCache>
            </c:strRef>
          </c:cat>
          <c:val>
            <c:numRef>
              <c:f>'Crime 2'!$L$3:$L$9</c:f>
              <c:numCache>
                <c:formatCode>0.0</c:formatCode>
                <c:ptCount val="7"/>
                <c:pt idx="0">
                  <c:v>13.255129794438174</c:v>
                </c:pt>
                <c:pt idx="1">
                  <c:v>20.023313042352026</c:v>
                </c:pt>
                <c:pt idx="2">
                  <c:v>209.45658408422298</c:v>
                </c:pt>
                <c:pt idx="3">
                  <c:v>97.163579847170055</c:v>
                </c:pt>
                <c:pt idx="4">
                  <c:v>101.66336706940257</c:v>
                </c:pt>
                <c:pt idx="5">
                  <c:v>279.00345995152367</c:v>
                </c:pt>
                <c:pt idx="6">
                  <c:v>255.644161563084</c:v>
                </c:pt>
              </c:numCache>
            </c:numRef>
          </c:val>
          <c:extLst>
            <c:ext xmlns:c16="http://schemas.microsoft.com/office/drawing/2014/chart" uri="{C3380CC4-5D6E-409C-BE32-E72D297353CC}">
              <c16:uniqueId val="{00000003-FED2-4230-9D3F-16BE4AEDCABA}"/>
            </c:ext>
          </c:extLst>
        </c:ser>
        <c:dLbls>
          <c:dLblPos val="outEnd"/>
          <c:showLegendKey val="0"/>
          <c:showVal val="1"/>
          <c:showCatName val="0"/>
          <c:showSerName val="0"/>
          <c:showPercent val="0"/>
          <c:showBubbleSize val="0"/>
        </c:dLbls>
        <c:gapWidth val="100"/>
        <c:overlap val="-24"/>
        <c:axId val="616573616"/>
        <c:axId val="616570336"/>
      </c:barChart>
      <c:catAx>
        <c:axId val="61657361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crossAx val="616570336"/>
        <c:crosses val="autoZero"/>
        <c:auto val="1"/>
        <c:lblAlgn val="ctr"/>
        <c:lblOffset val="100"/>
        <c:noMultiLvlLbl val="0"/>
      </c:catAx>
      <c:valAx>
        <c:axId val="616570336"/>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Rate per 10,000 population</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16573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r>
              <a:rPr lang="en-US" sz="1200" b="0"/>
              <a:t>Rates of crimes and offences, Aberdeen City, 2013/14 to 2017/18</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'Crime 2'!$B$19</c:f>
              <c:strCache>
                <c:ptCount val="1"/>
                <c:pt idx="0">
                  <c:v>2013/14</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'Crime 2'!$A$20:$A$26</c:f>
              <c:strCache>
                <c:ptCount val="7"/>
                <c:pt idx="0">
                  <c:v>G1 Crimes of violence</c:v>
                </c:pt>
                <c:pt idx="1">
                  <c:v>G2 Sexual crimes</c:v>
                </c:pt>
                <c:pt idx="2">
                  <c:v>G3 Crimes of dishonesty</c:v>
                </c:pt>
                <c:pt idx="3">
                  <c:v>G4 Fire-raising and vandalism</c:v>
                </c:pt>
                <c:pt idx="4">
                  <c:v>G5 Other crimes</c:v>
                </c:pt>
                <c:pt idx="5">
                  <c:v>G6 Miscellaneous offences</c:v>
                </c:pt>
                <c:pt idx="6">
                  <c:v>G7 Motor vehicle offences</c:v>
                </c:pt>
              </c:strCache>
            </c:strRef>
          </c:cat>
          <c:val>
            <c:numRef>
              <c:f>'Crime 2'!$B$20:$B$26</c:f>
              <c:numCache>
                <c:formatCode>0.0</c:formatCode>
                <c:ptCount val="7"/>
                <c:pt idx="0">
                  <c:v>13.792203271841281</c:v>
                </c:pt>
                <c:pt idx="1">
                  <c:v>19.535328924469198</c:v>
                </c:pt>
                <c:pt idx="2">
                  <c:v>381.22171945701359</c:v>
                </c:pt>
                <c:pt idx="3">
                  <c:v>117.21197354681517</c:v>
                </c:pt>
                <c:pt idx="4">
                  <c:v>117.4295161851723</c:v>
                </c:pt>
                <c:pt idx="5">
                  <c:v>417.24678036895233</c:v>
                </c:pt>
                <c:pt idx="6">
                  <c:v>291.42011834319527</c:v>
                </c:pt>
              </c:numCache>
            </c:numRef>
          </c:val>
          <c:extLst>
            <c:ext xmlns:c16="http://schemas.microsoft.com/office/drawing/2014/chart" uri="{C3380CC4-5D6E-409C-BE32-E72D297353CC}">
              <c16:uniqueId val="{00000000-59C2-4A94-85E9-BE1273CFC2F3}"/>
            </c:ext>
          </c:extLst>
        </c:ser>
        <c:ser>
          <c:idx val="1"/>
          <c:order val="1"/>
          <c:tx>
            <c:strRef>
              <c:f>'Crime 2'!$C$19</c:f>
              <c:strCache>
                <c:ptCount val="1"/>
                <c:pt idx="0">
                  <c:v>2014/15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'Crime 2'!$A$20:$A$26</c:f>
              <c:strCache>
                <c:ptCount val="7"/>
                <c:pt idx="0">
                  <c:v>G1 Crimes of violence</c:v>
                </c:pt>
                <c:pt idx="1">
                  <c:v>G2 Sexual crimes</c:v>
                </c:pt>
                <c:pt idx="2">
                  <c:v>G3 Crimes of dishonesty</c:v>
                </c:pt>
                <c:pt idx="3">
                  <c:v>G4 Fire-raising and vandalism</c:v>
                </c:pt>
                <c:pt idx="4">
                  <c:v>G5 Other crimes</c:v>
                </c:pt>
                <c:pt idx="5">
                  <c:v>G6 Miscellaneous offences</c:v>
                </c:pt>
                <c:pt idx="6">
                  <c:v>G7 Motor vehicle offences</c:v>
                </c:pt>
              </c:strCache>
            </c:strRef>
          </c:cat>
          <c:val>
            <c:numRef>
              <c:f>'Crime 2'!$C$20:$C$26</c:f>
              <c:numCache>
                <c:formatCode>0.0</c:formatCode>
                <c:ptCount val="7"/>
                <c:pt idx="0">
                  <c:v>12.660981552384268</c:v>
                </c:pt>
                <c:pt idx="1">
                  <c:v>19.752871562826314</c:v>
                </c:pt>
                <c:pt idx="2">
                  <c:v>327.05360250609118</c:v>
                </c:pt>
                <c:pt idx="3">
                  <c:v>113.47024016707275</c:v>
                </c:pt>
                <c:pt idx="4">
                  <c:v>108.46675948485903</c:v>
                </c:pt>
                <c:pt idx="5">
                  <c:v>367.82109293421507</c:v>
                </c:pt>
                <c:pt idx="6">
                  <c:v>245.43160459450053</c:v>
                </c:pt>
              </c:numCache>
            </c:numRef>
          </c:val>
          <c:extLst>
            <c:ext xmlns:c16="http://schemas.microsoft.com/office/drawing/2014/chart" uri="{C3380CC4-5D6E-409C-BE32-E72D297353CC}">
              <c16:uniqueId val="{00000001-59C2-4A94-85E9-BE1273CFC2F3}"/>
            </c:ext>
          </c:extLst>
        </c:ser>
        <c:ser>
          <c:idx val="2"/>
          <c:order val="2"/>
          <c:tx>
            <c:strRef>
              <c:f>'Crime 2'!$D$19</c:f>
              <c:strCache>
                <c:ptCount val="1"/>
                <c:pt idx="0">
                  <c:v>2015/16</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'Crime 2'!$A$20:$A$26</c:f>
              <c:strCache>
                <c:ptCount val="7"/>
                <c:pt idx="0">
                  <c:v>G1 Crimes of violence</c:v>
                </c:pt>
                <c:pt idx="1">
                  <c:v>G2 Sexual crimes</c:v>
                </c:pt>
                <c:pt idx="2">
                  <c:v>G3 Crimes of dishonesty</c:v>
                </c:pt>
                <c:pt idx="3">
                  <c:v>G4 Fire-raising and vandalism</c:v>
                </c:pt>
                <c:pt idx="4">
                  <c:v>G5 Other crimes</c:v>
                </c:pt>
                <c:pt idx="5">
                  <c:v>G6 Miscellaneous offences</c:v>
                </c:pt>
                <c:pt idx="6">
                  <c:v>G7 Motor vehicle offences</c:v>
                </c:pt>
              </c:strCache>
            </c:strRef>
          </c:cat>
          <c:val>
            <c:numRef>
              <c:f>'Crime 2'!$D$20:$D$26</c:f>
              <c:numCache>
                <c:formatCode>0.0</c:formatCode>
                <c:ptCount val="7"/>
                <c:pt idx="0">
                  <c:v>14.966933518969718</c:v>
                </c:pt>
                <c:pt idx="1">
                  <c:v>22.580925861468845</c:v>
                </c:pt>
                <c:pt idx="2">
                  <c:v>319.87469544030631</c:v>
                </c:pt>
                <c:pt idx="3">
                  <c:v>115.25408980160113</c:v>
                </c:pt>
                <c:pt idx="4">
                  <c:v>114.60146188652976</c:v>
                </c:pt>
                <c:pt idx="5">
                  <c:v>323.92098851374868</c:v>
                </c:pt>
                <c:pt idx="6">
                  <c:v>212.14758092586146</c:v>
                </c:pt>
              </c:numCache>
            </c:numRef>
          </c:val>
          <c:extLst>
            <c:ext xmlns:c16="http://schemas.microsoft.com/office/drawing/2014/chart" uri="{C3380CC4-5D6E-409C-BE32-E72D297353CC}">
              <c16:uniqueId val="{00000002-59C2-4A94-85E9-BE1273CFC2F3}"/>
            </c:ext>
          </c:extLst>
        </c:ser>
        <c:ser>
          <c:idx val="3"/>
          <c:order val="3"/>
          <c:tx>
            <c:strRef>
              <c:f>'Crime 2'!$E$19</c:f>
              <c:strCache>
                <c:ptCount val="1"/>
                <c:pt idx="0">
                  <c:v>2016/17</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'Crime 2'!$A$20:$A$26</c:f>
              <c:strCache>
                <c:ptCount val="7"/>
                <c:pt idx="0">
                  <c:v>G1 Crimes of violence</c:v>
                </c:pt>
                <c:pt idx="1">
                  <c:v>G2 Sexual crimes</c:v>
                </c:pt>
                <c:pt idx="2">
                  <c:v>G3 Crimes of dishonesty</c:v>
                </c:pt>
                <c:pt idx="3">
                  <c:v>G4 Fire-raising and vandalism</c:v>
                </c:pt>
                <c:pt idx="4">
                  <c:v>G5 Other crimes</c:v>
                </c:pt>
                <c:pt idx="5">
                  <c:v>G6 Miscellaneous offences</c:v>
                </c:pt>
                <c:pt idx="6">
                  <c:v>G7 Motor vehicle offences</c:v>
                </c:pt>
              </c:strCache>
            </c:strRef>
          </c:cat>
          <c:val>
            <c:numRef>
              <c:f>'Crime 2'!$E$20:$E$26</c:f>
              <c:numCache>
                <c:formatCode>0.0</c:formatCode>
                <c:ptCount val="7"/>
                <c:pt idx="0">
                  <c:v>16.837800208840932</c:v>
                </c:pt>
                <c:pt idx="1">
                  <c:v>23.277062304211629</c:v>
                </c:pt>
                <c:pt idx="2">
                  <c:v>316.48103028193526</c:v>
                </c:pt>
                <c:pt idx="3">
                  <c:v>98.677340758788716</c:v>
                </c:pt>
                <c:pt idx="4">
                  <c:v>107.64009745910198</c:v>
                </c:pt>
                <c:pt idx="5">
                  <c:v>292.76888270100937</c:v>
                </c:pt>
                <c:pt idx="6">
                  <c:v>203.70692655760527</c:v>
                </c:pt>
              </c:numCache>
            </c:numRef>
          </c:val>
          <c:extLst>
            <c:ext xmlns:c16="http://schemas.microsoft.com/office/drawing/2014/chart" uri="{C3380CC4-5D6E-409C-BE32-E72D297353CC}">
              <c16:uniqueId val="{00000003-59C2-4A94-85E9-BE1273CFC2F3}"/>
            </c:ext>
          </c:extLst>
        </c:ser>
        <c:ser>
          <c:idx val="4"/>
          <c:order val="4"/>
          <c:tx>
            <c:strRef>
              <c:f>'Crime 2'!$F$19</c:f>
              <c:strCache>
                <c:ptCount val="1"/>
                <c:pt idx="0">
                  <c:v>2017/18</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strRef>
              <c:f>'Crime 2'!$A$20:$A$26</c:f>
              <c:strCache>
                <c:ptCount val="7"/>
                <c:pt idx="0">
                  <c:v>G1 Crimes of violence</c:v>
                </c:pt>
                <c:pt idx="1">
                  <c:v>G2 Sexual crimes</c:v>
                </c:pt>
                <c:pt idx="2">
                  <c:v>G3 Crimes of dishonesty</c:v>
                </c:pt>
                <c:pt idx="3">
                  <c:v>G4 Fire-raising and vandalism</c:v>
                </c:pt>
                <c:pt idx="4">
                  <c:v>G5 Other crimes</c:v>
                </c:pt>
                <c:pt idx="5">
                  <c:v>G6 Miscellaneous offences</c:v>
                </c:pt>
                <c:pt idx="6">
                  <c:v>G7 Motor vehicle offences</c:v>
                </c:pt>
              </c:strCache>
            </c:strRef>
          </c:cat>
          <c:val>
            <c:numRef>
              <c:f>'Crime 2'!$F$20:$F$26</c:f>
              <c:numCache>
                <c:formatCode>0.0</c:formatCode>
                <c:ptCount val="7"/>
                <c:pt idx="0">
                  <c:v>15.619561434041071</c:v>
                </c:pt>
                <c:pt idx="1">
                  <c:v>21.580229725026104</c:v>
                </c:pt>
                <c:pt idx="2">
                  <c:v>254.91646362687084</c:v>
                </c:pt>
                <c:pt idx="3">
                  <c:v>92.934215106160806</c:v>
                </c:pt>
                <c:pt idx="4">
                  <c:v>124.60842325095719</c:v>
                </c:pt>
                <c:pt idx="5">
                  <c:v>260.48555516881311</c:v>
                </c:pt>
                <c:pt idx="6">
                  <c:v>167.72537417333797</c:v>
                </c:pt>
              </c:numCache>
            </c:numRef>
          </c:val>
          <c:extLst>
            <c:ext xmlns:c16="http://schemas.microsoft.com/office/drawing/2014/chart" uri="{C3380CC4-5D6E-409C-BE32-E72D297353CC}">
              <c16:uniqueId val="{00000004-59C2-4A94-85E9-BE1273CFC2F3}"/>
            </c:ext>
          </c:extLst>
        </c:ser>
        <c:dLbls>
          <c:showLegendKey val="0"/>
          <c:showVal val="0"/>
          <c:showCatName val="0"/>
          <c:showSerName val="0"/>
          <c:showPercent val="0"/>
          <c:showBubbleSize val="0"/>
        </c:dLbls>
        <c:gapWidth val="100"/>
        <c:overlap val="-24"/>
        <c:axId val="649683992"/>
        <c:axId val="649686616"/>
      </c:barChart>
      <c:catAx>
        <c:axId val="64968399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crossAx val="649686616"/>
        <c:crosses val="autoZero"/>
        <c:auto val="1"/>
        <c:lblAlgn val="ctr"/>
        <c:lblOffset val="100"/>
        <c:noMultiLvlLbl val="0"/>
      </c:catAx>
      <c:valAx>
        <c:axId val="649686616"/>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Rate per 10,000 population</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49683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en-US" sz="1200" b="1"/>
              <a:t>Average crime rate (5-year aggregate) by grouping and neghbourhood, Aberdeen City, 2013/14</a:t>
            </a:r>
            <a:r>
              <a:rPr lang="en-US" sz="1200" b="1" baseline="0"/>
              <a:t>-</a:t>
            </a:r>
            <a:r>
              <a:rPr lang="en-US" sz="1200" b="1"/>
              <a:t>2017/18</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en-US"/>
        </a:p>
      </c:txPr>
    </c:title>
    <c:autoTitleDeleted val="0"/>
    <c:plotArea>
      <c:layout/>
      <c:barChart>
        <c:barDir val="col"/>
        <c:grouping val="stacked"/>
        <c:varyColors val="0"/>
        <c:ser>
          <c:idx val="0"/>
          <c:order val="0"/>
          <c:tx>
            <c:strRef>
              <c:f>'Crime summary'!$B$93</c:f>
              <c:strCache>
                <c:ptCount val="1"/>
                <c:pt idx="0">
                  <c:v>G1 Crimes of violence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'Crime summary'!$A$94:$A$132</c:f>
              <c:strCache>
                <c:ptCount val="38"/>
                <c:pt idx="0">
                  <c:v>Aberdeen City</c:v>
                </c:pt>
                <c:pt idx="1">
                  <c:v>Ashgrove</c:v>
                </c:pt>
                <c:pt idx="2">
                  <c:v>Balgownie</c:v>
                </c:pt>
                <c:pt idx="3">
                  <c:v>Bucksburn</c:v>
                </c:pt>
                <c:pt idx="4">
                  <c:v>City Centre </c:v>
                </c:pt>
                <c:pt idx="5">
                  <c:v>Cove</c:v>
                </c:pt>
                <c:pt idx="6">
                  <c:v>Culter</c:v>
                </c:pt>
                <c:pt idx="7">
                  <c:v>Cults</c:v>
                </c:pt>
                <c:pt idx="8">
                  <c:v>Cummings Park</c:v>
                </c:pt>
                <c:pt idx="9">
                  <c:v>Danestone</c:v>
                </c:pt>
                <c:pt idx="10">
                  <c:v>Denmore</c:v>
                </c:pt>
                <c:pt idx="11">
                  <c:v>Dyce</c:v>
                </c:pt>
                <c:pt idx="12">
                  <c:v>Ferryhill</c:v>
                </c:pt>
                <c:pt idx="13">
                  <c:v>Froghall</c:v>
                </c:pt>
                <c:pt idx="14">
                  <c:v>Garthdee</c:v>
                </c:pt>
                <c:pt idx="15">
                  <c:v>George Street</c:v>
                </c:pt>
                <c:pt idx="16">
                  <c:v>Hanover</c:v>
                </c:pt>
                <c:pt idx="17">
                  <c:v>Hazlehead</c:v>
                </c:pt>
                <c:pt idx="18">
                  <c:v>Heathryfold</c:v>
                </c:pt>
                <c:pt idx="19">
                  <c:v>Hilton</c:v>
                </c:pt>
                <c:pt idx="20">
                  <c:v>Kincorth</c:v>
                </c:pt>
                <c:pt idx="21">
                  <c:v>Kingswells</c:v>
                </c:pt>
                <c:pt idx="22">
                  <c:v>Mannofield</c:v>
                </c:pt>
                <c:pt idx="23">
                  <c:v>Mastrick</c:v>
                </c:pt>
                <c:pt idx="24">
                  <c:v>Middlefield</c:v>
                </c:pt>
                <c:pt idx="25">
                  <c:v>Midstocket</c:v>
                </c:pt>
                <c:pt idx="26">
                  <c:v>Northfield</c:v>
                </c:pt>
                <c:pt idx="27">
                  <c:v>Old Aberdeen</c:v>
                </c:pt>
                <c:pt idx="28">
                  <c:v>Oldmachar</c:v>
                </c:pt>
                <c:pt idx="29">
                  <c:v>Rosemount</c:v>
                </c:pt>
                <c:pt idx="30">
                  <c:v>Seaton</c:v>
                </c:pt>
                <c:pt idx="31">
                  <c:v>Sheddocksley</c:v>
                </c:pt>
                <c:pt idx="32">
                  <c:v>Stockethill</c:v>
                </c:pt>
                <c:pt idx="33">
                  <c:v>Summerhill</c:v>
                </c:pt>
                <c:pt idx="34">
                  <c:v>Tillydrone</c:v>
                </c:pt>
                <c:pt idx="35">
                  <c:v>Torry</c:v>
                </c:pt>
                <c:pt idx="36">
                  <c:v>West End</c:v>
                </c:pt>
                <c:pt idx="37">
                  <c:v>Woodside</c:v>
                </c:pt>
              </c:strCache>
            </c:strRef>
          </c:cat>
          <c:val>
            <c:numRef>
              <c:f>'Crime summary'!$B$94:$B$132</c:f>
              <c:numCache>
                <c:formatCode>0.0</c:formatCode>
                <c:ptCount val="38"/>
                <c:pt idx="0">
                  <c:v>14.775495997215454</c:v>
                </c:pt>
                <c:pt idx="1">
                  <c:v>24.890190336749633</c:v>
                </c:pt>
                <c:pt idx="2">
                  <c:v>6.287331027978623</c:v>
                </c:pt>
                <c:pt idx="3">
                  <c:v>11.6701244813278</c:v>
                </c:pt>
                <c:pt idx="4">
                  <c:v>122.96296296296296</c:v>
                </c:pt>
                <c:pt idx="5">
                  <c:v>4.407875404055245</c:v>
                </c:pt>
                <c:pt idx="6">
                  <c:v>2.4549918166939442</c:v>
                </c:pt>
                <c:pt idx="7">
                  <c:v>1.8013149599207423</c:v>
                </c:pt>
                <c:pt idx="8">
                  <c:v>23.952095808383238</c:v>
                </c:pt>
                <c:pt idx="9">
                  <c:v>3.4423407917383817</c:v>
                </c:pt>
                <c:pt idx="10">
                  <c:v>1.2066365007541477</c:v>
                </c:pt>
                <c:pt idx="11">
                  <c:v>3.3919210607462227</c:v>
                </c:pt>
                <c:pt idx="12">
                  <c:v>7.5697211155378481</c:v>
                </c:pt>
                <c:pt idx="13">
                  <c:v>21.966527196652716</c:v>
                </c:pt>
                <c:pt idx="14">
                  <c:v>9.5255541307931857</c:v>
                </c:pt>
                <c:pt idx="15">
                  <c:v>24.841291747170853</c:v>
                </c:pt>
                <c:pt idx="16">
                  <c:v>21.617398098710773</c:v>
                </c:pt>
                <c:pt idx="17">
                  <c:v>3.8895371450797356</c:v>
                </c:pt>
                <c:pt idx="18">
                  <c:v>8.6621751684311832</c:v>
                </c:pt>
                <c:pt idx="19">
                  <c:v>6.237006237006236</c:v>
                </c:pt>
                <c:pt idx="20">
                  <c:v>11.284087347194651</c:v>
                </c:pt>
                <c:pt idx="21">
                  <c:v>2.1586616297895302</c:v>
                </c:pt>
                <c:pt idx="22">
                  <c:v>2.8204557262673497</c:v>
                </c:pt>
                <c:pt idx="23">
                  <c:v>13.64365971107544</c:v>
                </c:pt>
                <c:pt idx="24">
                  <c:v>26.06310013717421</c:v>
                </c:pt>
                <c:pt idx="25">
                  <c:v>5.0864699898270596</c:v>
                </c:pt>
                <c:pt idx="26">
                  <c:v>18.097876269621423</c:v>
                </c:pt>
                <c:pt idx="27">
                  <c:v>6.8009416688464555</c:v>
                </c:pt>
                <c:pt idx="28">
                  <c:v>1.4874628134296641</c:v>
                </c:pt>
                <c:pt idx="29">
                  <c:v>12.245441235192333</c:v>
                </c:pt>
                <c:pt idx="30">
                  <c:v>25.787965616045845</c:v>
                </c:pt>
                <c:pt idx="31">
                  <c:v>12.072434607645874</c:v>
                </c:pt>
                <c:pt idx="32">
                  <c:v>18.985760679490383</c:v>
                </c:pt>
                <c:pt idx="33">
                  <c:v>19.304038608077217</c:v>
                </c:pt>
                <c:pt idx="34">
                  <c:v>25.484565685570708</c:v>
                </c:pt>
                <c:pt idx="35">
                  <c:v>26.447876447876446</c:v>
                </c:pt>
                <c:pt idx="36">
                  <c:v>5.1628276409849096</c:v>
                </c:pt>
                <c:pt idx="37">
                  <c:v>33.560311284046698</c:v>
                </c:pt>
              </c:numCache>
            </c:numRef>
          </c:val>
          <c:extLst>
            <c:ext xmlns:c16="http://schemas.microsoft.com/office/drawing/2014/chart" uri="{C3380CC4-5D6E-409C-BE32-E72D297353CC}">
              <c16:uniqueId val="{00000000-DC9F-4DDC-9A4F-C91C205DBFCF}"/>
            </c:ext>
          </c:extLst>
        </c:ser>
        <c:ser>
          <c:idx val="1"/>
          <c:order val="1"/>
          <c:tx>
            <c:strRef>
              <c:f>'Crime summary'!$C$93</c:f>
              <c:strCache>
                <c:ptCount val="1"/>
                <c:pt idx="0">
                  <c:v>G2 Sexual Crimes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'Crime summary'!$A$94:$A$132</c:f>
              <c:strCache>
                <c:ptCount val="38"/>
                <c:pt idx="0">
                  <c:v>Aberdeen City</c:v>
                </c:pt>
                <c:pt idx="1">
                  <c:v>Ashgrove</c:v>
                </c:pt>
                <c:pt idx="2">
                  <c:v>Balgownie</c:v>
                </c:pt>
                <c:pt idx="3">
                  <c:v>Bucksburn</c:v>
                </c:pt>
                <c:pt idx="4">
                  <c:v>City Centre </c:v>
                </c:pt>
                <c:pt idx="5">
                  <c:v>Cove</c:v>
                </c:pt>
                <c:pt idx="6">
                  <c:v>Culter</c:v>
                </c:pt>
                <c:pt idx="7">
                  <c:v>Cults</c:v>
                </c:pt>
                <c:pt idx="8">
                  <c:v>Cummings Park</c:v>
                </c:pt>
                <c:pt idx="9">
                  <c:v>Danestone</c:v>
                </c:pt>
                <c:pt idx="10">
                  <c:v>Denmore</c:v>
                </c:pt>
                <c:pt idx="11">
                  <c:v>Dyce</c:v>
                </c:pt>
                <c:pt idx="12">
                  <c:v>Ferryhill</c:v>
                </c:pt>
                <c:pt idx="13">
                  <c:v>Froghall</c:v>
                </c:pt>
                <c:pt idx="14">
                  <c:v>Garthdee</c:v>
                </c:pt>
                <c:pt idx="15">
                  <c:v>George Street</c:v>
                </c:pt>
                <c:pt idx="16">
                  <c:v>Hanover</c:v>
                </c:pt>
                <c:pt idx="17">
                  <c:v>Hazlehead</c:v>
                </c:pt>
                <c:pt idx="18">
                  <c:v>Heathryfold</c:v>
                </c:pt>
                <c:pt idx="19">
                  <c:v>Hilton</c:v>
                </c:pt>
                <c:pt idx="20">
                  <c:v>Kincorth</c:v>
                </c:pt>
                <c:pt idx="21">
                  <c:v>Kingswells</c:v>
                </c:pt>
                <c:pt idx="22">
                  <c:v>Mannofield</c:v>
                </c:pt>
                <c:pt idx="23">
                  <c:v>Mastrick</c:v>
                </c:pt>
                <c:pt idx="24">
                  <c:v>Middlefield</c:v>
                </c:pt>
                <c:pt idx="25">
                  <c:v>Midstocket</c:v>
                </c:pt>
                <c:pt idx="26">
                  <c:v>Northfield</c:v>
                </c:pt>
                <c:pt idx="27">
                  <c:v>Old Aberdeen</c:v>
                </c:pt>
                <c:pt idx="28">
                  <c:v>Oldmachar</c:v>
                </c:pt>
                <c:pt idx="29">
                  <c:v>Rosemount</c:v>
                </c:pt>
                <c:pt idx="30">
                  <c:v>Seaton</c:v>
                </c:pt>
                <c:pt idx="31">
                  <c:v>Sheddocksley</c:v>
                </c:pt>
                <c:pt idx="32">
                  <c:v>Stockethill</c:v>
                </c:pt>
                <c:pt idx="33">
                  <c:v>Summerhill</c:v>
                </c:pt>
                <c:pt idx="34">
                  <c:v>Tillydrone</c:v>
                </c:pt>
                <c:pt idx="35">
                  <c:v>Torry</c:v>
                </c:pt>
                <c:pt idx="36">
                  <c:v>West End</c:v>
                </c:pt>
                <c:pt idx="37">
                  <c:v>Woodside</c:v>
                </c:pt>
              </c:strCache>
            </c:strRef>
          </c:cat>
          <c:val>
            <c:numRef>
              <c:f>'Crime summary'!$C$94:$C$132</c:f>
              <c:numCache>
                <c:formatCode>0.0</c:formatCode>
                <c:ptCount val="38"/>
                <c:pt idx="0">
                  <c:v>21.34528367560042</c:v>
                </c:pt>
                <c:pt idx="1">
                  <c:v>27.818448023426058</c:v>
                </c:pt>
                <c:pt idx="2">
                  <c:v>4.4011317195850364</c:v>
                </c:pt>
                <c:pt idx="3">
                  <c:v>17.634854771784234</c:v>
                </c:pt>
                <c:pt idx="4">
                  <c:v>107.55555555555554</c:v>
                </c:pt>
                <c:pt idx="5">
                  <c:v>10.57890096973259</c:v>
                </c:pt>
                <c:pt idx="6">
                  <c:v>6.9558101472995091</c:v>
                </c:pt>
                <c:pt idx="7">
                  <c:v>3.2423669278573359</c:v>
                </c:pt>
                <c:pt idx="8">
                  <c:v>41.371801850843767</c:v>
                </c:pt>
                <c:pt idx="9">
                  <c:v>10.818785345463487</c:v>
                </c:pt>
                <c:pt idx="10">
                  <c:v>5.4298642533936654</c:v>
                </c:pt>
                <c:pt idx="11">
                  <c:v>10.175763182238668</c:v>
                </c:pt>
                <c:pt idx="12">
                  <c:v>13.346613545816732</c:v>
                </c:pt>
                <c:pt idx="13">
                  <c:v>26.499302649930261</c:v>
                </c:pt>
                <c:pt idx="14">
                  <c:v>13.189228796482872</c:v>
                </c:pt>
                <c:pt idx="15">
                  <c:v>30.637593154844051</c:v>
                </c:pt>
                <c:pt idx="16">
                  <c:v>87.511394712853246</c:v>
                </c:pt>
                <c:pt idx="17">
                  <c:v>9.723842862699339</c:v>
                </c:pt>
                <c:pt idx="18">
                  <c:v>17.324350336862366</c:v>
                </c:pt>
                <c:pt idx="19">
                  <c:v>11.954261954261952</c:v>
                </c:pt>
                <c:pt idx="20">
                  <c:v>14.000626893741511</c:v>
                </c:pt>
                <c:pt idx="21">
                  <c:v>7.9150926425616124</c:v>
                </c:pt>
                <c:pt idx="22">
                  <c:v>11.578712981518594</c:v>
                </c:pt>
                <c:pt idx="23">
                  <c:v>20.866773675762442</c:v>
                </c:pt>
                <c:pt idx="24">
                  <c:v>52.812071330589852</c:v>
                </c:pt>
                <c:pt idx="25">
                  <c:v>16.276703967446593</c:v>
                </c:pt>
                <c:pt idx="26">
                  <c:v>29.17820867959372</c:v>
                </c:pt>
                <c:pt idx="27">
                  <c:v>9.9398378236986655</c:v>
                </c:pt>
                <c:pt idx="28">
                  <c:v>6.3748406289842761</c:v>
                </c:pt>
                <c:pt idx="29">
                  <c:v>17.835751364301878</c:v>
                </c:pt>
                <c:pt idx="30">
                  <c:v>31.160458452722061</c:v>
                </c:pt>
                <c:pt idx="31">
                  <c:v>16.599597585513077</c:v>
                </c:pt>
                <c:pt idx="32">
                  <c:v>13.989507869098176</c:v>
                </c:pt>
                <c:pt idx="33">
                  <c:v>13.716027432054865</c:v>
                </c:pt>
                <c:pt idx="34">
                  <c:v>20.100502512562812</c:v>
                </c:pt>
                <c:pt idx="35">
                  <c:v>35.714285714285715</c:v>
                </c:pt>
                <c:pt idx="36">
                  <c:v>10.127084988085782</c:v>
                </c:pt>
                <c:pt idx="37">
                  <c:v>32.101167315175097</c:v>
                </c:pt>
              </c:numCache>
            </c:numRef>
          </c:val>
          <c:extLst>
            <c:ext xmlns:c16="http://schemas.microsoft.com/office/drawing/2014/chart" uri="{C3380CC4-5D6E-409C-BE32-E72D297353CC}">
              <c16:uniqueId val="{00000001-DC9F-4DDC-9A4F-C91C205DBFCF}"/>
            </c:ext>
          </c:extLst>
        </c:ser>
        <c:ser>
          <c:idx val="2"/>
          <c:order val="2"/>
          <c:tx>
            <c:strRef>
              <c:f>'Crime summary'!$D$93</c:f>
              <c:strCache>
                <c:ptCount val="1"/>
                <c:pt idx="0">
                  <c:v>G3 Crimes of dishonesty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'Crime summary'!$A$94:$A$132</c:f>
              <c:strCache>
                <c:ptCount val="38"/>
                <c:pt idx="0">
                  <c:v>Aberdeen City</c:v>
                </c:pt>
                <c:pt idx="1">
                  <c:v>Ashgrove</c:v>
                </c:pt>
                <c:pt idx="2">
                  <c:v>Balgownie</c:v>
                </c:pt>
                <c:pt idx="3">
                  <c:v>Bucksburn</c:v>
                </c:pt>
                <c:pt idx="4">
                  <c:v>City Centre </c:v>
                </c:pt>
                <c:pt idx="5">
                  <c:v>Cove</c:v>
                </c:pt>
                <c:pt idx="6">
                  <c:v>Culter</c:v>
                </c:pt>
                <c:pt idx="7">
                  <c:v>Cults</c:v>
                </c:pt>
                <c:pt idx="8">
                  <c:v>Cummings Park</c:v>
                </c:pt>
                <c:pt idx="9">
                  <c:v>Danestone</c:v>
                </c:pt>
                <c:pt idx="10">
                  <c:v>Denmore</c:v>
                </c:pt>
                <c:pt idx="11">
                  <c:v>Dyce</c:v>
                </c:pt>
                <c:pt idx="12">
                  <c:v>Ferryhill</c:v>
                </c:pt>
                <c:pt idx="13">
                  <c:v>Froghall</c:v>
                </c:pt>
                <c:pt idx="14">
                  <c:v>Garthdee</c:v>
                </c:pt>
                <c:pt idx="15">
                  <c:v>George Street</c:v>
                </c:pt>
                <c:pt idx="16">
                  <c:v>Hanover</c:v>
                </c:pt>
                <c:pt idx="17">
                  <c:v>Hazlehead</c:v>
                </c:pt>
                <c:pt idx="18">
                  <c:v>Heathryfold</c:v>
                </c:pt>
                <c:pt idx="19">
                  <c:v>Hilton</c:v>
                </c:pt>
                <c:pt idx="20">
                  <c:v>Kincorth</c:v>
                </c:pt>
                <c:pt idx="21">
                  <c:v>Kingswells</c:v>
                </c:pt>
                <c:pt idx="22">
                  <c:v>Mannofield</c:v>
                </c:pt>
                <c:pt idx="23">
                  <c:v>Mastrick</c:v>
                </c:pt>
                <c:pt idx="24">
                  <c:v>Middlefield</c:v>
                </c:pt>
                <c:pt idx="25">
                  <c:v>Midstocket</c:v>
                </c:pt>
                <c:pt idx="26">
                  <c:v>Northfield</c:v>
                </c:pt>
                <c:pt idx="27">
                  <c:v>Old Aberdeen</c:v>
                </c:pt>
                <c:pt idx="28">
                  <c:v>Oldmachar</c:v>
                </c:pt>
                <c:pt idx="29">
                  <c:v>Rosemount</c:v>
                </c:pt>
                <c:pt idx="30">
                  <c:v>Seaton</c:v>
                </c:pt>
                <c:pt idx="31">
                  <c:v>Sheddocksley</c:v>
                </c:pt>
                <c:pt idx="32">
                  <c:v>Stockethill</c:v>
                </c:pt>
                <c:pt idx="33">
                  <c:v>Summerhill</c:v>
                </c:pt>
                <c:pt idx="34">
                  <c:v>Tillydrone</c:v>
                </c:pt>
                <c:pt idx="35">
                  <c:v>Torry</c:v>
                </c:pt>
                <c:pt idx="36">
                  <c:v>West End</c:v>
                </c:pt>
                <c:pt idx="37">
                  <c:v>Woodside</c:v>
                </c:pt>
              </c:strCache>
            </c:strRef>
          </c:cat>
          <c:val>
            <c:numRef>
              <c:f>'Crime summary'!$D$94:$D$132</c:f>
              <c:numCache>
                <c:formatCode>0.0</c:formatCode>
                <c:ptCount val="38"/>
                <c:pt idx="0">
                  <c:v>319.90950226244348</c:v>
                </c:pt>
                <c:pt idx="1">
                  <c:v>647.14494875549042</c:v>
                </c:pt>
                <c:pt idx="2">
                  <c:v>145.55171329770511</c:v>
                </c:pt>
                <c:pt idx="3">
                  <c:v>291.2344398340249</c:v>
                </c:pt>
                <c:pt idx="4">
                  <c:v>2667.8518518518517</c:v>
                </c:pt>
                <c:pt idx="5">
                  <c:v>105.78900969732588</c:v>
                </c:pt>
                <c:pt idx="6">
                  <c:v>65.875613747954176</c:v>
                </c:pt>
                <c:pt idx="7">
                  <c:v>100.33324326758535</c:v>
                </c:pt>
                <c:pt idx="8">
                  <c:v>288.51388132825258</c:v>
                </c:pt>
                <c:pt idx="9">
                  <c:v>180.96877305138921</c:v>
                </c:pt>
                <c:pt idx="10">
                  <c:v>206.93815987933633</c:v>
                </c:pt>
                <c:pt idx="11">
                  <c:v>193.64785692260253</c:v>
                </c:pt>
                <c:pt idx="12">
                  <c:v>254.58167330677293</c:v>
                </c:pt>
                <c:pt idx="13">
                  <c:v>365.76011157601118</c:v>
                </c:pt>
                <c:pt idx="14">
                  <c:v>409.23246015753807</c:v>
                </c:pt>
                <c:pt idx="15">
                  <c:v>456.52773944245098</c:v>
                </c:pt>
                <c:pt idx="16">
                  <c:v>531.57963276468286</c:v>
                </c:pt>
                <c:pt idx="17">
                  <c:v>229.48269155970439</c:v>
                </c:pt>
                <c:pt idx="18">
                  <c:v>226.17901828681426</c:v>
                </c:pt>
                <c:pt idx="19">
                  <c:v>201.14345114345116</c:v>
                </c:pt>
                <c:pt idx="20">
                  <c:v>132.90147320029254</c:v>
                </c:pt>
                <c:pt idx="21">
                  <c:v>92.462673142651539</c:v>
                </c:pt>
                <c:pt idx="22">
                  <c:v>161.8050916648111</c:v>
                </c:pt>
                <c:pt idx="23">
                  <c:v>258.15944355270199</c:v>
                </c:pt>
                <c:pt idx="24">
                  <c:v>231.13854595336079</c:v>
                </c:pt>
                <c:pt idx="25">
                  <c:v>397.25330620549335</c:v>
                </c:pt>
                <c:pt idx="26">
                  <c:v>257.43305632502307</c:v>
                </c:pt>
                <c:pt idx="27">
                  <c:v>321.73685587235155</c:v>
                </c:pt>
                <c:pt idx="28">
                  <c:v>73.523161920951978</c:v>
                </c:pt>
                <c:pt idx="29">
                  <c:v>282.97617463064023</c:v>
                </c:pt>
                <c:pt idx="30">
                  <c:v>372.13467048710606</c:v>
                </c:pt>
                <c:pt idx="31">
                  <c:v>208.24949698189133</c:v>
                </c:pt>
                <c:pt idx="32">
                  <c:v>286.28528603547335</c:v>
                </c:pt>
                <c:pt idx="33">
                  <c:v>244.85648971297942</c:v>
                </c:pt>
                <c:pt idx="34">
                  <c:v>213.20890165111271</c:v>
                </c:pt>
                <c:pt idx="35">
                  <c:v>356.56370656370655</c:v>
                </c:pt>
                <c:pt idx="36">
                  <c:v>223.19301032565531</c:v>
                </c:pt>
                <c:pt idx="37">
                  <c:v>491.24513618677042</c:v>
                </c:pt>
              </c:numCache>
            </c:numRef>
          </c:val>
          <c:extLst>
            <c:ext xmlns:c16="http://schemas.microsoft.com/office/drawing/2014/chart" uri="{C3380CC4-5D6E-409C-BE32-E72D297353CC}">
              <c16:uniqueId val="{00000002-DC9F-4DDC-9A4F-C91C205DBFCF}"/>
            </c:ext>
          </c:extLst>
        </c:ser>
        <c:ser>
          <c:idx val="3"/>
          <c:order val="3"/>
          <c:tx>
            <c:strRef>
              <c:f>'Crime summary'!$E$93</c:f>
              <c:strCache>
                <c:ptCount val="1"/>
                <c:pt idx="0">
                  <c:v>G4 Fire-raising, vandalism etc</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'Crime summary'!$A$94:$A$132</c:f>
              <c:strCache>
                <c:ptCount val="38"/>
                <c:pt idx="0">
                  <c:v>Aberdeen City</c:v>
                </c:pt>
                <c:pt idx="1">
                  <c:v>Ashgrove</c:v>
                </c:pt>
                <c:pt idx="2">
                  <c:v>Balgownie</c:v>
                </c:pt>
                <c:pt idx="3">
                  <c:v>Bucksburn</c:v>
                </c:pt>
                <c:pt idx="4">
                  <c:v>City Centre </c:v>
                </c:pt>
                <c:pt idx="5">
                  <c:v>Cove</c:v>
                </c:pt>
                <c:pt idx="6">
                  <c:v>Culter</c:v>
                </c:pt>
                <c:pt idx="7">
                  <c:v>Cults</c:v>
                </c:pt>
                <c:pt idx="8">
                  <c:v>Cummings Park</c:v>
                </c:pt>
                <c:pt idx="9">
                  <c:v>Danestone</c:v>
                </c:pt>
                <c:pt idx="10">
                  <c:v>Denmore</c:v>
                </c:pt>
                <c:pt idx="11">
                  <c:v>Dyce</c:v>
                </c:pt>
                <c:pt idx="12">
                  <c:v>Ferryhill</c:v>
                </c:pt>
                <c:pt idx="13">
                  <c:v>Froghall</c:v>
                </c:pt>
                <c:pt idx="14">
                  <c:v>Garthdee</c:v>
                </c:pt>
                <c:pt idx="15">
                  <c:v>George Street</c:v>
                </c:pt>
                <c:pt idx="16">
                  <c:v>Hanover</c:v>
                </c:pt>
                <c:pt idx="17">
                  <c:v>Hazlehead</c:v>
                </c:pt>
                <c:pt idx="18">
                  <c:v>Heathryfold</c:v>
                </c:pt>
                <c:pt idx="19">
                  <c:v>Hilton</c:v>
                </c:pt>
                <c:pt idx="20">
                  <c:v>Kincorth</c:v>
                </c:pt>
                <c:pt idx="21">
                  <c:v>Kingswells</c:v>
                </c:pt>
                <c:pt idx="22">
                  <c:v>Mannofield</c:v>
                </c:pt>
                <c:pt idx="23">
                  <c:v>Mastrick</c:v>
                </c:pt>
                <c:pt idx="24">
                  <c:v>Middlefield</c:v>
                </c:pt>
                <c:pt idx="25">
                  <c:v>Midstocket</c:v>
                </c:pt>
                <c:pt idx="26">
                  <c:v>Northfield</c:v>
                </c:pt>
                <c:pt idx="27">
                  <c:v>Old Aberdeen</c:v>
                </c:pt>
                <c:pt idx="28">
                  <c:v>Oldmachar</c:v>
                </c:pt>
                <c:pt idx="29">
                  <c:v>Rosemount</c:v>
                </c:pt>
                <c:pt idx="30">
                  <c:v>Seaton</c:v>
                </c:pt>
                <c:pt idx="31">
                  <c:v>Sheddocksley</c:v>
                </c:pt>
                <c:pt idx="32">
                  <c:v>Stockethill</c:v>
                </c:pt>
                <c:pt idx="33">
                  <c:v>Summerhill</c:v>
                </c:pt>
                <c:pt idx="34">
                  <c:v>Tillydrone</c:v>
                </c:pt>
                <c:pt idx="35">
                  <c:v>Torry</c:v>
                </c:pt>
                <c:pt idx="36">
                  <c:v>West End</c:v>
                </c:pt>
                <c:pt idx="37">
                  <c:v>Woodside</c:v>
                </c:pt>
              </c:strCache>
            </c:strRef>
          </c:cat>
          <c:val>
            <c:numRef>
              <c:f>'Crime summary'!$E$94:$E$132</c:f>
              <c:numCache>
                <c:formatCode>0.0</c:formatCode>
                <c:ptCount val="38"/>
                <c:pt idx="0">
                  <c:v>107.5095718760877</c:v>
                </c:pt>
                <c:pt idx="1">
                  <c:v>122.98682284040996</c:v>
                </c:pt>
                <c:pt idx="2">
                  <c:v>57.214712354605467</c:v>
                </c:pt>
                <c:pt idx="3">
                  <c:v>111.51452282157676</c:v>
                </c:pt>
                <c:pt idx="4">
                  <c:v>343.11111111111114</c:v>
                </c:pt>
                <c:pt idx="5">
                  <c:v>36.732295033793712</c:v>
                </c:pt>
                <c:pt idx="6">
                  <c:v>26.186579378068743</c:v>
                </c:pt>
                <c:pt idx="7">
                  <c:v>24.858146446906243</c:v>
                </c:pt>
                <c:pt idx="8">
                  <c:v>246.05334784975506</c:v>
                </c:pt>
                <c:pt idx="9">
                  <c:v>38.357511679370539</c:v>
                </c:pt>
                <c:pt idx="10">
                  <c:v>36.199095022624434</c:v>
                </c:pt>
                <c:pt idx="11">
                  <c:v>65.063213074313907</c:v>
                </c:pt>
                <c:pt idx="12">
                  <c:v>89.243027888446207</c:v>
                </c:pt>
                <c:pt idx="13">
                  <c:v>117.50348675034869</c:v>
                </c:pt>
                <c:pt idx="14">
                  <c:v>96.354643707638758</c:v>
                </c:pt>
                <c:pt idx="15">
                  <c:v>122.82638697212255</c:v>
                </c:pt>
                <c:pt idx="16">
                  <c:v>118.24456309415288</c:v>
                </c:pt>
                <c:pt idx="17">
                  <c:v>70.01166861143524</c:v>
                </c:pt>
                <c:pt idx="18">
                  <c:v>85.659287776708382</c:v>
                </c:pt>
                <c:pt idx="19">
                  <c:v>83.160083160083161</c:v>
                </c:pt>
                <c:pt idx="20">
                  <c:v>95.078884129140107</c:v>
                </c:pt>
                <c:pt idx="21">
                  <c:v>20.867062421298794</c:v>
                </c:pt>
                <c:pt idx="22">
                  <c:v>30.728122912491649</c:v>
                </c:pt>
                <c:pt idx="23">
                  <c:v>173.62225789192081</c:v>
                </c:pt>
                <c:pt idx="24">
                  <c:v>235.93964334705075</c:v>
                </c:pt>
                <c:pt idx="25">
                  <c:v>70.701932858596138</c:v>
                </c:pt>
                <c:pt idx="26">
                  <c:v>206.09418282548475</c:v>
                </c:pt>
                <c:pt idx="27">
                  <c:v>53.884383991629612</c:v>
                </c:pt>
                <c:pt idx="28">
                  <c:v>28.049298767530811</c:v>
                </c:pt>
                <c:pt idx="29">
                  <c:v>110.74138160521763</c:v>
                </c:pt>
                <c:pt idx="30">
                  <c:v>178.3667621776504</c:v>
                </c:pt>
                <c:pt idx="31">
                  <c:v>103.11871227364185</c:v>
                </c:pt>
                <c:pt idx="32">
                  <c:v>153.38496127904071</c:v>
                </c:pt>
                <c:pt idx="33">
                  <c:v>107.18821437642876</c:v>
                </c:pt>
                <c:pt idx="34">
                  <c:v>141.78033022254127</c:v>
                </c:pt>
                <c:pt idx="35">
                  <c:v>291.89189189189187</c:v>
                </c:pt>
                <c:pt idx="36">
                  <c:v>76.25099285146942</c:v>
                </c:pt>
                <c:pt idx="37">
                  <c:v>197.47081712062257</c:v>
                </c:pt>
              </c:numCache>
            </c:numRef>
          </c:val>
          <c:extLst>
            <c:ext xmlns:c16="http://schemas.microsoft.com/office/drawing/2014/chart" uri="{C3380CC4-5D6E-409C-BE32-E72D297353CC}">
              <c16:uniqueId val="{00000003-DC9F-4DDC-9A4F-C91C205DBFCF}"/>
            </c:ext>
          </c:extLst>
        </c:ser>
        <c:ser>
          <c:idx val="4"/>
          <c:order val="4"/>
          <c:tx>
            <c:strRef>
              <c:f>'Crime summary'!$F$93</c:f>
              <c:strCache>
                <c:ptCount val="1"/>
                <c:pt idx="0">
                  <c:v>G5 Other Crimes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strRef>
              <c:f>'Crime summary'!$A$94:$A$132</c:f>
              <c:strCache>
                <c:ptCount val="38"/>
                <c:pt idx="0">
                  <c:v>Aberdeen City</c:v>
                </c:pt>
                <c:pt idx="1">
                  <c:v>Ashgrove</c:v>
                </c:pt>
                <c:pt idx="2">
                  <c:v>Balgownie</c:v>
                </c:pt>
                <c:pt idx="3">
                  <c:v>Bucksburn</c:v>
                </c:pt>
                <c:pt idx="4">
                  <c:v>City Centre </c:v>
                </c:pt>
                <c:pt idx="5">
                  <c:v>Cove</c:v>
                </c:pt>
                <c:pt idx="6">
                  <c:v>Culter</c:v>
                </c:pt>
                <c:pt idx="7">
                  <c:v>Cults</c:v>
                </c:pt>
                <c:pt idx="8">
                  <c:v>Cummings Park</c:v>
                </c:pt>
                <c:pt idx="9">
                  <c:v>Danestone</c:v>
                </c:pt>
                <c:pt idx="10">
                  <c:v>Denmore</c:v>
                </c:pt>
                <c:pt idx="11">
                  <c:v>Dyce</c:v>
                </c:pt>
                <c:pt idx="12">
                  <c:v>Ferryhill</c:v>
                </c:pt>
                <c:pt idx="13">
                  <c:v>Froghall</c:v>
                </c:pt>
                <c:pt idx="14">
                  <c:v>Garthdee</c:v>
                </c:pt>
                <c:pt idx="15">
                  <c:v>George Street</c:v>
                </c:pt>
                <c:pt idx="16">
                  <c:v>Hanover</c:v>
                </c:pt>
                <c:pt idx="17">
                  <c:v>Hazlehead</c:v>
                </c:pt>
                <c:pt idx="18">
                  <c:v>Heathryfold</c:v>
                </c:pt>
                <c:pt idx="19">
                  <c:v>Hilton</c:v>
                </c:pt>
                <c:pt idx="20">
                  <c:v>Kincorth</c:v>
                </c:pt>
                <c:pt idx="21">
                  <c:v>Kingswells</c:v>
                </c:pt>
                <c:pt idx="22">
                  <c:v>Mannofield</c:v>
                </c:pt>
                <c:pt idx="23">
                  <c:v>Mastrick</c:v>
                </c:pt>
                <c:pt idx="24">
                  <c:v>Middlefield</c:v>
                </c:pt>
                <c:pt idx="25">
                  <c:v>Midstocket</c:v>
                </c:pt>
                <c:pt idx="26">
                  <c:v>Northfield</c:v>
                </c:pt>
                <c:pt idx="27">
                  <c:v>Old Aberdeen</c:v>
                </c:pt>
                <c:pt idx="28">
                  <c:v>Oldmachar</c:v>
                </c:pt>
                <c:pt idx="29">
                  <c:v>Rosemount</c:v>
                </c:pt>
                <c:pt idx="30">
                  <c:v>Seaton</c:v>
                </c:pt>
                <c:pt idx="31">
                  <c:v>Sheddocksley</c:v>
                </c:pt>
                <c:pt idx="32">
                  <c:v>Stockethill</c:v>
                </c:pt>
                <c:pt idx="33">
                  <c:v>Summerhill</c:v>
                </c:pt>
                <c:pt idx="34">
                  <c:v>Tillydrone</c:v>
                </c:pt>
                <c:pt idx="35">
                  <c:v>Torry</c:v>
                </c:pt>
                <c:pt idx="36">
                  <c:v>West End</c:v>
                </c:pt>
                <c:pt idx="37">
                  <c:v>Woodside</c:v>
                </c:pt>
              </c:strCache>
            </c:strRef>
          </c:cat>
          <c:val>
            <c:numRef>
              <c:f>'Crime summary'!$F$94:$F$132</c:f>
              <c:numCache>
                <c:formatCode>0.0</c:formatCode>
                <c:ptCount val="38"/>
                <c:pt idx="0">
                  <c:v>114.54925165332405</c:v>
                </c:pt>
                <c:pt idx="1">
                  <c:v>151.53733528550512</c:v>
                </c:pt>
                <c:pt idx="2">
                  <c:v>44.011317195850367</c:v>
                </c:pt>
                <c:pt idx="3">
                  <c:v>69.502074688796682</c:v>
                </c:pt>
                <c:pt idx="4">
                  <c:v>1036.7407407407406</c:v>
                </c:pt>
                <c:pt idx="5">
                  <c:v>27.622685865412873</c:v>
                </c:pt>
                <c:pt idx="6">
                  <c:v>15.957446808510637</c:v>
                </c:pt>
                <c:pt idx="7">
                  <c:v>10.087363775556156</c:v>
                </c:pt>
                <c:pt idx="8">
                  <c:v>175.28579205225913</c:v>
                </c:pt>
                <c:pt idx="9">
                  <c:v>24.588148512417014</c:v>
                </c:pt>
                <c:pt idx="10">
                  <c:v>21.116138763197586</c:v>
                </c:pt>
                <c:pt idx="11">
                  <c:v>34.22756706753006</c:v>
                </c:pt>
                <c:pt idx="12">
                  <c:v>73.107569721115539</c:v>
                </c:pt>
                <c:pt idx="13">
                  <c:v>110.52998605299861</c:v>
                </c:pt>
                <c:pt idx="14">
                  <c:v>67.411613848690223</c:v>
                </c:pt>
                <c:pt idx="15">
                  <c:v>167.26469776428374</c:v>
                </c:pt>
                <c:pt idx="16">
                  <c:v>150.27998437296523</c:v>
                </c:pt>
                <c:pt idx="17">
                  <c:v>61.843640606767799</c:v>
                </c:pt>
                <c:pt idx="18">
                  <c:v>86.621751684311832</c:v>
                </c:pt>
                <c:pt idx="19">
                  <c:v>73.804573804573806</c:v>
                </c:pt>
                <c:pt idx="20">
                  <c:v>59.972834604534533</c:v>
                </c:pt>
                <c:pt idx="21">
                  <c:v>13.671523655333692</c:v>
                </c:pt>
                <c:pt idx="22">
                  <c:v>22.415200771914197</c:v>
                </c:pt>
                <c:pt idx="23">
                  <c:v>102.72873194221509</c:v>
                </c:pt>
                <c:pt idx="24">
                  <c:v>159.80795610425241</c:v>
                </c:pt>
                <c:pt idx="25">
                  <c:v>104.27263479145472</c:v>
                </c:pt>
                <c:pt idx="26">
                  <c:v>136.65743305632503</c:v>
                </c:pt>
                <c:pt idx="27">
                  <c:v>62.777923097044209</c:v>
                </c:pt>
                <c:pt idx="28">
                  <c:v>11.474713132171695</c:v>
                </c:pt>
                <c:pt idx="29">
                  <c:v>93.970451217888979</c:v>
                </c:pt>
                <c:pt idx="30">
                  <c:v>239.97134670487105</c:v>
                </c:pt>
                <c:pt idx="31">
                  <c:v>59.859154929577464</c:v>
                </c:pt>
                <c:pt idx="32">
                  <c:v>162.87784161878594</c:v>
                </c:pt>
                <c:pt idx="33">
                  <c:v>89.916179832359674</c:v>
                </c:pt>
                <c:pt idx="34">
                  <c:v>173.00789662598709</c:v>
                </c:pt>
                <c:pt idx="35">
                  <c:v>243.62934362934362</c:v>
                </c:pt>
                <c:pt idx="36">
                  <c:v>35.94122319301033</c:v>
                </c:pt>
                <c:pt idx="37">
                  <c:v>247.0817120622568</c:v>
                </c:pt>
              </c:numCache>
            </c:numRef>
          </c:val>
          <c:extLst>
            <c:ext xmlns:c16="http://schemas.microsoft.com/office/drawing/2014/chart" uri="{C3380CC4-5D6E-409C-BE32-E72D297353CC}">
              <c16:uniqueId val="{00000004-DC9F-4DDC-9A4F-C91C205DBFCF}"/>
            </c:ext>
          </c:extLst>
        </c:ser>
        <c:ser>
          <c:idx val="5"/>
          <c:order val="5"/>
          <c:tx>
            <c:strRef>
              <c:f>'Crime summary'!$G$93</c:f>
              <c:strCache>
                <c:ptCount val="1"/>
                <c:pt idx="0">
                  <c:v>G6 Miscellaneous offences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strRef>
              <c:f>'Crime summary'!$A$94:$A$132</c:f>
              <c:strCache>
                <c:ptCount val="38"/>
                <c:pt idx="0">
                  <c:v>Aberdeen City</c:v>
                </c:pt>
                <c:pt idx="1">
                  <c:v>Ashgrove</c:v>
                </c:pt>
                <c:pt idx="2">
                  <c:v>Balgownie</c:v>
                </c:pt>
                <c:pt idx="3">
                  <c:v>Bucksburn</c:v>
                </c:pt>
                <c:pt idx="4">
                  <c:v>City Centre </c:v>
                </c:pt>
                <c:pt idx="5">
                  <c:v>Cove</c:v>
                </c:pt>
                <c:pt idx="6">
                  <c:v>Culter</c:v>
                </c:pt>
                <c:pt idx="7">
                  <c:v>Cults</c:v>
                </c:pt>
                <c:pt idx="8">
                  <c:v>Cummings Park</c:v>
                </c:pt>
                <c:pt idx="9">
                  <c:v>Danestone</c:v>
                </c:pt>
                <c:pt idx="10">
                  <c:v>Denmore</c:v>
                </c:pt>
                <c:pt idx="11">
                  <c:v>Dyce</c:v>
                </c:pt>
                <c:pt idx="12">
                  <c:v>Ferryhill</c:v>
                </c:pt>
                <c:pt idx="13">
                  <c:v>Froghall</c:v>
                </c:pt>
                <c:pt idx="14">
                  <c:v>Garthdee</c:v>
                </c:pt>
                <c:pt idx="15">
                  <c:v>George Street</c:v>
                </c:pt>
                <c:pt idx="16">
                  <c:v>Hanover</c:v>
                </c:pt>
                <c:pt idx="17">
                  <c:v>Hazlehead</c:v>
                </c:pt>
                <c:pt idx="18">
                  <c:v>Heathryfold</c:v>
                </c:pt>
                <c:pt idx="19">
                  <c:v>Hilton</c:v>
                </c:pt>
                <c:pt idx="20">
                  <c:v>Kincorth</c:v>
                </c:pt>
                <c:pt idx="21">
                  <c:v>Kingswells</c:v>
                </c:pt>
                <c:pt idx="22">
                  <c:v>Mannofield</c:v>
                </c:pt>
                <c:pt idx="23">
                  <c:v>Mastrick</c:v>
                </c:pt>
                <c:pt idx="24">
                  <c:v>Middlefield</c:v>
                </c:pt>
                <c:pt idx="25">
                  <c:v>Midstocket</c:v>
                </c:pt>
                <c:pt idx="26">
                  <c:v>Northfield</c:v>
                </c:pt>
                <c:pt idx="27">
                  <c:v>Old Aberdeen</c:v>
                </c:pt>
                <c:pt idx="28">
                  <c:v>Oldmachar</c:v>
                </c:pt>
                <c:pt idx="29">
                  <c:v>Rosemount</c:v>
                </c:pt>
                <c:pt idx="30">
                  <c:v>Seaton</c:v>
                </c:pt>
                <c:pt idx="31">
                  <c:v>Sheddocksley</c:v>
                </c:pt>
                <c:pt idx="32">
                  <c:v>Stockethill</c:v>
                </c:pt>
                <c:pt idx="33">
                  <c:v>Summerhill</c:v>
                </c:pt>
                <c:pt idx="34">
                  <c:v>Tillydrone</c:v>
                </c:pt>
                <c:pt idx="35">
                  <c:v>Torry</c:v>
                </c:pt>
                <c:pt idx="36">
                  <c:v>West End</c:v>
                </c:pt>
                <c:pt idx="37">
                  <c:v>Woodside</c:v>
                </c:pt>
              </c:strCache>
            </c:strRef>
          </c:cat>
          <c:val>
            <c:numRef>
              <c:f>'Crime summary'!$G$94:$G$132</c:f>
              <c:numCache>
                <c:formatCode>0.0</c:formatCode>
                <c:ptCount val="38"/>
                <c:pt idx="0">
                  <c:v>332.44865993734771</c:v>
                </c:pt>
                <c:pt idx="1">
                  <c:v>413.61639824304541</c:v>
                </c:pt>
                <c:pt idx="2">
                  <c:v>107.82772712983339</c:v>
                </c:pt>
                <c:pt idx="3">
                  <c:v>218.87966804979254</c:v>
                </c:pt>
                <c:pt idx="4">
                  <c:v>4152.5925925925931</c:v>
                </c:pt>
                <c:pt idx="5">
                  <c:v>84.925066118131056</c:v>
                </c:pt>
                <c:pt idx="6">
                  <c:v>80.605564648117848</c:v>
                </c:pt>
                <c:pt idx="7">
                  <c:v>34.765378726470324</c:v>
                </c:pt>
                <c:pt idx="8">
                  <c:v>559.60805661404459</c:v>
                </c:pt>
                <c:pt idx="9">
                  <c:v>76.715023358741078</c:v>
                </c:pt>
                <c:pt idx="10">
                  <c:v>63.951734539969827</c:v>
                </c:pt>
                <c:pt idx="11">
                  <c:v>258.71106999691648</c:v>
                </c:pt>
                <c:pt idx="12">
                  <c:v>163.14741035856576</c:v>
                </c:pt>
                <c:pt idx="13">
                  <c:v>299.16317991631797</c:v>
                </c:pt>
                <c:pt idx="14">
                  <c:v>191.97655248213957</c:v>
                </c:pt>
                <c:pt idx="15">
                  <c:v>391.11233784156775</c:v>
                </c:pt>
                <c:pt idx="16">
                  <c:v>350.56648001041799</c:v>
                </c:pt>
                <c:pt idx="17">
                  <c:v>110.46285492026449</c:v>
                </c:pt>
                <c:pt idx="18">
                  <c:v>189.60538979788257</c:v>
                </c:pt>
                <c:pt idx="19">
                  <c:v>146.30977130977129</c:v>
                </c:pt>
                <c:pt idx="20">
                  <c:v>190.78466199979101</c:v>
                </c:pt>
                <c:pt idx="21">
                  <c:v>35.258139953228998</c:v>
                </c:pt>
                <c:pt idx="22">
                  <c:v>50.619758034587697</c:v>
                </c:pt>
                <c:pt idx="23">
                  <c:v>302.0331728196897</c:v>
                </c:pt>
                <c:pt idx="24">
                  <c:v>495.19890260631001</c:v>
                </c:pt>
                <c:pt idx="25">
                  <c:v>290.94608341810783</c:v>
                </c:pt>
                <c:pt idx="26">
                  <c:v>377.10064635272391</c:v>
                </c:pt>
                <c:pt idx="27">
                  <c:v>125.03269683494636</c:v>
                </c:pt>
                <c:pt idx="28">
                  <c:v>45.261368465788358</c:v>
                </c:pt>
                <c:pt idx="29">
                  <c:v>185.27884999334483</c:v>
                </c:pt>
                <c:pt idx="30">
                  <c:v>455.94555873925503</c:v>
                </c:pt>
                <c:pt idx="31">
                  <c:v>198.18913480885311</c:v>
                </c:pt>
                <c:pt idx="32">
                  <c:v>323.25755683237577</c:v>
                </c:pt>
                <c:pt idx="33">
                  <c:v>257.55651511303023</c:v>
                </c:pt>
                <c:pt idx="34">
                  <c:v>400.57430007178749</c:v>
                </c:pt>
                <c:pt idx="35">
                  <c:v>476.44787644787647</c:v>
                </c:pt>
                <c:pt idx="36">
                  <c:v>120.13502779984114</c:v>
                </c:pt>
                <c:pt idx="37">
                  <c:v>574.90272373540859</c:v>
                </c:pt>
              </c:numCache>
            </c:numRef>
          </c:val>
          <c:extLst>
            <c:ext xmlns:c16="http://schemas.microsoft.com/office/drawing/2014/chart" uri="{C3380CC4-5D6E-409C-BE32-E72D297353CC}">
              <c16:uniqueId val="{00000005-DC9F-4DDC-9A4F-C91C205DBFCF}"/>
            </c:ext>
          </c:extLst>
        </c:ser>
        <c:ser>
          <c:idx val="6"/>
          <c:order val="6"/>
          <c:tx>
            <c:strRef>
              <c:f>'Crime summary'!$H$93</c:f>
              <c:strCache>
                <c:ptCount val="1"/>
                <c:pt idx="0">
                  <c:v>G7 Motor vehicle offences</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cat>
            <c:strRef>
              <c:f>'Crime summary'!$A$94:$A$132</c:f>
              <c:strCache>
                <c:ptCount val="38"/>
                <c:pt idx="0">
                  <c:v>Aberdeen City</c:v>
                </c:pt>
                <c:pt idx="1">
                  <c:v>Ashgrove</c:v>
                </c:pt>
                <c:pt idx="2">
                  <c:v>Balgownie</c:v>
                </c:pt>
                <c:pt idx="3">
                  <c:v>Bucksburn</c:v>
                </c:pt>
                <c:pt idx="4">
                  <c:v>City Centre </c:v>
                </c:pt>
                <c:pt idx="5">
                  <c:v>Cove</c:v>
                </c:pt>
                <c:pt idx="6">
                  <c:v>Culter</c:v>
                </c:pt>
                <c:pt idx="7">
                  <c:v>Cults</c:v>
                </c:pt>
                <c:pt idx="8">
                  <c:v>Cummings Park</c:v>
                </c:pt>
                <c:pt idx="9">
                  <c:v>Danestone</c:v>
                </c:pt>
                <c:pt idx="10">
                  <c:v>Denmore</c:v>
                </c:pt>
                <c:pt idx="11">
                  <c:v>Dyce</c:v>
                </c:pt>
                <c:pt idx="12">
                  <c:v>Ferryhill</c:v>
                </c:pt>
                <c:pt idx="13">
                  <c:v>Froghall</c:v>
                </c:pt>
                <c:pt idx="14">
                  <c:v>Garthdee</c:v>
                </c:pt>
                <c:pt idx="15">
                  <c:v>George Street</c:v>
                </c:pt>
                <c:pt idx="16">
                  <c:v>Hanover</c:v>
                </c:pt>
                <c:pt idx="17">
                  <c:v>Hazlehead</c:v>
                </c:pt>
                <c:pt idx="18">
                  <c:v>Heathryfold</c:v>
                </c:pt>
                <c:pt idx="19">
                  <c:v>Hilton</c:v>
                </c:pt>
                <c:pt idx="20">
                  <c:v>Kincorth</c:v>
                </c:pt>
                <c:pt idx="21">
                  <c:v>Kingswells</c:v>
                </c:pt>
                <c:pt idx="22">
                  <c:v>Mannofield</c:v>
                </c:pt>
                <c:pt idx="23">
                  <c:v>Mastrick</c:v>
                </c:pt>
                <c:pt idx="24">
                  <c:v>Middlefield</c:v>
                </c:pt>
                <c:pt idx="25">
                  <c:v>Midstocket</c:v>
                </c:pt>
                <c:pt idx="26">
                  <c:v>Northfield</c:v>
                </c:pt>
                <c:pt idx="27">
                  <c:v>Old Aberdeen</c:v>
                </c:pt>
                <c:pt idx="28">
                  <c:v>Oldmachar</c:v>
                </c:pt>
                <c:pt idx="29">
                  <c:v>Rosemount</c:v>
                </c:pt>
                <c:pt idx="30">
                  <c:v>Seaton</c:v>
                </c:pt>
                <c:pt idx="31">
                  <c:v>Sheddocksley</c:v>
                </c:pt>
                <c:pt idx="32">
                  <c:v>Stockethill</c:v>
                </c:pt>
                <c:pt idx="33">
                  <c:v>Summerhill</c:v>
                </c:pt>
                <c:pt idx="34">
                  <c:v>Tillydrone</c:v>
                </c:pt>
                <c:pt idx="35">
                  <c:v>Torry</c:v>
                </c:pt>
                <c:pt idx="36">
                  <c:v>West End</c:v>
                </c:pt>
                <c:pt idx="37">
                  <c:v>Woodside</c:v>
                </c:pt>
              </c:strCache>
            </c:strRef>
          </c:cat>
          <c:val>
            <c:numRef>
              <c:f>'Crime summary'!$H$94:$H$132</c:f>
              <c:numCache>
                <c:formatCode>0.0</c:formatCode>
                <c:ptCount val="38"/>
                <c:pt idx="0">
                  <c:v>224.08632091890007</c:v>
                </c:pt>
                <c:pt idx="1">
                  <c:v>357.24743777452409</c:v>
                </c:pt>
                <c:pt idx="2">
                  <c:v>236.71801320339515</c:v>
                </c:pt>
                <c:pt idx="3">
                  <c:v>432.83195020746888</c:v>
                </c:pt>
                <c:pt idx="4">
                  <c:v>921.48148148148141</c:v>
                </c:pt>
                <c:pt idx="5">
                  <c:v>81.39876579488687</c:v>
                </c:pt>
                <c:pt idx="6">
                  <c:v>40.098199672667761</c:v>
                </c:pt>
                <c:pt idx="7">
                  <c:v>71.872466900837608</c:v>
                </c:pt>
                <c:pt idx="8">
                  <c:v>400.65323897659226</c:v>
                </c:pt>
                <c:pt idx="9">
                  <c:v>201.62281780181951</c:v>
                </c:pt>
                <c:pt idx="10">
                  <c:v>177.9788838612368</c:v>
                </c:pt>
                <c:pt idx="11">
                  <c:v>153.2531606537157</c:v>
                </c:pt>
                <c:pt idx="12">
                  <c:v>345.41832669322707</c:v>
                </c:pt>
                <c:pt idx="13">
                  <c:v>210.25104602510461</c:v>
                </c:pt>
                <c:pt idx="14">
                  <c:v>146.54698662758747</c:v>
                </c:pt>
                <c:pt idx="15">
                  <c:v>238.47640077284018</c:v>
                </c:pt>
                <c:pt idx="16">
                  <c:v>428.4412032816773</c:v>
                </c:pt>
                <c:pt idx="17">
                  <c:v>89.459354336833911</c:v>
                </c:pt>
                <c:pt idx="18">
                  <c:v>135.70741097208855</c:v>
                </c:pt>
                <c:pt idx="19">
                  <c:v>115.64449064449065</c:v>
                </c:pt>
                <c:pt idx="20">
                  <c:v>310.31240204785286</c:v>
                </c:pt>
                <c:pt idx="21">
                  <c:v>60.082748695808597</c:v>
                </c:pt>
                <c:pt idx="22">
                  <c:v>134.93653974615899</c:v>
                </c:pt>
                <c:pt idx="23">
                  <c:v>216.69341894060994</c:v>
                </c:pt>
                <c:pt idx="24">
                  <c:v>316.18655692729766</c:v>
                </c:pt>
                <c:pt idx="25">
                  <c:v>351.47507629704984</c:v>
                </c:pt>
                <c:pt idx="26">
                  <c:v>171.74515235457065</c:v>
                </c:pt>
                <c:pt idx="27">
                  <c:v>203.50510070625165</c:v>
                </c:pt>
                <c:pt idx="28">
                  <c:v>35.486612834679129</c:v>
                </c:pt>
                <c:pt idx="29">
                  <c:v>129.37574870224944</c:v>
                </c:pt>
                <c:pt idx="30">
                  <c:v>289.75644699140406</c:v>
                </c:pt>
                <c:pt idx="31">
                  <c:v>218.8128772635815</c:v>
                </c:pt>
                <c:pt idx="32">
                  <c:v>136.39770172370723</c:v>
                </c:pt>
                <c:pt idx="33">
                  <c:v>197.61239522479042</c:v>
                </c:pt>
                <c:pt idx="34">
                  <c:v>207.82483847810479</c:v>
                </c:pt>
                <c:pt idx="35">
                  <c:v>280.11583011583014</c:v>
                </c:pt>
                <c:pt idx="36">
                  <c:v>82.406671961874494</c:v>
                </c:pt>
                <c:pt idx="37">
                  <c:v>459.63035019455253</c:v>
                </c:pt>
              </c:numCache>
            </c:numRef>
          </c:val>
          <c:extLst>
            <c:ext xmlns:c16="http://schemas.microsoft.com/office/drawing/2014/chart" uri="{C3380CC4-5D6E-409C-BE32-E72D297353CC}">
              <c16:uniqueId val="{00000006-DC9F-4DDC-9A4F-C91C205DBFCF}"/>
            </c:ext>
          </c:extLst>
        </c:ser>
        <c:dLbls>
          <c:showLegendKey val="0"/>
          <c:showVal val="0"/>
          <c:showCatName val="0"/>
          <c:showSerName val="0"/>
          <c:showPercent val="0"/>
          <c:showBubbleSize val="0"/>
        </c:dLbls>
        <c:gapWidth val="150"/>
        <c:overlap val="100"/>
        <c:axId val="609860680"/>
        <c:axId val="609863960"/>
      </c:barChart>
      <c:catAx>
        <c:axId val="60986068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crossAx val="609863960"/>
        <c:crosses val="autoZero"/>
        <c:auto val="1"/>
        <c:lblAlgn val="ctr"/>
        <c:lblOffset val="100"/>
        <c:noMultiLvlLbl val="0"/>
      </c:catAx>
      <c:valAx>
        <c:axId val="60986396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Rate per 10,000 population</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09860680"/>
        <c:crosses val="autoZero"/>
        <c:crossBetween val="between"/>
      </c:valAx>
      <c:spPr>
        <a:noFill/>
        <a:ln>
          <a:noFill/>
        </a:ln>
        <a:effectLst/>
      </c:spPr>
    </c:plotArea>
    <c:legend>
      <c:legendPos val="b"/>
      <c:layout>
        <c:manualLayout>
          <c:xMode val="edge"/>
          <c:yMode val="edge"/>
          <c:x val="6.2306268330684235E-2"/>
          <c:y val="0.83988438077184779"/>
          <c:w val="0.88868221463453789"/>
          <c:h val="0.136967471080003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r>
              <a:rPr lang="en-US" sz="1200" b="0"/>
              <a:t>Average crime rate by grouping and neighbourhood (excluding City Centre), Aberdeen City 2013/14-2017/18</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endParaRPr lang="en-US"/>
        </a:p>
      </c:txPr>
    </c:title>
    <c:autoTitleDeleted val="0"/>
    <c:plotArea>
      <c:layout/>
      <c:barChart>
        <c:barDir val="col"/>
        <c:grouping val="stacked"/>
        <c:varyColors val="0"/>
        <c:ser>
          <c:idx val="0"/>
          <c:order val="0"/>
          <c:tx>
            <c:strRef>
              <c:f>'Crime summary'!$B$138</c:f>
              <c:strCache>
                <c:ptCount val="1"/>
                <c:pt idx="0">
                  <c:v>G1 Crimes of violence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'Crime summary'!$A$139:$A$176</c:f>
              <c:strCache>
                <c:ptCount val="37"/>
                <c:pt idx="0">
                  <c:v>Aberdeen City</c:v>
                </c:pt>
                <c:pt idx="1">
                  <c:v>Ashgrove</c:v>
                </c:pt>
                <c:pt idx="2">
                  <c:v>Balgownie</c:v>
                </c:pt>
                <c:pt idx="3">
                  <c:v>Bucksburn</c:v>
                </c:pt>
                <c:pt idx="4">
                  <c:v>Cove</c:v>
                </c:pt>
                <c:pt idx="5">
                  <c:v>Culter</c:v>
                </c:pt>
                <c:pt idx="6">
                  <c:v>Cults</c:v>
                </c:pt>
                <c:pt idx="7">
                  <c:v>Cummings Park</c:v>
                </c:pt>
                <c:pt idx="8">
                  <c:v>Danestone</c:v>
                </c:pt>
                <c:pt idx="9">
                  <c:v>Denmore</c:v>
                </c:pt>
                <c:pt idx="10">
                  <c:v>Dyce</c:v>
                </c:pt>
                <c:pt idx="11">
                  <c:v>Ferryhill</c:v>
                </c:pt>
                <c:pt idx="12">
                  <c:v>Froghall</c:v>
                </c:pt>
                <c:pt idx="13">
                  <c:v>Garthdee</c:v>
                </c:pt>
                <c:pt idx="14">
                  <c:v>George Street</c:v>
                </c:pt>
                <c:pt idx="15">
                  <c:v>Hanover</c:v>
                </c:pt>
                <c:pt idx="16">
                  <c:v>Hazlehead</c:v>
                </c:pt>
                <c:pt idx="17">
                  <c:v>Heathryfold</c:v>
                </c:pt>
                <c:pt idx="18">
                  <c:v>Hilton</c:v>
                </c:pt>
                <c:pt idx="19">
                  <c:v>Kincorth</c:v>
                </c:pt>
                <c:pt idx="20">
                  <c:v>Kingswells</c:v>
                </c:pt>
                <c:pt idx="21">
                  <c:v>Mannofield</c:v>
                </c:pt>
                <c:pt idx="22">
                  <c:v>Mastrick</c:v>
                </c:pt>
                <c:pt idx="23">
                  <c:v>Middlefield</c:v>
                </c:pt>
                <c:pt idx="24">
                  <c:v>Midstocket</c:v>
                </c:pt>
                <c:pt idx="25">
                  <c:v>Northfield</c:v>
                </c:pt>
                <c:pt idx="26">
                  <c:v>Old Aberdeen</c:v>
                </c:pt>
                <c:pt idx="27">
                  <c:v>Oldmachar</c:v>
                </c:pt>
                <c:pt idx="28">
                  <c:v>Rosemount</c:v>
                </c:pt>
                <c:pt idx="29">
                  <c:v>Seaton</c:v>
                </c:pt>
                <c:pt idx="30">
                  <c:v>Sheddocksley</c:v>
                </c:pt>
                <c:pt idx="31">
                  <c:v>Stockethill</c:v>
                </c:pt>
                <c:pt idx="32">
                  <c:v>Summerhill</c:v>
                </c:pt>
                <c:pt idx="33">
                  <c:v>Tillydrone</c:v>
                </c:pt>
                <c:pt idx="34">
                  <c:v>Torry</c:v>
                </c:pt>
                <c:pt idx="35">
                  <c:v>West End</c:v>
                </c:pt>
                <c:pt idx="36">
                  <c:v>Woodside</c:v>
                </c:pt>
              </c:strCache>
            </c:strRef>
          </c:cat>
          <c:val>
            <c:numRef>
              <c:f>'Crime summary'!$B$139:$B$176</c:f>
              <c:numCache>
                <c:formatCode>0.0</c:formatCode>
                <c:ptCount val="37"/>
                <c:pt idx="0">
                  <c:v>14.775495997215454</c:v>
                </c:pt>
                <c:pt idx="1">
                  <c:v>24.890190336749633</c:v>
                </c:pt>
                <c:pt idx="2">
                  <c:v>6.287331027978623</c:v>
                </c:pt>
                <c:pt idx="3">
                  <c:v>11.6701244813278</c:v>
                </c:pt>
                <c:pt idx="4">
                  <c:v>4.407875404055245</c:v>
                </c:pt>
                <c:pt idx="5">
                  <c:v>2.4549918166939442</c:v>
                </c:pt>
                <c:pt idx="6">
                  <c:v>1.8013149599207423</c:v>
                </c:pt>
                <c:pt idx="7">
                  <c:v>23.952095808383238</c:v>
                </c:pt>
                <c:pt idx="8">
                  <c:v>3.4423407917383817</c:v>
                </c:pt>
                <c:pt idx="9">
                  <c:v>1.2066365007541477</c:v>
                </c:pt>
                <c:pt idx="10">
                  <c:v>3.3919210607462227</c:v>
                </c:pt>
                <c:pt idx="11">
                  <c:v>7.5697211155378481</c:v>
                </c:pt>
                <c:pt idx="12">
                  <c:v>21.966527196652716</c:v>
                </c:pt>
                <c:pt idx="13">
                  <c:v>9.5255541307931857</c:v>
                </c:pt>
                <c:pt idx="14">
                  <c:v>24.841291747170853</c:v>
                </c:pt>
                <c:pt idx="15">
                  <c:v>21.617398098710773</c:v>
                </c:pt>
                <c:pt idx="16">
                  <c:v>3.8895371450797356</c:v>
                </c:pt>
                <c:pt idx="17">
                  <c:v>8.6621751684311832</c:v>
                </c:pt>
                <c:pt idx="18">
                  <c:v>6.237006237006236</c:v>
                </c:pt>
                <c:pt idx="19">
                  <c:v>11.284087347194651</c:v>
                </c:pt>
                <c:pt idx="20">
                  <c:v>2.1586616297895302</c:v>
                </c:pt>
                <c:pt idx="21">
                  <c:v>2.8204557262673497</c:v>
                </c:pt>
                <c:pt idx="22">
                  <c:v>13.64365971107544</c:v>
                </c:pt>
                <c:pt idx="23">
                  <c:v>26.06310013717421</c:v>
                </c:pt>
                <c:pt idx="24">
                  <c:v>5.0864699898270596</c:v>
                </c:pt>
                <c:pt idx="25">
                  <c:v>18.097876269621423</c:v>
                </c:pt>
                <c:pt idx="26">
                  <c:v>6.8009416688464555</c:v>
                </c:pt>
                <c:pt idx="27">
                  <c:v>1.4874628134296641</c:v>
                </c:pt>
                <c:pt idx="28">
                  <c:v>12.245441235192333</c:v>
                </c:pt>
                <c:pt idx="29">
                  <c:v>25.787965616045845</c:v>
                </c:pt>
                <c:pt idx="30">
                  <c:v>12.072434607645874</c:v>
                </c:pt>
                <c:pt idx="31">
                  <c:v>18.985760679490383</c:v>
                </c:pt>
                <c:pt idx="32">
                  <c:v>19.304038608077217</c:v>
                </c:pt>
                <c:pt idx="33">
                  <c:v>25.484565685570708</c:v>
                </c:pt>
                <c:pt idx="34">
                  <c:v>26.447876447876446</c:v>
                </c:pt>
                <c:pt idx="35">
                  <c:v>5.1628276409849096</c:v>
                </c:pt>
                <c:pt idx="36">
                  <c:v>33.560311284046698</c:v>
                </c:pt>
              </c:numCache>
            </c:numRef>
          </c:val>
          <c:extLst>
            <c:ext xmlns:c16="http://schemas.microsoft.com/office/drawing/2014/chart" uri="{C3380CC4-5D6E-409C-BE32-E72D297353CC}">
              <c16:uniqueId val="{00000000-B7C7-4D51-BFD6-4534951BB8CF}"/>
            </c:ext>
          </c:extLst>
        </c:ser>
        <c:ser>
          <c:idx val="1"/>
          <c:order val="1"/>
          <c:tx>
            <c:strRef>
              <c:f>'Crime summary'!$C$138</c:f>
              <c:strCache>
                <c:ptCount val="1"/>
                <c:pt idx="0">
                  <c:v>G2 Sexual Crimes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'Crime summary'!$A$139:$A$176</c:f>
              <c:strCache>
                <c:ptCount val="37"/>
                <c:pt idx="0">
                  <c:v>Aberdeen City</c:v>
                </c:pt>
                <c:pt idx="1">
                  <c:v>Ashgrove</c:v>
                </c:pt>
                <c:pt idx="2">
                  <c:v>Balgownie</c:v>
                </c:pt>
                <c:pt idx="3">
                  <c:v>Bucksburn</c:v>
                </c:pt>
                <c:pt idx="4">
                  <c:v>Cove</c:v>
                </c:pt>
                <c:pt idx="5">
                  <c:v>Culter</c:v>
                </c:pt>
                <c:pt idx="6">
                  <c:v>Cults</c:v>
                </c:pt>
                <c:pt idx="7">
                  <c:v>Cummings Park</c:v>
                </c:pt>
                <c:pt idx="8">
                  <c:v>Danestone</c:v>
                </c:pt>
                <c:pt idx="9">
                  <c:v>Denmore</c:v>
                </c:pt>
                <c:pt idx="10">
                  <c:v>Dyce</c:v>
                </c:pt>
                <c:pt idx="11">
                  <c:v>Ferryhill</c:v>
                </c:pt>
                <c:pt idx="12">
                  <c:v>Froghall</c:v>
                </c:pt>
                <c:pt idx="13">
                  <c:v>Garthdee</c:v>
                </c:pt>
                <c:pt idx="14">
                  <c:v>George Street</c:v>
                </c:pt>
                <c:pt idx="15">
                  <c:v>Hanover</c:v>
                </c:pt>
                <c:pt idx="16">
                  <c:v>Hazlehead</c:v>
                </c:pt>
                <c:pt idx="17">
                  <c:v>Heathryfold</c:v>
                </c:pt>
                <c:pt idx="18">
                  <c:v>Hilton</c:v>
                </c:pt>
                <c:pt idx="19">
                  <c:v>Kincorth</c:v>
                </c:pt>
                <c:pt idx="20">
                  <c:v>Kingswells</c:v>
                </c:pt>
                <c:pt idx="21">
                  <c:v>Mannofield</c:v>
                </c:pt>
                <c:pt idx="22">
                  <c:v>Mastrick</c:v>
                </c:pt>
                <c:pt idx="23">
                  <c:v>Middlefield</c:v>
                </c:pt>
                <c:pt idx="24">
                  <c:v>Midstocket</c:v>
                </c:pt>
                <c:pt idx="25">
                  <c:v>Northfield</c:v>
                </c:pt>
                <c:pt idx="26">
                  <c:v>Old Aberdeen</c:v>
                </c:pt>
                <c:pt idx="27">
                  <c:v>Oldmachar</c:v>
                </c:pt>
                <c:pt idx="28">
                  <c:v>Rosemount</c:v>
                </c:pt>
                <c:pt idx="29">
                  <c:v>Seaton</c:v>
                </c:pt>
                <c:pt idx="30">
                  <c:v>Sheddocksley</c:v>
                </c:pt>
                <c:pt idx="31">
                  <c:v>Stockethill</c:v>
                </c:pt>
                <c:pt idx="32">
                  <c:v>Summerhill</c:v>
                </c:pt>
                <c:pt idx="33">
                  <c:v>Tillydrone</c:v>
                </c:pt>
                <c:pt idx="34">
                  <c:v>Torry</c:v>
                </c:pt>
                <c:pt idx="35">
                  <c:v>West End</c:v>
                </c:pt>
                <c:pt idx="36">
                  <c:v>Woodside</c:v>
                </c:pt>
              </c:strCache>
            </c:strRef>
          </c:cat>
          <c:val>
            <c:numRef>
              <c:f>'Crime summary'!$C$139:$C$176</c:f>
              <c:numCache>
                <c:formatCode>0.0</c:formatCode>
                <c:ptCount val="37"/>
                <c:pt idx="0">
                  <c:v>21.34528367560042</c:v>
                </c:pt>
                <c:pt idx="1">
                  <c:v>27.818448023426058</c:v>
                </c:pt>
                <c:pt idx="2">
                  <c:v>4.4011317195850364</c:v>
                </c:pt>
                <c:pt idx="3">
                  <c:v>17.634854771784234</c:v>
                </c:pt>
                <c:pt idx="4">
                  <c:v>10.57890096973259</c:v>
                </c:pt>
                <c:pt idx="5">
                  <c:v>6.9558101472995091</c:v>
                </c:pt>
                <c:pt idx="6">
                  <c:v>3.2423669278573359</c:v>
                </c:pt>
                <c:pt idx="7">
                  <c:v>41.371801850843767</c:v>
                </c:pt>
                <c:pt idx="8">
                  <c:v>10.818785345463487</c:v>
                </c:pt>
                <c:pt idx="9">
                  <c:v>5.4298642533936654</c:v>
                </c:pt>
                <c:pt idx="10">
                  <c:v>10.175763182238668</c:v>
                </c:pt>
                <c:pt idx="11">
                  <c:v>13.346613545816732</c:v>
                </c:pt>
                <c:pt idx="12">
                  <c:v>26.499302649930261</c:v>
                </c:pt>
                <c:pt idx="13">
                  <c:v>13.189228796482872</c:v>
                </c:pt>
                <c:pt idx="14">
                  <c:v>30.637593154844051</c:v>
                </c:pt>
                <c:pt idx="15">
                  <c:v>87.511394712853246</c:v>
                </c:pt>
                <c:pt idx="16">
                  <c:v>9.723842862699339</c:v>
                </c:pt>
                <c:pt idx="17">
                  <c:v>17.324350336862366</c:v>
                </c:pt>
                <c:pt idx="18">
                  <c:v>11.954261954261952</c:v>
                </c:pt>
                <c:pt idx="19">
                  <c:v>14.000626893741511</c:v>
                </c:pt>
                <c:pt idx="20">
                  <c:v>7.9150926425616124</c:v>
                </c:pt>
                <c:pt idx="21">
                  <c:v>11.578712981518594</c:v>
                </c:pt>
                <c:pt idx="22">
                  <c:v>20.866773675762442</c:v>
                </c:pt>
                <c:pt idx="23">
                  <c:v>52.812071330589852</c:v>
                </c:pt>
                <c:pt idx="24">
                  <c:v>16.276703967446593</c:v>
                </c:pt>
                <c:pt idx="25">
                  <c:v>29.17820867959372</c:v>
                </c:pt>
                <c:pt idx="26">
                  <c:v>9.9398378236986655</c:v>
                </c:pt>
                <c:pt idx="27">
                  <c:v>6.3748406289842761</c:v>
                </c:pt>
                <c:pt idx="28">
                  <c:v>17.835751364301878</c:v>
                </c:pt>
                <c:pt idx="29">
                  <c:v>31.160458452722061</c:v>
                </c:pt>
                <c:pt idx="30">
                  <c:v>16.599597585513077</c:v>
                </c:pt>
                <c:pt idx="31">
                  <c:v>13.989507869098176</c:v>
                </c:pt>
                <c:pt idx="32">
                  <c:v>13.716027432054865</c:v>
                </c:pt>
                <c:pt idx="33">
                  <c:v>20.100502512562812</c:v>
                </c:pt>
                <c:pt idx="34">
                  <c:v>35.714285714285715</c:v>
                </c:pt>
                <c:pt idx="35">
                  <c:v>10.127084988085782</c:v>
                </c:pt>
                <c:pt idx="36">
                  <c:v>32.101167315175097</c:v>
                </c:pt>
              </c:numCache>
            </c:numRef>
          </c:val>
          <c:extLst>
            <c:ext xmlns:c16="http://schemas.microsoft.com/office/drawing/2014/chart" uri="{C3380CC4-5D6E-409C-BE32-E72D297353CC}">
              <c16:uniqueId val="{00000001-B7C7-4D51-BFD6-4534951BB8CF}"/>
            </c:ext>
          </c:extLst>
        </c:ser>
        <c:ser>
          <c:idx val="2"/>
          <c:order val="2"/>
          <c:tx>
            <c:strRef>
              <c:f>'Crime summary'!$D$138</c:f>
              <c:strCache>
                <c:ptCount val="1"/>
                <c:pt idx="0">
                  <c:v>G3 Crimes of dishonesty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'Crime summary'!$A$139:$A$176</c:f>
              <c:strCache>
                <c:ptCount val="37"/>
                <c:pt idx="0">
                  <c:v>Aberdeen City</c:v>
                </c:pt>
                <c:pt idx="1">
                  <c:v>Ashgrove</c:v>
                </c:pt>
                <c:pt idx="2">
                  <c:v>Balgownie</c:v>
                </c:pt>
                <c:pt idx="3">
                  <c:v>Bucksburn</c:v>
                </c:pt>
                <c:pt idx="4">
                  <c:v>Cove</c:v>
                </c:pt>
                <c:pt idx="5">
                  <c:v>Culter</c:v>
                </c:pt>
                <c:pt idx="6">
                  <c:v>Cults</c:v>
                </c:pt>
                <c:pt idx="7">
                  <c:v>Cummings Park</c:v>
                </c:pt>
                <c:pt idx="8">
                  <c:v>Danestone</c:v>
                </c:pt>
                <c:pt idx="9">
                  <c:v>Denmore</c:v>
                </c:pt>
                <c:pt idx="10">
                  <c:v>Dyce</c:v>
                </c:pt>
                <c:pt idx="11">
                  <c:v>Ferryhill</c:v>
                </c:pt>
                <c:pt idx="12">
                  <c:v>Froghall</c:v>
                </c:pt>
                <c:pt idx="13">
                  <c:v>Garthdee</c:v>
                </c:pt>
                <c:pt idx="14">
                  <c:v>George Street</c:v>
                </c:pt>
                <c:pt idx="15">
                  <c:v>Hanover</c:v>
                </c:pt>
                <c:pt idx="16">
                  <c:v>Hazlehead</c:v>
                </c:pt>
                <c:pt idx="17">
                  <c:v>Heathryfold</c:v>
                </c:pt>
                <c:pt idx="18">
                  <c:v>Hilton</c:v>
                </c:pt>
                <c:pt idx="19">
                  <c:v>Kincorth</c:v>
                </c:pt>
                <c:pt idx="20">
                  <c:v>Kingswells</c:v>
                </c:pt>
                <c:pt idx="21">
                  <c:v>Mannofield</c:v>
                </c:pt>
                <c:pt idx="22">
                  <c:v>Mastrick</c:v>
                </c:pt>
                <c:pt idx="23">
                  <c:v>Middlefield</c:v>
                </c:pt>
                <c:pt idx="24">
                  <c:v>Midstocket</c:v>
                </c:pt>
                <c:pt idx="25">
                  <c:v>Northfield</c:v>
                </c:pt>
                <c:pt idx="26">
                  <c:v>Old Aberdeen</c:v>
                </c:pt>
                <c:pt idx="27">
                  <c:v>Oldmachar</c:v>
                </c:pt>
                <c:pt idx="28">
                  <c:v>Rosemount</c:v>
                </c:pt>
                <c:pt idx="29">
                  <c:v>Seaton</c:v>
                </c:pt>
                <c:pt idx="30">
                  <c:v>Sheddocksley</c:v>
                </c:pt>
                <c:pt idx="31">
                  <c:v>Stockethill</c:v>
                </c:pt>
                <c:pt idx="32">
                  <c:v>Summerhill</c:v>
                </c:pt>
                <c:pt idx="33">
                  <c:v>Tillydrone</c:v>
                </c:pt>
                <c:pt idx="34">
                  <c:v>Torry</c:v>
                </c:pt>
                <c:pt idx="35">
                  <c:v>West End</c:v>
                </c:pt>
                <c:pt idx="36">
                  <c:v>Woodside</c:v>
                </c:pt>
              </c:strCache>
            </c:strRef>
          </c:cat>
          <c:val>
            <c:numRef>
              <c:f>'Crime summary'!$D$139:$D$176</c:f>
              <c:numCache>
                <c:formatCode>0.0</c:formatCode>
                <c:ptCount val="37"/>
                <c:pt idx="0">
                  <c:v>319.90950226244348</c:v>
                </c:pt>
                <c:pt idx="1">
                  <c:v>647.14494875549042</c:v>
                </c:pt>
                <c:pt idx="2">
                  <c:v>145.55171329770511</c:v>
                </c:pt>
                <c:pt idx="3">
                  <c:v>291.2344398340249</c:v>
                </c:pt>
                <c:pt idx="4">
                  <c:v>105.78900969732588</c:v>
                </c:pt>
                <c:pt idx="5">
                  <c:v>65.875613747954176</c:v>
                </c:pt>
                <c:pt idx="6">
                  <c:v>100.33324326758535</c:v>
                </c:pt>
                <c:pt idx="7">
                  <c:v>288.51388132825258</c:v>
                </c:pt>
                <c:pt idx="8">
                  <c:v>180.96877305138921</c:v>
                </c:pt>
                <c:pt idx="9">
                  <c:v>206.93815987933633</c:v>
                </c:pt>
                <c:pt idx="10">
                  <c:v>193.64785692260253</c:v>
                </c:pt>
                <c:pt idx="11">
                  <c:v>254.58167330677293</c:v>
                </c:pt>
                <c:pt idx="12">
                  <c:v>365.76011157601118</c:v>
                </c:pt>
                <c:pt idx="13">
                  <c:v>409.23246015753807</c:v>
                </c:pt>
                <c:pt idx="14">
                  <c:v>456.52773944245098</c:v>
                </c:pt>
                <c:pt idx="15">
                  <c:v>531.57963276468286</c:v>
                </c:pt>
                <c:pt idx="16">
                  <c:v>229.48269155970439</c:v>
                </c:pt>
                <c:pt idx="17">
                  <c:v>226.17901828681426</c:v>
                </c:pt>
                <c:pt idx="18">
                  <c:v>201.14345114345116</c:v>
                </c:pt>
                <c:pt idx="19">
                  <c:v>132.90147320029254</c:v>
                </c:pt>
                <c:pt idx="20">
                  <c:v>92.462673142651539</c:v>
                </c:pt>
                <c:pt idx="21">
                  <c:v>161.8050916648111</c:v>
                </c:pt>
                <c:pt idx="22">
                  <c:v>258.15944355270199</c:v>
                </c:pt>
                <c:pt idx="23">
                  <c:v>231.13854595336079</c:v>
                </c:pt>
                <c:pt idx="24">
                  <c:v>397.25330620549335</c:v>
                </c:pt>
                <c:pt idx="25">
                  <c:v>257.43305632502307</c:v>
                </c:pt>
                <c:pt idx="26">
                  <c:v>321.73685587235155</c:v>
                </c:pt>
                <c:pt idx="27">
                  <c:v>73.523161920951978</c:v>
                </c:pt>
                <c:pt idx="28">
                  <c:v>282.97617463064023</c:v>
                </c:pt>
                <c:pt idx="29">
                  <c:v>372.13467048710606</c:v>
                </c:pt>
                <c:pt idx="30">
                  <c:v>208.24949698189133</c:v>
                </c:pt>
                <c:pt idx="31">
                  <c:v>286.28528603547335</c:v>
                </c:pt>
                <c:pt idx="32">
                  <c:v>244.85648971297942</c:v>
                </c:pt>
                <c:pt idx="33">
                  <c:v>213.20890165111271</c:v>
                </c:pt>
                <c:pt idx="34">
                  <c:v>356.56370656370655</c:v>
                </c:pt>
                <c:pt idx="35">
                  <c:v>223.19301032565531</c:v>
                </c:pt>
                <c:pt idx="36">
                  <c:v>491.24513618677042</c:v>
                </c:pt>
              </c:numCache>
            </c:numRef>
          </c:val>
          <c:extLst>
            <c:ext xmlns:c16="http://schemas.microsoft.com/office/drawing/2014/chart" uri="{C3380CC4-5D6E-409C-BE32-E72D297353CC}">
              <c16:uniqueId val="{00000002-B7C7-4D51-BFD6-4534951BB8CF}"/>
            </c:ext>
          </c:extLst>
        </c:ser>
        <c:ser>
          <c:idx val="3"/>
          <c:order val="3"/>
          <c:tx>
            <c:strRef>
              <c:f>'Crime summary'!$E$138</c:f>
              <c:strCache>
                <c:ptCount val="1"/>
                <c:pt idx="0">
                  <c:v>G4 Fire-raising, vandalism etc</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'Crime summary'!$A$139:$A$176</c:f>
              <c:strCache>
                <c:ptCount val="37"/>
                <c:pt idx="0">
                  <c:v>Aberdeen City</c:v>
                </c:pt>
                <c:pt idx="1">
                  <c:v>Ashgrove</c:v>
                </c:pt>
                <c:pt idx="2">
                  <c:v>Balgownie</c:v>
                </c:pt>
                <c:pt idx="3">
                  <c:v>Bucksburn</c:v>
                </c:pt>
                <c:pt idx="4">
                  <c:v>Cove</c:v>
                </c:pt>
                <c:pt idx="5">
                  <c:v>Culter</c:v>
                </c:pt>
                <c:pt idx="6">
                  <c:v>Cults</c:v>
                </c:pt>
                <c:pt idx="7">
                  <c:v>Cummings Park</c:v>
                </c:pt>
                <c:pt idx="8">
                  <c:v>Danestone</c:v>
                </c:pt>
                <c:pt idx="9">
                  <c:v>Denmore</c:v>
                </c:pt>
                <c:pt idx="10">
                  <c:v>Dyce</c:v>
                </c:pt>
                <c:pt idx="11">
                  <c:v>Ferryhill</c:v>
                </c:pt>
                <c:pt idx="12">
                  <c:v>Froghall</c:v>
                </c:pt>
                <c:pt idx="13">
                  <c:v>Garthdee</c:v>
                </c:pt>
                <c:pt idx="14">
                  <c:v>George Street</c:v>
                </c:pt>
                <c:pt idx="15">
                  <c:v>Hanover</c:v>
                </c:pt>
                <c:pt idx="16">
                  <c:v>Hazlehead</c:v>
                </c:pt>
                <c:pt idx="17">
                  <c:v>Heathryfold</c:v>
                </c:pt>
                <c:pt idx="18">
                  <c:v>Hilton</c:v>
                </c:pt>
                <c:pt idx="19">
                  <c:v>Kincorth</c:v>
                </c:pt>
                <c:pt idx="20">
                  <c:v>Kingswells</c:v>
                </c:pt>
                <c:pt idx="21">
                  <c:v>Mannofield</c:v>
                </c:pt>
                <c:pt idx="22">
                  <c:v>Mastrick</c:v>
                </c:pt>
                <c:pt idx="23">
                  <c:v>Middlefield</c:v>
                </c:pt>
                <c:pt idx="24">
                  <c:v>Midstocket</c:v>
                </c:pt>
                <c:pt idx="25">
                  <c:v>Northfield</c:v>
                </c:pt>
                <c:pt idx="26">
                  <c:v>Old Aberdeen</c:v>
                </c:pt>
                <c:pt idx="27">
                  <c:v>Oldmachar</c:v>
                </c:pt>
                <c:pt idx="28">
                  <c:v>Rosemount</c:v>
                </c:pt>
                <c:pt idx="29">
                  <c:v>Seaton</c:v>
                </c:pt>
                <c:pt idx="30">
                  <c:v>Sheddocksley</c:v>
                </c:pt>
                <c:pt idx="31">
                  <c:v>Stockethill</c:v>
                </c:pt>
                <c:pt idx="32">
                  <c:v>Summerhill</c:v>
                </c:pt>
                <c:pt idx="33">
                  <c:v>Tillydrone</c:v>
                </c:pt>
                <c:pt idx="34">
                  <c:v>Torry</c:v>
                </c:pt>
                <c:pt idx="35">
                  <c:v>West End</c:v>
                </c:pt>
                <c:pt idx="36">
                  <c:v>Woodside</c:v>
                </c:pt>
              </c:strCache>
            </c:strRef>
          </c:cat>
          <c:val>
            <c:numRef>
              <c:f>'Crime summary'!$E$139:$E$176</c:f>
              <c:numCache>
                <c:formatCode>0.0</c:formatCode>
                <c:ptCount val="37"/>
                <c:pt idx="0">
                  <c:v>107.5095718760877</c:v>
                </c:pt>
                <c:pt idx="1">
                  <c:v>122.98682284040996</c:v>
                </c:pt>
                <c:pt idx="2">
                  <c:v>57.214712354605467</c:v>
                </c:pt>
                <c:pt idx="3">
                  <c:v>111.51452282157676</c:v>
                </c:pt>
                <c:pt idx="4">
                  <c:v>36.732295033793712</c:v>
                </c:pt>
                <c:pt idx="5">
                  <c:v>26.186579378068743</c:v>
                </c:pt>
                <c:pt idx="6">
                  <c:v>24.858146446906243</c:v>
                </c:pt>
                <c:pt idx="7">
                  <c:v>246.05334784975506</c:v>
                </c:pt>
                <c:pt idx="8">
                  <c:v>38.357511679370539</c:v>
                </c:pt>
                <c:pt idx="9">
                  <c:v>36.199095022624434</c:v>
                </c:pt>
                <c:pt idx="10">
                  <c:v>65.063213074313907</c:v>
                </c:pt>
                <c:pt idx="11">
                  <c:v>89.243027888446207</c:v>
                </c:pt>
                <c:pt idx="12">
                  <c:v>117.50348675034869</c:v>
                </c:pt>
                <c:pt idx="13">
                  <c:v>96.354643707638758</c:v>
                </c:pt>
                <c:pt idx="14">
                  <c:v>122.82638697212255</c:v>
                </c:pt>
                <c:pt idx="15">
                  <c:v>118.24456309415288</c:v>
                </c:pt>
                <c:pt idx="16">
                  <c:v>70.01166861143524</c:v>
                </c:pt>
                <c:pt idx="17">
                  <c:v>85.659287776708382</c:v>
                </c:pt>
                <c:pt idx="18">
                  <c:v>83.160083160083161</c:v>
                </c:pt>
                <c:pt idx="19">
                  <c:v>95.078884129140107</c:v>
                </c:pt>
                <c:pt idx="20">
                  <c:v>20.867062421298794</c:v>
                </c:pt>
                <c:pt idx="21">
                  <c:v>30.728122912491649</c:v>
                </c:pt>
                <c:pt idx="22">
                  <c:v>173.62225789192081</c:v>
                </c:pt>
                <c:pt idx="23">
                  <c:v>235.93964334705075</c:v>
                </c:pt>
                <c:pt idx="24">
                  <c:v>70.701932858596138</c:v>
                </c:pt>
                <c:pt idx="25">
                  <c:v>206.09418282548475</c:v>
                </c:pt>
                <c:pt idx="26">
                  <c:v>53.884383991629612</c:v>
                </c:pt>
                <c:pt idx="27">
                  <c:v>28.049298767530811</c:v>
                </c:pt>
                <c:pt idx="28">
                  <c:v>110.74138160521763</c:v>
                </c:pt>
                <c:pt idx="29">
                  <c:v>178.3667621776504</c:v>
                </c:pt>
                <c:pt idx="30">
                  <c:v>103.11871227364185</c:v>
                </c:pt>
                <c:pt idx="31">
                  <c:v>153.38496127904071</c:v>
                </c:pt>
                <c:pt idx="32">
                  <c:v>107.18821437642876</c:v>
                </c:pt>
                <c:pt idx="33">
                  <c:v>141.78033022254127</c:v>
                </c:pt>
                <c:pt idx="34">
                  <c:v>291.89189189189187</c:v>
                </c:pt>
                <c:pt idx="35">
                  <c:v>76.25099285146942</c:v>
                </c:pt>
                <c:pt idx="36">
                  <c:v>197.47081712062257</c:v>
                </c:pt>
              </c:numCache>
            </c:numRef>
          </c:val>
          <c:extLst>
            <c:ext xmlns:c16="http://schemas.microsoft.com/office/drawing/2014/chart" uri="{C3380CC4-5D6E-409C-BE32-E72D297353CC}">
              <c16:uniqueId val="{00000003-B7C7-4D51-BFD6-4534951BB8CF}"/>
            </c:ext>
          </c:extLst>
        </c:ser>
        <c:ser>
          <c:idx val="4"/>
          <c:order val="4"/>
          <c:tx>
            <c:strRef>
              <c:f>'Crime summary'!$F$138</c:f>
              <c:strCache>
                <c:ptCount val="1"/>
                <c:pt idx="0">
                  <c:v>G5 Other Crimes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strRef>
              <c:f>'Crime summary'!$A$139:$A$176</c:f>
              <c:strCache>
                <c:ptCount val="37"/>
                <c:pt idx="0">
                  <c:v>Aberdeen City</c:v>
                </c:pt>
                <c:pt idx="1">
                  <c:v>Ashgrove</c:v>
                </c:pt>
                <c:pt idx="2">
                  <c:v>Balgownie</c:v>
                </c:pt>
                <c:pt idx="3">
                  <c:v>Bucksburn</c:v>
                </c:pt>
                <c:pt idx="4">
                  <c:v>Cove</c:v>
                </c:pt>
                <c:pt idx="5">
                  <c:v>Culter</c:v>
                </c:pt>
                <c:pt idx="6">
                  <c:v>Cults</c:v>
                </c:pt>
                <c:pt idx="7">
                  <c:v>Cummings Park</c:v>
                </c:pt>
                <c:pt idx="8">
                  <c:v>Danestone</c:v>
                </c:pt>
                <c:pt idx="9">
                  <c:v>Denmore</c:v>
                </c:pt>
                <c:pt idx="10">
                  <c:v>Dyce</c:v>
                </c:pt>
                <c:pt idx="11">
                  <c:v>Ferryhill</c:v>
                </c:pt>
                <c:pt idx="12">
                  <c:v>Froghall</c:v>
                </c:pt>
                <c:pt idx="13">
                  <c:v>Garthdee</c:v>
                </c:pt>
                <c:pt idx="14">
                  <c:v>George Street</c:v>
                </c:pt>
                <c:pt idx="15">
                  <c:v>Hanover</c:v>
                </c:pt>
                <c:pt idx="16">
                  <c:v>Hazlehead</c:v>
                </c:pt>
                <c:pt idx="17">
                  <c:v>Heathryfold</c:v>
                </c:pt>
                <c:pt idx="18">
                  <c:v>Hilton</c:v>
                </c:pt>
                <c:pt idx="19">
                  <c:v>Kincorth</c:v>
                </c:pt>
                <c:pt idx="20">
                  <c:v>Kingswells</c:v>
                </c:pt>
                <c:pt idx="21">
                  <c:v>Mannofield</c:v>
                </c:pt>
                <c:pt idx="22">
                  <c:v>Mastrick</c:v>
                </c:pt>
                <c:pt idx="23">
                  <c:v>Middlefield</c:v>
                </c:pt>
                <c:pt idx="24">
                  <c:v>Midstocket</c:v>
                </c:pt>
                <c:pt idx="25">
                  <c:v>Northfield</c:v>
                </c:pt>
                <c:pt idx="26">
                  <c:v>Old Aberdeen</c:v>
                </c:pt>
                <c:pt idx="27">
                  <c:v>Oldmachar</c:v>
                </c:pt>
                <c:pt idx="28">
                  <c:v>Rosemount</c:v>
                </c:pt>
                <c:pt idx="29">
                  <c:v>Seaton</c:v>
                </c:pt>
                <c:pt idx="30">
                  <c:v>Sheddocksley</c:v>
                </c:pt>
                <c:pt idx="31">
                  <c:v>Stockethill</c:v>
                </c:pt>
                <c:pt idx="32">
                  <c:v>Summerhill</c:v>
                </c:pt>
                <c:pt idx="33">
                  <c:v>Tillydrone</c:v>
                </c:pt>
                <c:pt idx="34">
                  <c:v>Torry</c:v>
                </c:pt>
                <c:pt idx="35">
                  <c:v>West End</c:v>
                </c:pt>
                <c:pt idx="36">
                  <c:v>Woodside</c:v>
                </c:pt>
              </c:strCache>
            </c:strRef>
          </c:cat>
          <c:val>
            <c:numRef>
              <c:f>'Crime summary'!$F$139:$F$176</c:f>
              <c:numCache>
                <c:formatCode>0.0</c:formatCode>
                <c:ptCount val="37"/>
                <c:pt idx="0">
                  <c:v>114.54925165332405</c:v>
                </c:pt>
                <c:pt idx="1">
                  <c:v>151.53733528550512</c:v>
                </c:pt>
                <c:pt idx="2">
                  <c:v>44.011317195850367</c:v>
                </c:pt>
                <c:pt idx="3">
                  <c:v>69.502074688796682</c:v>
                </c:pt>
                <c:pt idx="4">
                  <c:v>27.622685865412873</c:v>
                </c:pt>
                <c:pt idx="5">
                  <c:v>15.957446808510637</c:v>
                </c:pt>
                <c:pt idx="6">
                  <c:v>10.087363775556156</c:v>
                </c:pt>
                <c:pt idx="7">
                  <c:v>175.28579205225913</c:v>
                </c:pt>
                <c:pt idx="8">
                  <c:v>24.588148512417014</c:v>
                </c:pt>
                <c:pt idx="9">
                  <c:v>21.116138763197586</c:v>
                </c:pt>
                <c:pt idx="10">
                  <c:v>34.22756706753006</c:v>
                </c:pt>
                <c:pt idx="11">
                  <c:v>73.107569721115539</c:v>
                </c:pt>
                <c:pt idx="12">
                  <c:v>110.52998605299861</c:v>
                </c:pt>
                <c:pt idx="13">
                  <c:v>67.411613848690223</c:v>
                </c:pt>
                <c:pt idx="14">
                  <c:v>167.26469776428374</c:v>
                </c:pt>
                <c:pt idx="15">
                  <c:v>150.27998437296523</c:v>
                </c:pt>
                <c:pt idx="16">
                  <c:v>61.843640606767799</c:v>
                </c:pt>
                <c:pt idx="17">
                  <c:v>86.621751684311832</c:v>
                </c:pt>
                <c:pt idx="18">
                  <c:v>73.804573804573806</c:v>
                </c:pt>
                <c:pt idx="19">
                  <c:v>59.972834604534533</c:v>
                </c:pt>
                <c:pt idx="20">
                  <c:v>13.671523655333692</c:v>
                </c:pt>
                <c:pt idx="21">
                  <c:v>22.415200771914197</c:v>
                </c:pt>
                <c:pt idx="22">
                  <c:v>102.72873194221509</c:v>
                </c:pt>
                <c:pt idx="23">
                  <c:v>159.80795610425241</c:v>
                </c:pt>
                <c:pt idx="24">
                  <c:v>104.27263479145472</c:v>
                </c:pt>
                <c:pt idx="25">
                  <c:v>136.65743305632503</c:v>
                </c:pt>
                <c:pt idx="26">
                  <c:v>62.777923097044209</c:v>
                </c:pt>
                <c:pt idx="27">
                  <c:v>11.474713132171695</c:v>
                </c:pt>
                <c:pt idx="28">
                  <c:v>93.970451217888979</c:v>
                </c:pt>
                <c:pt idx="29">
                  <c:v>239.97134670487105</c:v>
                </c:pt>
                <c:pt idx="30">
                  <c:v>59.859154929577464</c:v>
                </c:pt>
                <c:pt idx="31">
                  <c:v>162.87784161878594</c:v>
                </c:pt>
                <c:pt idx="32">
                  <c:v>89.916179832359674</c:v>
                </c:pt>
                <c:pt idx="33">
                  <c:v>173.00789662598709</c:v>
                </c:pt>
                <c:pt idx="34">
                  <c:v>243.62934362934362</c:v>
                </c:pt>
                <c:pt idx="35">
                  <c:v>35.94122319301033</c:v>
                </c:pt>
                <c:pt idx="36">
                  <c:v>247.0817120622568</c:v>
                </c:pt>
              </c:numCache>
            </c:numRef>
          </c:val>
          <c:extLst>
            <c:ext xmlns:c16="http://schemas.microsoft.com/office/drawing/2014/chart" uri="{C3380CC4-5D6E-409C-BE32-E72D297353CC}">
              <c16:uniqueId val="{00000004-B7C7-4D51-BFD6-4534951BB8CF}"/>
            </c:ext>
          </c:extLst>
        </c:ser>
        <c:ser>
          <c:idx val="5"/>
          <c:order val="5"/>
          <c:tx>
            <c:strRef>
              <c:f>'Crime summary'!$G$138</c:f>
              <c:strCache>
                <c:ptCount val="1"/>
                <c:pt idx="0">
                  <c:v>G6 Miscellaneous offences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strRef>
              <c:f>'Crime summary'!$A$139:$A$176</c:f>
              <c:strCache>
                <c:ptCount val="37"/>
                <c:pt idx="0">
                  <c:v>Aberdeen City</c:v>
                </c:pt>
                <c:pt idx="1">
                  <c:v>Ashgrove</c:v>
                </c:pt>
                <c:pt idx="2">
                  <c:v>Balgownie</c:v>
                </c:pt>
                <c:pt idx="3">
                  <c:v>Bucksburn</c:v>
                </c:pt>
                <c:pt idx="4">
                  <c:v>Cove</c:v>
                </c:pt>
                <c:pt idx="5">
                  <c:v>Culter</c:v>
                </c:pt>
                <c:pt idx="6">
                  <c:v>Cults</c:v>
                </c:pt>
                <c:pt idx="7">
                  <c:v>Cummings Park</c:v>
                </c:pt>
                <c:pt idx="8">
                  <c:v>Danestone</c:v>
                </c:pt>
                <c:pt idx="9">
                  <c:v>Denmore</c:v>
                </c:pt>
                <c:pt idx="10">
                  <c:v>Dyce</c:v>
                </c:pt>
                <c:pt idx="11">
                  <c:v>Ferryhill</c:v>
                </c:pt>
                <c:pt idx="12">
                  <c:v>Froghall</c:v>
                </c:pt>
                <c:pt idx="13">
                  <c:v>Garthdee</c:v>
                </c:pt>
                <c:pt idx="14">
                  <c:v>George Street</c:v>
                </c:pt>
                <c:pt idx="15">
                  <c:v>Hanover</c:v>
                </c:pt>
                <c:pt idx="16">
                  <c:v>Hazlehead</c:v>
                </c:pt>
                <c:pt idx="17">
                  <c:v>Heathryfold</c:v>
                </c:pt>
                <c:pt idx="18">
                  <c:v>Hilton</c:v>
                </c:pt>
                <c:pt idx="19">
                  <c:v>Kincorth</c:v>
                </c:pt>
                <c:pt idx="20">
                  <c:v>Kingswells</c:v>
                </c:pt>
                <c:pt idx="21">
                  <c:v>Mannofield</c:v>
                </c:pt>
                <c:pt idx="22">
                  <c:v>Mastrick</c:v>
                </c:pt>
                <c:pt idx="23">
                  <c:v>Middlefield</c:v>
                </c:pt>
                <c:pt idx="24">
                  <c:v>Midstocket</c:v>
                </c:pt>
                <c:pt idx="25">
                  <c:v>Northfield</c:v>
                </c:pt>
                <c:pt idx="26">
                  <c:v>Old Aberdeen</c:v>
                </c:pt>
                <c:pt idx="27">
                  <c:v>Oldmachar</c:v>
                </c:pt>
                <c:pt idx="28">
                  <c:v>Rosemount</c:v>
                </c:pt>
                <c:pt idx="29">
                  <c:v>Seaton</c:v>
                </c:pt>
                <c:pt idx="30">
                  <c:v>Sheddocksley</c:v>
                </c:pt>
                <c:pt idx="31">
                  <c:v>Stockethill</c:v>
                </c:pt>
                <c:pt idx="32">
                  <c:v>Summerhill</c:v>
                </c:pt>
                <c:pt idx="33">
                  <c:v>Tillydrone</c:v>
                </c:pt>
                <c:pt idx="34">
                  <c:v>Torry</c:v>
                </c:pt>
                <c:pt idx="35">
                  <c:v>West End</c:v>
                </c:pt>
                <c:pt idx="36">
                  <c:v>Woodside</c:v>
                </c:pt>
              </c:strCache>
            </c:strRef>
          </c:cat>
          <c:val>
            <c:numRef>
              <c:f>'Crime summary'!$G$139:$G$176</c:f>
              <c:numCache>
                <c:formatCode>0.0</c:formatCode>
                <c:ptCount val="37"/>
                <c:pt idx="0">
                  <c:v>332.44865993734771</c:v>
                </c:pt>
                <c:pt idx="1">
                  <c:v>413.61639824304541</c:v>
                </c:pt>
                <c:pt idx="2">
                  <c:v>107.82772712983339</c:v>
                </c:pt>
                <c:pt idx="3">
                  <c:v>218.87966804979254</c:v>
                </c:pt>
                <c:pt idx="4">
                  <c:v>84.925066118131056</c:v>
                </c:pt>
                <c:pt idx="5">
                  <c:v>80.605564648117848</c:v>
                </c:pt>
                <c:pt idx="6">
                  <c:v>34.765378726470324</c:v>
                </c:pt>
                <c:pt idx="7">
                  <c:v>559.60805661404459</c:v>
                </c:pt>
                <c:pt idx="8">
                  <c:v>76.715023358741078</c:v>
                </c:pt>
                <c:pt idx="9">
                  <c:v>63.951734539969827</c:v>
                </c:pt>
                <c:pt idx="10">
                  <c:v>258.71106999691648</c:v>
                </c:pt>
                <c:pt idx="11">
                  <c:v>163.14741035856576</c:v>
                </c:pt>
                <c:pt idx="12">
                  <c:v>299.16317991631797</c:v>
                </c:pt>
                <c:pt idx="13">
                  <c:v>191.97655248213957</c:v>
                </c:pt>
                <c:pt idx="14">
                  <c:v>391.11233784156775</c:v>
                </c:pt>
                <c:pt idx="15">
                  <c:v>350.56648001041799</c:v>
                </c:pt>
                <c:pt idx="16">
                  <c:v>110.46285492026449</c:v>
                </c:pt>
                <c:pt idx="17">
                  <c:v>189.60538979788257</c:v>
                </c:pt>
                <c:pt idx="18">
                  <c:v>146.30977130977129</c:v>
                </c:pt>
                <c:pt idx="19">
                  <c:v>190.78466199979101</c:v>
                </c:pt>
                <c:pt idx="20">
                  <c:v>35.258139953228998</c:v>
                </c:pt>
                <c:pt idx="21">
                  <c:v>50.619758034587697</c:v>
                </c:pt>
                <c:pt idx="22">
                  <c:v>302.0331728196897</c:v>
                </c:pt>
                <c:pt idx="23">
                  <c:v>495.19890260631001</c:v>
                </c:pt>
                <c:pt idx="24">
                  <c:v>290.94608341810783</c:v>
                </c:pt>
                <c:pt idx="25">
                  <c:v>377.10064635272391</c:v>
                </c:pt>
                <c:pt idx="26">
                  <c:v>125.03269683494636</c:v>
                </c:pt>
                <c:pt idx="27">
                  <c:v>45.261368465788358</c:v>
                </c:pt>
                <c:pt idx="28">
                  <c:v>185.27884999334483</c:v>
                </c:pt>
                <c:pt idx="29">
                  <c:v>455.94555873925503</c:v>
                </c:pt>
                <c:pt idx="30">
                  <c:v>198.18913480885311</c:v>
                </c:pt>
                <c:pt idx="31">
                  <c:v>323.25755683237577</c:v>
                </c:pt>
                <c:pt idx="32">
                  <c:v>257.55651511303023</c:v>
                </c:pt>
                <c:pt idx="33">
                  <c:v>400.57430007178749</c:v>
                </c:pt>
                <c:pt idx="34">
                  <c:v>476.44787644787647</c:v>
                </c:pt>
                <c:pt idx="35">
                  <c:v>120.13502779984114</c:v>
                </c:pt>
                <c:pt idx="36">
                  <c:v>574.90272373540859</c:v>
                </c:pt>
              </c:numCache>
            </c:numRef>
          </c:val>
          <c:extLst>
            <c:ext xmlns:c16="http://schemas.microsoft.com/office/drawing/2014/chart" uri="{C3380CC4-5D6E-409C-BE32-E72D297353CC}">
              <c16:uniqueId val="{00000005-B7C7-4D51-BFD6-4534951BB8CF}"/>
            </c:ext>
          </c:extLst>
        </c:ser>
        <c:ser>
          <c:idx val="6"/>
          <c:order val="6"/>
          <c:tx>
            <c:strRef>
              <c:f>'Crime summary'!$H$138</c:f>
              <c:strCache>
                <c:ptCount val="1"/>
                <c:pt idx="0">
                  <c:v>G7 Motor vehicle offences</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cat>
            <c:strRef>
              <c:f>'Crime summary'!$A$139:$A$176</c:f>
              <c:strCache>
                <c:ptCount val="37"/>
                <c:pt idx="0">
                  <c:v>Aberdeen City</c:v>
                </c:pt>
                <c:pt idx="1">
                  <c:v>Ashgrove</c:v>
                </c:pt>
                <c:pt idx="2">
                  <c:v>Balgownie</c:v>
                </c:pt>
                <c:pt idx="3">
                  <c:v>Bucksburn</c:v>
                </c:pt>
                <c:pt idx="4">
                  <c:v>Cove</c:v>
                </c:pt>
                <c:pt idx="5">
                  <c:v>Culter</c:v>
                </c:pt>
                <c:pt idx="6">
                  <c:v>Cults</c:v>
                </c:pt>
                <c:pt idx="7">
                  <c:v>Cummings Park</c:v>
                </c:pt>
                <c:pt idx="8">
                  <c:v>Danestone</c:v>
                </c:pt>
                <c:pt idx="9">
                  <c:v>Denmore</c:v>
                </c:pt>
                <c:pt idx="10">
                  <c:v>Dyce</c:v>
                </c:pt>
                <c:pt idx="11">
                  <c:v>Ferryhill</c:v>
                </c:pt>
                <c:pt idx="12">
                  <c:v>Froghall</c:v>
                </c:pt>
                <c:pt idx="13">
                  <c:v>Garthdee</c:v>
                </c:pt>
                <c:pt idx="14">
                  <c:v>George Street</c:v>
                </c:pt>
                <c:pt idx="15">
                  <c:v>Hanover</c:v>
                </c:pt>
                <c:pt idx="16">
                  <c:v>Hazlehead</c:v>
                </c:pt>
                <c:pt idx="17">
                  <c:v>Heathryfold</c:v>
                </c:pt>
                <c:pt idx="18">
                  <c:v>Hilton</c:v>
                </c:pt>
                <c:pt idx="19">
                  <c:v>Kincorth</c:v>
                </c:pt>
                <c:pt idx="20">
                  <c:v>Kingswells</c:v>
                </c:pt>
                <c:pt idx="21">
                  <c:v>Mannofield</c:v>
                </c:pt>
                <c:pt idx="22">
                  <c:v>Mastrick</c:v>
                </c:pt>
                <c:pt idx="23">
                  <c:v>Middlefield</c:v>
                </c:pt>
                <c:pt idx="24">
                  <c:v>Midstocket</c:v>
                </c:pt>
                <c:pt idx="25">
                  <c:v>Northfield</c:v>
                </c:pt>
                <c:pt idx="26">
                  <c:v>Old Aberdeen</c:v>
                </c:pt>
                <c:pt idx="27">
                  <c:v>Oldmachar</c:v>
                </c:pt>
                <c:pt idx="28">
                  <c:v>Rosemount</c:v>
                </c:pt>
                <c:pt idx="29">
                  <c:v>Seaton</c:v>
                </c:pt>
                <c:pt idx="30">
                  <c:v>Sheddocksley</c:v>
                </c:pt>
                <c:pt idx="31">
                  <c:v>Stockethill</c:v>
                </c:pt>
                <c:pt idx="32">
                  <c:v>Summerhill</c:v>
                </c:pt>
                <c:pt idx="33">
                  <c:v>Tillydrone</c:v>
                </c:pt>
                <c:pt idx="34">
                  <c:v>Torry</c:v>
                </c:pt>
                <c:pt idx="35">
                  <c:v>West End</c:v>
                </c:pt>
                <c:pt idx="36">
                  <c:v>Woodside</c:v>
                </c:pt>
              </c:strCache>
            </c:strRef>
          </c:cat>
          <c:val>
            <c:numRef>
              <c:f>'Crime summary'!$H$139:$H$176</c:f>
              <c:numCache>
                <c:formatCode>0.0</c:formatCode>
                <c:ptCount val="37"/>
                <c:pt idx="0">
                  <c:v>224.08632091890007</c:v>
                </c:pt>
                <c:pt idx="1">
                  <c:v>357.24743777452409</c:v>
                </c:pt>
                <c:pt idx="2">
                  <c:v>236.71801320339515</c:v>
                </c:pt>
                <c:pt idx="3">
                  <c:v>432.83195020746888</c:v>
                </c:pt>
                <c:pt idx="4">
                  <c:v>81.39876579488687</c:v>
                </c:pt>
                <c:pt idx="5">
                  <c:v>40.098199672667761</c:v>
                </c:pt>
                <c:pt idx="6">
                  <c:v>71.872466900837608</c:v>
                </c:pt>
                <c:pt idx="7">
                  <c:v>400.65323897659226</c:v>
                </c:pt>
                <c:pt idx="8">
                  <c:v>201.62281780181951</c:v>
                </c:pt>
                <c:pt idx="9">
                  <c:v>177.9788838612368</c:v>
                </c:pt>
                <c:pt idx="10">
                  <c:v>153.2531606537157</c:v>
                </c:pt>
                <c:pt idx="11">
                  <c:v>345.41832669322707</c:v>
                </c:pt>
                <c:pt idx="12">
                  <c:v>210.25104602510461</c:v>
                </c:pt>
                <c:pt idx="13">
                  <c:v>146.54698662758747</c:v>
                </c:pt>
                <c:pt idx="14">
                  <c:v>238.47640077284018</c:v>
                </c:pt>
                <c:pt idx="15">
                  <c:v>428.4412032816773</c:v>
                </c:pt>
                <c:pt idx="16">
                  <c:v>89.459354336833911</c:v>
                </c:pt>
                <c:pt idx="17">
                  <c:v>135.70741097208855</c:v>
                </c:pt>
                <c:pt idx="18">
                  <c:v>115.64449064449065</c:v>
                </c:pt>
                <c:pt idx="19">
                  <c:v>310.31240204785286</c:v>
                </c:pt>
                <c:pt idx="20">
                  <c:v>60.082748695808597</c:v>
                </c:pt>
                <c:pt idx="21">
                  <c:v>134.93653974615899</c:v>
                </c:pt>
                <c:pt idx="22">
                  <c:v>216.69341894060994</c:v>
                </c:pt>
                <c:pt idx="23">
                  <c:v>316.18655692729766</c:v>
                </c:pt>
                <c:pt idx="24">
                  <c:v>351.47507629704984</c:v>
                </c:pt>
                <c:pt idx="25">
                  <c:v>171.74515235457065</c:v>
                </c:pt>
                <c:pt idx="26">
                  <c:v>203.50510070625165</c:v>
                </c:pt>
                <c:pt idx="27">
                  <c:v>35.486612834679129</c:v>
                </c:pt>
                <c:pt idx="28">
                  <c:v>129.37574870224944</c:v>
                </c:pt>
                <c:pt idx="29">
                  <c:v>289.75644699140406</c:v>
                </c:pt>
                <c:pt idx="30">
                  <c:v>218.8128772635815</c:v>
                </c:pt>
                <c:pt idx="31">
                  <c:v>136.39770172370723</c:v>
                </c:pt>
                <c:pt idx="32">
                  <c:v>197.61239522479042</c:v>
                </c:pt>
                <c:pt idx="33">
                  <c:v>207.82483847810479</c:v>
                </c:pt>
                <c:pt idx="34">
                  <c:v>280.11583011583014</c:v>
                </c:pt>
                <c:pt idx="35">
                  <c:v>82.406671961874494</c:v>
                </c:pt>
                <c:pt idx="36">
                  <c:v>459.63035019455253</c:v>
                </c:pt>
              </c:numCache>
            </c:numRef>
          </c:val>
          <c:extLst>
            <c:ext xmlns:c16="http://schemas.microsoft.com/office/drawing/2014/chart" uri="{C3380CC4-5D6E-409C-BE32-E72D297353CC}">
              <c16:uniqueId val="{00000006-B7C7-4D51-BFD6-4534951BB8CF}"/>
            </c:ext>
          </c:extLst>
        </c:ser>
        <c:dLbls>
          <c:showLegendKey val="0"/>
          <c:showVal val="0"/>
          <c:showCatName val="0"/>
          <c:showSerName val="0"/>
          <c:showPercent val="0"/>
          <c:showBubbleSize val="0"/>
        </c:dLbls>
        <c:gapWidth val="150"/>
        <c:overlap val="100"/>
        <c:axId val="648934152"/>
        <c:axId val="648926280"/>
      </c:barChart>
      <c:catAx>
        <c:axId val="6489341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crossAx val="648926280"/>
        <c:crosses val="autoZero"/>
        <c:auto val="1"/>
        <c:lblAlgn val="ctr"/>
        <c:lblOffset val="100"/>
        <c:noMultiLvlLbl val="0"/>
      </c:catAx>
      <c:valAx>
        <c:axId val="648926280"/>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48934152"/>
        <c:crosses val="autoZero"/>
        <c:crossBetween val="between"/>
      </c:valAx>
      <c:spPr>
        <a:noFill/>
        <a:ln>
          <a:noFill/>
        </a:ln>
        <a:effectLst/>
      </c:spPr>
    </c:plotArea>
    <c:legend>
      <c:legendPos val="b"/>
      <c:layout>
        <c:manualLayout>
          <c:xMode val="edge"/>
          <c:yMode val="edge"/>
          <c:x val="0.1018919263151444"/>
          <c:y val="0.89491654944582"/>
          <c:w val="0.79621614736971114"/>
          <c:h val="0.1050834178081624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200"/>
              <a:t>Rate of accidental dwelling fires, local authorities, Scotland, 2016/17</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Fires!$B$1</c:f>
              <c:strCache>
                <c:ptCount val="1"/>
                <c:pt idx="0">
                  <c:v>Accidental rate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21"/>
            <c:invertIfNegative val="0"/>
            <c:bubble3D val="0"/>
            <c:spPr>
              <a:solidFill>
                <a:schemeClr val="accent2"/>
              </a:solidFill>
              <a:ln>
                <a:noFill/>
              </a:ln>
              <a:effectLst/>
            </c:spPr>
            <c:extLst>
              <c:ext xmlns:c16="http://schemas.microsoft.com/office/drawing/2014/chart" uri="{C3380CC4-5D6E-409C-BE32-E72D297353CC}">
                <c16:uniqueId val="{00000001-F103-4FA1-A3F4-B5BAD2AAD704}"/>
              </c:ext>
            </c:extLst>
          </c:dPt>
          <c:dPt>
            <c:idx val="27"/>
            <c:invertIfNegative val="0"/>
            <c:bubble3D val="0"/>
            <c:spPr>
              <a:solidFill>
                <a:schemeClr val="accent2"/>
              </a:solidFill>
              <a:ln>
                <a:noFill/>
              </a:ln>
              <a:effectLst/>
            </c:spPr>
            <c:extLst>
              <c:ext xmlns:c16="http://schemas.microsoft.com/office/drawing/2014/chart" uri="{C3380CC4-5D6E-409C-BE32-E72D297353CC}">
                <c16:uniqueId val="{00000003-F103-4FA1-A3F4-B5BAD2AAD704}"/>
              </c:ext>
            </c:extLst>
          </c:dPt>
          <c:dLbls>
            <c:dLbl>
              <c:idx val="2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103-4FA1-A3F4-B5BAD2AAD704}"/>
                </c:ext>
              </c:extLst>
            </c:dLbl>
            <c:dLbl>
              <c:idx val="27"/>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103-4FA1-A3F4-B5BAD2AAD7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Fires!$A$2:$A$34</c:f>
              <c:strCache>
                <c:ptCount val="33"/>
                <c:pt idx="0">
                  <c:v>Shetland Islands</c:v>
                </c:pt>
                <c:pt idx="1">
                  <c:v>Orkney Islands</c:v>
                </c:pt>
                <c:pt idx="2">
                  <c:v>East Lothian</c:v>
                </c:pt>
                <c:pt idx="3">
                  <c:v>Moray</c:v>
                </c:pt>
                <c:pt idx="4">
                  <c:v>Highland</c:v>
                </c:pt>
                <c:pt idx="5">
                  <c:v>Fife</c:v>
                </c:pt>
                <c:pt idx="6">
                  <c:v>Dumfries and Galloway</c:v>
                </c:pt>
                <c:pt idx="7">
                  <c:v>Falkirk</c:v>
                </c:pt>
                <c:pt idx="8">
                  <c:v>Aberdeenshire</c:v>
                </c:pt>
                <c:pt idx="9">
                  <c:v>East Renfrewshire</c:v>
                </c:pt>
                <c:pt idx="10">
                  <c:v>South Lanarkshire</c:v>
                </c:pt>
                <c:pt idx="11">
                  <c:v>Scottish Borders</c:v>
                </c:pt>
                <c:pt idx="12">
                  <c:v>South Ayrshire</c:v>
                </c:pt>
                <c:pt idx="13">
                  <c:v>West Lothian</c:v>
                </c:pt>
                <c:pt idx="14">
                  <c:v>Na h-Eileanan Siar</c:v>
                </c:pt>
                <c:pt idx="15">
                  <c:v>East Dunbartonshire</c:v>
                </c:pt>
                <c:pt idx="16">
                  <c:v>Argyll and Bute</c:v>
                </c:pt>
                <c:pt idx="17">
                  <c:v>Angus</c:v>
                </c:pt>
                <c:pt idx="18">
                  <c:v>Stirling</c:v>
                </c:pt>
                <c:pt idx="19">
                  <c:v>North Lanarkshire</c:v>
                </c:pt>
                <c:pt idx="20">
                  <c:v>Midlothian</c:v>
                </c:pt>
                <c:pt idx="21">
                  <c:v>Scotland (total)</c:v>
                </c:pt>
                <c:pt idx="22">
                  <c:v>Perth and Kinross</c:v>
                </c:pt>
                <c:pt idx="23">
                  <c:v>Edinburgh City</c:v>
                </c:pt>
                <c:pt idx="24">
                  <c:v>Renfrewshire</c:v>
                </c:pt>
                <c:pt idx="25">
                  <c:v>North Ayrshire</c:v>
                </c:pt>
                <c:pt idx="26">
                  <c:v>East Ayrshire</c:v>
                </c:pt>
                <c:pt idx="27">
                  <c:v>Aberdeen City</c:v>
                </c:pt>
                <c:pt idx="28">
                  <c:v>Glasgow City</c:v>
                </c:pt>
                <c:pt idx="29">
                  <c:v>Clackmannanshire</c:v>
                </c:pt>
                <c:pt idx="30">
                  <c:v>West Dunbartonshire</c:v>
                </c:pt>
                <c:pt idx="31">
                  <c:v>Dundee City</c:v>
                </c:pt>
                <c:pt idx="32">
                  <c:v>Inverclyde</c:v>
                </c:pt>
              </c:strCache>
            </c:strRef>
          </c:cat>
          <c:val>
            <c:numRef>
              <c:f>Fires!$B$2:$B$34</c:f>
              <c:numCache>
                <c:formatCode>0.0</c:formatCode>
                <c:ptCount val="33"/>
                <c:pt idx="0">
                  <c:v>63.011972274732202</c:v>
                </c:pt>
                <c:pt idx="1">
                  <c:v>63.273976317454583</c:v>
                </c:pt>
                <c:pt idx="2">
                  <c:v>111.41583818992116</c:v>
                </c:pt>
                <c:pt idx="3">
                  <c:v>114.72533405317857</c:v>
                </c:pt>
                <c:pt idx="4">
                  <c:v>130.52476106240286</c:v>
                </c:pt>
                <c:pt idx="5">
                  <c:v>140.37862119545287</c:v>
                </c:pt>
                <c:pt idx="6">
                  <c:v>141.02856835856178</c:v>
                </c:pt>
                <c:pt idx="7">
                  <c:v>143.69569048490516</c:v>
                </c:pt>
                <c:pt idx="8">
                  <c:v>146.02176583262471</c:v>
                </c:pt>
                <c:pt idx="9">
                  <c:v>148.4800333428847</c:v>
                </c:pt>
                <c:pt idx="10">
                  <c:v>148.55045674224144</c:v>
                </c:pt>
                <c:pt idx="11">
                  <c:v>150.15533310321021</c:v>
                </c:pt>
                <c:pt idx="12">
                  <c:v>152.88850060063339</c:v>
                </c:pt>
                <c:pt idx="13">
                  <c:v>155.20838634166199</c:v>
                </c:pt>
                <c:pt idx="14">
                  <c:v>157.54503733132407</c:v>
                </c:pt>
                <c:pt idx="15">
                  <c:v>160.77869030547953</c:v>
                </c:pt>
                <c:pt idx="16">
                  <c:v>161.15529510255337</c:v>
                </c:pt>
                <c:pt idx="17">
                  <c:v>166.45189003436425</c:v>
                </c:pt>
                <c:pt idx="18">
                  <c:v>182.9357529635592</c:v>
                </c:pt>
                <c:pt idx="19">
                  <c:v>189.06302970245389</c:v>
                </c:pt>
                <c:pt idx="20">
                  <c:v>190.85426368425072</c:v>
                </c:pt>
                <c:pt idx="21">
                  <c:v>191.25143118268005</c:v>
                </c:pt>
                <c:pt idx="22">
                  <c:v>192.01928602464014</c:v>
                </c:pt>
                <c:pt idx="23">
                  <c:v>201.94076131257398</c:v>
                </c:pt>
                <c:pt idx="24">
                  <c:v>208.80966823759974</c:v>
                </c:pt>
                <c:pt idx="25">
                  <c:v>228.61356932153393</c:v>
                </c:pt>
                <c:pt idx="26">
                  <c:v>238.45316468819655</c:v>
                </c:pt>
                <c:pt idx="27">
                  <c:v>259.81925616962116</c:v>
                </c:pt>
                <c:pt idx="28">
                  <c:v>265.03267973856208</c:v>
                </c:pt>
                <c:pt idx="29">
                  <c:v>276.61946244994016</c:v>
                </c:pt>
                <c:pt idx="30">
                  <c:v>288.22277403334516</c:v>
                </c:pt>
                <c:pt idx="31">
                  <c:v>303.94726177289061</c:v>
                </c:pt>
                <c:pt idx="32">
                  <c:v>306.42461696922879</c:v>
                </c:pt>
              </c:numCache>
            </c:numRef>
          </c:val>
          <c:extLst>
            <c:ext xmlns:c16="http://schemas.microsoft.com/office/drawing/2014/chart" uri="{C3380CC4-5D6E-409C-BE32-E72D297353CC}">
              <c16:uniqueId val="{00000004-F103-4FA1-A3F4-B5BAD2AAD704}"/>
            </c:ext>
          </c:extLst>
        </c:ser>
        <c:dLbls>
          <c:showLegendKey val="0"/>
          <c:showVal val="0"/>
          <c:showCatName val="0"/>
          <c:showSerName val="0"/>
          <c:showPercent val="0"/>
          <c:showBubbleSize val="0"/>
        </c:dLbls>
        <c:gapWidth val="100"/>
        <c:overlap val="-24"/>
        <c:axId val="637711960"/>
        <c:axId val="637703760"/>
      </c:barChart>
      <c:catAx>
        <c:axId val="63771196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n-US"/>
          </a:p>
        </c:txPr>
        <c:crossAx val="637703760"/>
        <c:crosses val="autoZero"/>
        <c:auto val="1"/>
        <c:lblAlgn val="ctr"/>
        <c:lblOffset val="100"/>
        <c:noMultiLvlLbl val="0"/>
      </c:catAx>
      <c:valAx>
        <c:axId val="63770376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Rate per 100,000 dwellings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37711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Number of people killed or seriously injured in road traffic accients, Aberdeen City, 2006 to 2016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2"/>
          <c:order val="2"/>
          <c:tx>
            <c:strRef>
              <c:f>RTAs!$B$22</c:f>
              <c:strCache>
                <c:ptCount val="1"/>
                <c:pt idx="0">
                  <c:v>All severities</c:v>
                </c:pt>
              </c:strCache>
            </c:strRef>
          </c:tx>
          <c:spPr>
            <a:solidFill>
              <a:schemeClr val="accent3"/>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DCA-4556-9F41-338041D4C9CF}"/>
                </c:ext>
              </c:extLst>
            </c:dLbl>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DCA-4556-9F41-338041D4C9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RTAs!$C$19:$M$19</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RTAs!$C$22:$M$22</c:f>
              <c:numCache>
                <c:formatCode>General</c:formatCode>
                <c:ptCount val="11"/>
                <c:pt idx="0">
                  <c:v>393</c:v>
                </c:pt>
                <c:pt idx="1">
                  <c:v>408</c:v>
                </c:pt>
                <c:pt idx="2">
                  <c:v>514</c:v>
                </c:pt>
                <c:pt idx="3">
                  <c:v>445</c:v>
                </c:pt>
                <c:pt idx="4">
                  <c:v>350</c:v>
                </c:pt>
                <c:pt idx="5">
                  <c:v>364</c:v>
                </c:pt>
                <c:pt idx="6">
                  <c:v>385</c:v>
                </c:pt>
                <c:pt idx="7">
                  <c:v>356</c:v>
                </c:pt>
                <c:pt idx="8">
                  <c:v>272</c:v>
                </c:pt>
                <c:pt idx="9">
                  <c:v>230</c:v>
                </c:pt>
                <c:pt idx="10">
                  <c:v>175</c:v>
                </c:pt>
              </c:numCache>
            </c:numRef>
          </c:val>
          <c:extLst>
            <c:ext xmlns:c16="http://schemas.microsoft.com/office/drawing/2014/chart" uri="{C3380CC4-5D6E-409C-BE32-E72D297353CC}">
              <c16:uniqueId val="{00000000-FDCA-4556-9F41-338041D4C9CF}"/>
            </c:ext>
          </c:extLst>
        </c:ser>
        <c:dLbls>
          <c:showLegendKey val="0"/>
          <c:showVal val="0"/>
          <c:showCatName val="0"/>
          <c:showSerName val="0"/>
          <c:showPercent val="0"/>
          <c:showBubbleSize val="0"/>
        </c:dLbls>
        <c:gapWidth val="219"/>
        <c:axId val="635614432"/>
        <c:axId val="635615416"/>
      </c:barChart>
      <c:lineChart>
        <c:grouping val="standard"/>
        <c:varyColors val="0"/>
        <c:ser>
          <c:idx val="0"/>
          <c:order val="0"/>
          <c:tx>
            <c:strRef>
              <c:f>RTAs!$B$20</c:f>
              <c:strCache>
                <c:ptCount val="1"/>
                <c:pt idx="0">
                  <c:v>Fatal</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5.9111111111111121E-2"/>
                  <c:y val="-1.6168525809273925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3.7666666666666668E-2"/>
                      <c:h val="6.4745552639253412E-2"/>
                    </c:manualLayout>
                  </c15:layout>
                </c:ext>
                <c:ext xmlns:c16="http://schemas.microsoft.com/office/drawing/2014/chart" uri="{C3380CC4-5D6E-409C-BE32-E72D297353CC}">
                  <c16:uniqueId val="{00000001-FDCA-4556-9F41-338041D4C9CF}"/>
                </c:ext>
              </c:extLst>
            </c:dLbl>
            <c:dLbl>
              <c:idx val="10"/>
              <c:layout>
                <c:manualLayout>
                  <c:x val="-4.9444444444445464E-3"/>
                  <c:y val="-2.54283318751822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DCA-4556-9F41-338041D4C9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RTAs!$C$19:$M$19</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RTAs!$C$20:$M$20</c:f>
              <c:numCache>
                <c:formatCode>General</c:formatCode>
                <c:ptCount val="11"/>
                <c:pt idx="0">
                  <c:v>7</c:v>
                </c:pt>
                <c:pt idx="1">
                  <c:v>5</c:v>
                </c:pt>
                <c:pt idx="2">
                  <c:v>3</c:v>
                </c:pt>
                <c:pt idx="3">
                  <c:v>3</c:v>
                </c:pt>
                <c:pt idx="4">
                  <c:v>7</c:v>
                </c:pt>
                <c:pt idx="5">
                  <c:v>7</c:v>
                </c:pt>
                <c:pt idx="6">
                  <c:v>7</c:v>
                </c:pt>
                <c:pt idx="7">
                  <c:v>4</c:v>
                </c:pt>
                <c:pt idx="8">
                  <c:v>6</c:v>
                </c:pt>
                <c:pt idx="9">
                  <c:v>4</c:v>
                </c:pt>
                <c:pt idx="10">
                  <c:v>3</c:v>
                </c:pt>
              </c:numCache>
            </c:numRef>
          </c:val>
          <c:smooth val="0"/>
          <c:extLst>
            <c:ext xmlns:c16="http://schemas.microsoft.com/office/drawing/2014/chart" uri="{C3380CC4-5D6E-409C-BE32-E72D297353CC}">
              <c16:uniqueId val="{00000003-FDCA-4556-9F41-338041D4C9CF}"/>
            </c:ext>
          </c:extLst>
        </c:ser>
        <c:ser>
          <c:idx val="1"/>
          <c:order val="1"/>
          <c:tx>
            <c:strRef>
              <c:f>RTAs!$B$21</c:f>
              <c:strCache>
                <c:ptCount val="1"/>
                <c:pt idx="0">
                  <c:v>Serious injury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6.6833333333333328E-2"/>
                  <c:y val="2.3494459025955091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DCA-4556-9F41-338041D4C9CF}"/>
                </c:ext>
              </c:extLst>
            </c:dLbl>
            <c:dLbl>
              <c:idx val="1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DCA-4556-9F41-338041D4C9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RTAs!$C$19:$M$19</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RTAs!$C$21:$M$21</c:f>
              <c:numCache>
                <c:formatCode>General</c:formatCode>
                <c:ptCount val="11"/>
                <c:pt idx="0">
                  <c:v>51</c:v>
                </c:pt>
                <c:pt idx="1">
                  <c:v>62</c:v>
                </c:pt>
                <c:pt idx="2">
                  <c:v>113</c:v>
                </c:pt>
                <c:pt idx="3">
                  <c:v>73</c:v>
                </c:pt>
                <c:pt idx="4">
                  <c:v>70</c:v>
                </c:pt>
                <c:pt idx="5">
                  <c:v>95</c:v>
                </c:pt>
                <c:pt idx="6">
                  <c:v>94</c:v>
                </c:pt>
                <c:pt idx="7">
                  <c:v>98</c:v>
                </c:pt>
                <c:pt idx="8">
                  <c:v>76</c:v>
                </c:pt>
                <c:pt idx="9">
                  <c:v>69</c:v>
                </c:pt>
                <c:pt idx="10">
                  <c:v>55</c:v>
                </c:pt>
              </c:numCache>
            </c:numRef>
          </c:val>
          <c:smooth val="0"/>
          <c:extLst>
            <c:ext xmlns:c16="http://schemas.microsoft.com/office/drawing/2014/chart" uri="{C3380CC4-5D6E-409C-BE32-E72D297353CC}">
              <c16:uniqueId val="{00000006-FDCA-4556-9F41-338041D4C9CF}"/>
            </c:ext>
          </c:extLst>
        </c:ser>
        <c:dLbls>
          <c:showLegendKey val="0"/>
          <c:showVal val="0"/>
          <c:showCatName val="0"/>
          <c:showSerName val="0"/>
          <c:showPercent val="0"/>
          <c:showBubbleSize val="0"/>
        </c:dLbls>
        <c:marker val="1"/>
        <c:smooth val="0"/>
        <c:axId val="735781184"/>
        <c:axId val="735782168"/>
      </c:lineChart>
      <c:catAx>
        <c:axId val="735781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5782168"/>
        <c:crosses val="autoZero"/>
        <c:auto val="1"/>
        <c:lblAlgn val="ctr"/>
        <c:lblOffset val="100"/>
        <c:noMultiLvlLbl val="0"/>
      </c:catAx>
      <c:valAx>
        <c:axId val="735782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people killed or seriously injured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5781184"/>
        <c:crosses val="autoZero"/>
        <c:crossBetween val="between"/>
      </c:valAx>
      <c:valAx>
        <c:axId val="63561541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Total accidents - all severities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5614432"/>
        <c:crosses val="max"/>
        <c:crossBetween val="between"/>
      </c:valAx>
      <c:catAx>
        <c:axId val="635614432"/>
        <c:scaling>
          <c:orientation val="minMax"/>
        </c:scaling>
        <c:delete val="1"/>
        <c:axPos val="b"/>
        <c:numFmt formatCode="General" sourceLinked="1"/>
        <c:majorTickMark val="out"/>
        <c:minorTickMark val="none"/>
        <c:tickLblPos val="nextTo"/>
        <c:crossAx val="6356154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Household waste, Aberdeen City, 2011 to 2016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'Waste and recycling'!$C$12</c:f>
              <c:strCache>
                <c:ptCount val="1"/>
                <c:pt idx="0">
                  <c:v>Waste generated</c:v>
                </c:pt>
              </c:strCache>
            </c:strRef>
          </c:tx>
          <c:spPr>
            <a:solidFill>
              <a:schemeClr val="accent1"/>
            </a:solidFill>
            <a:ln>
              <a:noFill/>
            </a:ln>
            <a:effectLst/>
          </c:spPr>
          <c:invertIfNegative val="0"/>
          <c:cat>
            <c:numRef>
              <c:f>'Waste and recycling'!$B$13:$B$18</c:f>
              <c:numCache>
                <c:formatCode>General</c:formatCode>
                <c:ptCount val="6"/>
                <c:pt idx="0">
                  <c:v>2011</c:v>
                </c:pt>
                <c:pt idx="1">
                  <c:v>2012</c:v>
                </c:pt>
                <c:pt idx="2">
                  <c:v>2013</c:v>
                </c:pt>
                <c:pt idx="3">
                  <c:v>2014</c:v>
                </c:pt>
                <c:pt idx="4">
                  <c:v>2015</c:v>
                </c:pt>
                <c:pt idx="5">
                  <c:v>2016</c:v>
                </c:pt>
              </c:numCache>
            </c:numRef>
          </c:cat>
          <c:val>
            <c:numRef>
              <c:f>'Waste and recycling'!$C$13:$C$18</c:f>
              <c:numCache>
                <c:formatCode>General</c:formatCode>
                <c:ptCount val="6"/>
                <c:pt idx="0">
                  <c:v>97184</c:v>
                </c:pt>
                <c:pt idx="1">
                  <c:v>97230</c:v>
                </c:pt>
                <c:pt idx="2">
                  <c:v>94117</c:v>
                </c:pt>
                <c:pt idx="3">
                  <c:v>96130</c:v>
                </c:pt>
                <c:pt idx="4">
                  <c:v>95241</c:v>
                </c:pt>
                <c:pt idx="5">
                  <c:v>96123</c:v>
                </c:pt>
              </c:numCache>
            </c:numRef>
          </c:val>
          <c:extLst>
            <c:ext xmlns:c16="http://schemas.microsoft.com/office/drawing/2014/chart" uri="{C3380CC4-5D6E-409C-BE32-E72D297353CC}">
              <c16:uniqueId val="{00000000-471D-422A-B3C1-2DECB11F0F2F}"/>
            </c:ext>
          </c:extLst>
        </c:ser>
        <c:ser>
          <c:idx val="1"/>
          <c:order val="1"/>
          <c:tx>
            <c:strRef>
              <c:f>'Waste and recycling'!$D$12</c:f>
              <c:strCache>
                <c:ptCount val="1"/>
                <c:pt idx="0">
                  <c:v>Recycled</c:v>
                </c:pt>
              </c:strCache>
            </c:strRef>
          </c:tx>
          <c:spPr>
            <a:solidFill>
              <a:schemeClr val="accent2"/>
            </a:solidFill>
            <a:ln>
              <a:noFill/>
            </a:ln>
            <a:effectLst/>
          </c:spPr>
          <c:invertIfNegative val="0"/>
          <c:cat>
            <c:numRef>
              <c:f>'Waste and recycling'!$B$13:$B$18</c:f>
              <c:numCache>
                <c:formatCode>General</c:formatCode>
                <c:ptCount val="6"/>
                <c:pt idx="0">
                  <c:v>2011</c:v>
                </c:pt>
                <c:pt idx="1">
                  <c:v>2012</c:v>
                </c:pt>
                <c:pt idx="2">
                  <c:v>2013</c:v>
                </c:pt>
                <c:pt idx="3">
                  <c:v>2014</c:v>
                </c:pt>
                <c:pt idx="4">
                  <c:v>2015</c:v>
                </c:pt>
                <c:pt idx="5">
                  <c:v>2016</c:v>
                </c:pt>
              </c:numCache>
            </c:numRef>
          </c:cat>
          <c:val>
            <c:numRef>
              <c:f>'Waste and recycling'!$D$13:$D$18</c:f>
              <c:numCache>
                <c:formatCode>General</c:formatCode>
                <c:ptCount val="6"/>
                <c:pt idx="0">
                  <c:v>34662</c:v>
                </c:pt>
                <c:pt idx="1">
                  <c:v>36242</c:v>
                </c:pt>
                <c:pt idx="2">
                  <c:v>34956</c:v>
                </c:pt>
                <c:pt idx="3">
                  <c:v>36742</c:v>
                </c:pt>
                <c:pt idx="4">
                  <c:v>36679</c:v>
                </c:pt>
                <c:pt idx="5">
                  <c:v>37498</c:v>
                </c:pt>
              </c:numCache>
            </c:numRef>
          </c:val>
          <c:extLst>
            <c:ext xmlns:c16="http://schemas.microsoft.com/office/drawing/2014/chart" uri="{C3380CC4-5D6E-409C-BE32-E72D297353CC}">
              <c16:uniqueId val="{00000001-471D-422A-B3C1-2DECB11F0F2F}"/>
            </c:ext>
          </c:extLst>
        </c:ser>
        <c:ser>
          <c:idx val="2"/>
          <c:order val="2"/>
          <c:tx>
            <c:strRef>
              <c:f>'Waste and recycling'!$E$12</c:f>
              <c:strCache>
                <c:ptCount val="1"/>
                <c:pt idx="0">
                  <c:v>Landfill</c:v>
                </c:pt>
              </c:strCache>
            </c:strRef>
          </c:tx>
          <c:spPr>
            <a:solidFill>
              <a:schemeClr val="accent3"/>
            </a:solidFill>
            <a:ln>
              <a:noFill/>
            </a:ln>
            <a:effectLst/>
          </c:spPr>
          <c:invertIfNegative val="0"/>
          <c:cat>
            <c:numRef>
              <c:f>'Waste and recycling'!$B$13:$B$18</c:f>
              <c:numCache>
                <c:formatCode>General</c:formatCode>
                <c:ptCount val="6"/>
                <c:pt idx="0">
                  <c:v>2011</c:v>
                </c:pt>
                <c:pt idx="1">
                  <c:v>2012</c:v>
                </c:pt>
                <c:pt idx="2">
                  <c:v>2013</c:v>
                </c:pt>
                <c:pt idx="3">
                  <c:v>2014</c:v>
                </c:pt>
                <c:pt idx="4">
                  <c:v>2015</c:v>
                </c:pt>
                <c:pt idx="5">
                  <c:v>2016</c:v>
                </c:pt>
              </c:numCache>
            </c:numRef>
          </c:cat>
          <c:val>
            <c:numRef>
              <c:f>'Waste and recycling'!$E$13:$E$18</c:f>
              <c:numCache>
                <c:formatCode>General</c:formatCode>
                <c:ptCount val="6"/>
                <c:pt idx="0">
                  <c:v>62522</c:v>
                </c:pt>
                <c:pt idx="1">
                  <c:v>60988</c:v>
                </c:pt>
                <c:pt idx="2">
                  <c:v>59051</c:v>
                </c:pt>
                <c:pt idx="3">
                  <c:v>59034</c:v>
                </c:pt>
                <c:pt idx="4">
                  <c:v>58155</c:v>
                </c:pt>
                <c:pt idx="5">
                  <c:v>58021</c:v>
                </c:pt>
              </c:numCache>
            </c:numRef>
          </c:val>
          <c:extLst>
            <c:ext xmlns:c16="http://schemas.microsoft.com/office/drawing/2014/chart" uri="{C3380CC4-5D6E-409C-BE32-E72D297353CC}">
              <c16:uniqueId val="{00000002-471D-422A-B3C1-2DECB11F0F2F}"/>
            </c:ext>
          </c:extLst>
        </c:ser>
        <c:ser>
          <c:idx val="3"/>
          <c:order val="3"/>
          <c:tx>
            <c:strRef>
              <c:f>'Waste and recycling'!$F$12</c:f>
              <c:strCache>
                <c:ptCount val="1"/>
                <c:pt idx="0">
                  <c:v>Other</c:v>
                </c:pt>
              </c:strCache>
            </c:strRef>
          </c:tx>
          <c:spPr>
            <a:solidFill>
              <a:schemeClr val="accent4"/>
            </a:solidFill>
            <a:ln>
              <a:noFill/>
            </a:ln>
            <a:effectLst/>
          </c:spPr>
          <c:invertIfNegative val="0"/>
          <c:cat>
            <c:numRef>
              <c:f>'Waste and recycling'!$B$13:$B$18</c:f>
              <c:numCache>
                <c:formatCode>General</c:formatCode>
                <c:ptCount val="6"/>
                <c:pt idx="0">
                  <c:v>2011</c:v>
                </c:pt>
                <c:pt idx="1">
                  <c:v>2012</c:v>
                </c:pt>
                <c:pt idx="2">
                  <c:v>2013</c:v>
                </c:pt>
                <c:pt idx="3">
                  <c:v>2014</c:v>
                </c:pt>
                <c:pt idx="4">
                  <c:v>2015</c:v>
                </c:pt>
                <c:pt idx="5">
                  <c:v>2016</c:v>
                </c:pt>
              </c:numCache>
            </c:numRef>
          </c:cat>
          <c:val>
            <c:numRef>
              <c:f>'Waste and recycling'!$F$13:$F$18</c:f>
              <c:numCache>
                <c:formatCode>General</c:formatCode>
                <c:ptCount val="6"/>
                <c:pt idx="0">
                  <c:v>0</c:v>
                </c:pt>
                <c:pt idx="1">
                  <c:v>12</c:v>
                </c:pt>
                <c:pt idx="2">
                  <c:v>109</c:v>
                </c:pt>
                <c:pt idx="3">
                  <c:v>354</c:v>
                </c:pt>
                <c:pt idx="4">
                  <c:v>407</c:v>
                </c:pt>
                <c:pt idx="5">
                  <c:v>604</c:v>
                </c:pt>
              </c:numCache>
            </c:numRef>
          </c:val>
          <c:extLst>
            <c:ext xmlns:c16="http://schemas.microsoft.com/office/drawing/2014/chart" uri="{C3380CC4-5D6E-409C-BE32-E72D297353CC}">
              <c16:uniqueId val="{00000003-471D-422A-B3C1-2DECB11F0F2F}"/>
            </c:ext>
          </c:extLst>
        </c:ser>
        <c:dLbls>
          <c:showLegendKey val="0"/>
          <c:showVal val="0"/>
          <c:showCatName val="0"/>
          <c:showSerName val="0"/>
          <c:showPercent val="0"/>
          <c:showBubbleSize val="0"/>
        </c:dLbls>
        <c:gapWidth val="219"/>
        <c:axId val="703411392"/>
        <c:axId val="703404176"/>
      </c:barChart>
      <c:lineChart>
        <c:grouping val="standard"/>
        <c:varyColors val="0"/>
        <c:ser>
          <c:idx val="4"/>
          <c:order val="4"/>
          <c:tx>
            <c:strRef>
              <c:f>'Waste and recycling'!$G$12</c:f>
              <c:strCache>
                <c:ptCount val="1"/>
                <c:pt idx="0">
                  <c:v>% recycled</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0"/>
              <c:layout>
                <c:manualLayout>
                  <c:x val="7.0921985815602835E-3"/>
                  <c:y val="1.15273775216137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71D-422A-B3C1-2DECB11F0F2F}"/>
                </c:ext>
              </c:extLst>
            </c:dLbl>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71D-422A-B3C1-2DECB11F0F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'Waste and recycling'!$B$13:$B$18</c:f>
              <c:numCache>
                <c:formatCode>General</c:formatCode>
                <c:ptCount val="6"/>
                <c:pt idx="0">
                  <c:v>2011</c:v>
                </c:pt>
                <c:pt idx="1">
                  <c:v>2012</c:v>
                </c:pt>
                <c:pt idx="2">
                  <c:v>2013</c:v>
                </c:pt>
                <c:pt idx="3">
                  <c:v>2014</c:v>
                </c:pt>
                <c:pt idx="4">
                  <c:v>2015</c:v>
                </c:pt>
                <c:pt idx="5">
                  <c:v>2016</c:v>
                </c:pt>
              </c:numCache>
            </c:numRef>
          </c:cat>
          <c:val>
            <c:numRef>
              <c:f>'Waste and recycling'!$G$13:$G$18</c:f>
              <c:numCache>
                <c:formatCode>0.0%</c:formatCode>
                <c:ptCount val="6"/>
                <c:pt idx="0">
                  <c:v>0.35666364833717484</c:v>
                </c:pt>
                <c:pt idx="1">
                  <c:v>0.37274503753985394</c:v>
                </c:pt>
                <c:pt idx="2">
                  <c:v>0.37141005344411743</c:v>
                </c:pt>
                <c:pt idx="3">
                  <c:v>0.38221158847394154</c:v>
                </c:pt>
                <c:pt idx="4">
                  <c:v>0.38511775390850578</c:v>
                </c:pt>
                <c:pt idx="5">
                  <c:v>0.39010434547402806</c:v>
                </c:pt>
              </c:numCache>
            </c:numRef>
          </c:val>
          <c:smooth val="0"/>
          <c:extLst>
            <c:ext xmlns:c16="http://schemas.microsoft.com/office/drawing/2014/chart" uri="{C3380CC4-5D6E-409C-BE32-E72D297353CC}">
              <c16:uniqueId val="{00000006-471D-422A-B3C1-2DECB11F0F2F}"/>
            </c:ext>
          </c:extLst>
        </c:ser>
        <c:dLbls>
          <c:showLegendKey val="0"/>
          <c:showVal val="0"/>
          <c:showCatName val="0"/>
          <c:showSerName val="0"/>
          <c:showPercent val="0"/>
          <c:showBubbleSize val="0"/>
        </c:dLbls>
        <c:marker val="1"/>
        <c:smooth val="0"/>
        <c:axId val="577084704"/>
        <c:axId val="577084376"/>
      </c:lineChart>
      <c:catAx>
        <c:axId val="703411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3404176"/>
        <c:crosses val="autoZero"/>
        <c:auto val="1"/>
        <c:lblAlgn val="ctr"/>
        <c:lblOffset val="100"/>
        <c:noMultiLvlLbl val="0"/>
      </c:catAx>
      <c:valAx>
        <c:axId val="703404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Tonnes of waste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03411392"/>
        <c:crosses val="autoZero"/>
        <c:crossBetween val="between"/>
      </c:valAx>
      <c:valAx>
        <c:axId val="57708437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 of waste recycled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7084704"/>
        <c:crosses val="max"/>
        <c:crossBetween val="between"/>
      </c:valAx>
      <c:catAx>
        <c:axId val="577084704"/>
        <c:scaling>
          <c:orientation val="minMax"/>
        </c:scaling>
        <c:delete val="1"/>
        <c:axPos val="b"/>
        <c:numFmt formatCode="General" sourceLinked="1"/>
        <c:majorTickMark val="out"/>
        <c:minorTickMark val="none"/>
        <c:tickLblPos val="nextTo"/>
        <c:crossAx val="57708437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Annual mean PM 10 concentrations, sites in Aberdeen City, 2005 to 2016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Sheet2!$B$4</c:f>
              <c:strCache>
                <c:ptCount val="1"/>
                <c:pt idx="0">
                  <c:v>Aberdeen Anderson Dr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Sheet2!$H$3:$S$3</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Sheet2!$H$4:$S$4</c:f>
              <c:numCache>
                <c:formatCode>General</c:formatCode>
                <c:ptCount val="12"/>
                <c:pt idx="0">
                  <c:v>18</c:v>
                </c:pt>
                <c:pt idx="1">
                  <c:v>18</c:v>
                </c:pt>
                <c:pt idx="2">
                  <c:v>17</c:v>
                </c:pt>
                <c:pt idx="3">
                  <c:v>18</c:v>
                </c:pt>
                <c:pt idx="4">
                  <c:v>15</c:v>
                </c:pt>
                <c:pt idx="5">
                  <c:v>14</c:v>
                </c:pt>
                <c:pt idx="6">
                  <c:v>16</c:v>
                </c:pt>
                <c:pt idx="7">
                  <c:v>15</c:v>
                </c:pt>
                <c:pt idx="8">
                  <c:v>15</c:v>
                </c:pt>
                <c:pt idx="9">
                  <c:v>15</c:v>
                </c:pt>
                <c:pt idx="10">
                  <c:v>13</c:v>
                </c:pt>
                <c:pt idx="11" formatCode="0">
                  <c:v>12.216815</c:v>
                </c:pt>
              </c:numCache>
            </c:numRef>
          </c:val>
          <c:smooth val="0"/>
          <c:extLst>
            <c:ext xmlns:c16="http://schemas.microsoft.com/office/drawing/2014/chart" uri="{C3380CC4-5D6E-409C-BE32-E72D297353CC}">
              <c16:uniqueId val="{00000000-9B63-40AE-B973-BA9081ABFC05}"/>
            </c:ext>
          </c:extLst>
        </c:ser>
        <c:ser>
          <c:idx val="1"/>
          <c:order val="1"/>
          <c:tx>
            <c:strRef>
              <c:f>Sheet2!$B$5</c:f>
              <c:strCache>
                <c:ptCount val="1"/>
                <c:pt idx="0">
                  <c:v>Aberdeen Errol Place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Sheet2!$H$3:$S$3</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Sheet2!$H$5:$S$5</c:f>
              <c:numCache>
                <c:formatCode>General</c:formatCode>
                <c:ptCount val="12"/>
                <c:pt idx="0">
                  <c:v>19</c:v>
                </c:pt>
                <c:pt idx="1">
                  <c:v>20</c:v>
                </c:pt>
                <c:pt idx="2">
                  <c:v>17</c:v>
                </c:pt>
                <c:pt idx="3">
                  <c:v>16</c:v>
                </c:pt>
                <c:pt idx="4">
                  <c:v>15</c:v>
                </c:pt>
                <c:pt idx="5">
                  <c:v>13</c:v>
                </c:pt>
                <c:pt idx="6">
                  <c:v>14</c:v>
                </c:pt>
                <c:pt idx="7">
                  <c:v>12</c:v>
                </c:pt>
                <c:pt idx="8">
                  <c:v>13</c:v>
                </c:pt>
                <c:pt idx="9">
                  <c:v>15</c:v>
                </c:pt>
                <c:pt idx="10">
                  <c:v>12</c:v>
                </c:pt>
                <c:pt idx="11" formatCode="0">
                  <c:v>11.761163</c:v>
                </c:pt>
              </c:numCache>
            </c:numRef>
          </c:val>
          <c:smooth val="0"/>
          <c:extLst>
            <c:ext xmlns:c16="http://schemas.microsoft.com/office/drawing/2014/chart" uri="{C3380CC4-5D6E-409C-BE32-E72D297353CC}">
              <c16:uniqueId val="{00000001-9B63-40AE-B973-BA9081ABFC05}"/>
            </c:ext>
          </c:extLst>
        </c:ser>
        <c:ser>
          <c:idx val="2"/>
          <c:order val="2"/>
          <c:tx>
            <c:strRef>
              <c:f>Sheet2!$B$6</c:f>
              <c:strCache>
                <c:ptCount val="1"/>
                <c:pt idx="0">
                  <c:v>Aberdeen King St</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Sheet2!$H$3:$S$3</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Sheet2!$H$6:$S$6</c:f>
              <c:numCache>
                <c:formatCode>General</c:formatCode>
                <c:ptCount val="12"/>
                <c:pt idx="4">
                  <c:v>17</c:v>
                </c:pt>
                <c:pt idx="5">
                  <c:v>18</c:v>
                </c:pt>
                <c:pt idx="6">
                  <c:v>20</c:v>
                </c:pt>
                <c:pt idx="7">
                  <c:v>19</c:v>
                </c:pt>
                <c:pt idx="8">
                  <c:v>19</c:v>
                </c:pt>
                <c:pt idx="9">
                  <c:v>19</c:v>
                </c:pt>
                <c:pt idx="10">
                  <c:v>17</c:v>
                </c:pt>
                <c:pt idx="11" formatCode="0">
                  <c:v>16.132480000000001</c:v>
                </c:pt>
              </c:numCache>
            </c:numRef>
          </c:val>
          <c:smooth val="0"/>
          <c:extLst>
            <c:ext xmlns:c16="http://schemas.microsoft.com/office/drawing/2014/chart" uri="{C3380CC4-5D6E-409C-BE32-E72D297353CC}">
              <c16:uniqueId val="{00000002-9B63-40AE-B973-BA9081ABFC05}"/>
            </c:ext>
          </c:extLst>
        </c:ser>
        <c:ser>
          <c:idx val="3"/>
          <c:order val="3"/>
          <c:tx>
            <c:strRef>
              <c:f>Sheet2!$B$7</c:f>
              <c:strCache>
                <c:ptCount val="1"/>
                <c:pt idx="0">
                  <c:v>Aberdeen Market St</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Sheet2!$H$3:$S$3</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Sheet2!$H$7:$S$7</c:f>
              <c:numCache>
                <c:formatCode>General</c:formatCode>
                <c:ptCount val="12"/>
                <c:pt idx="6">
                  <c:v>22</c:v>
                </c:pt>
                <c:pt idx="7">
                  <c:v>22</c:v>
                </c:pt>
                <c:pt idx="8">
                  <c:v>26</c:v>
                </c:pt>
                <c:pt idx="9">
                  <c:v>26</c:v>
                </c:pt>
                <c:pt idx="10">
                  <c:v>19</c:v>
                </c:pt>
                <c:pt idx="11" formatCode="0">
                  <c:v>12.268938</c:v>
                </c:pt>
              </c:numCache>
            </c:numRef>
          </c:val>
          <c:smooth val="0"/>
          <c:extLst>
            <c:ext xmlns:c16="http://schemas.microsoft.com/office/drawing/2014/chart" uri="{C3380CC4-5D6E-409C-BE32-E72D297353CC}">
              <c16:uniqueId val="{00000003-9B63-40AE-B973-BA9081ABFC05}"/>
            </c:ext>
          </c:extLst>
        </c:ser>
        <c:ser>
          <c:idx val="4"/>
          <c:order val="4"/>
          <c:tx>
            <c:strRef>
              <c:f>Sheet2!$B$8</c:f>
              <c:strCache>
                <c:ptCount val="1"/>
                <c:pt idx="0">
                  <c:v>Aberdeen Union St</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Sheet2!$H$3:$S$3</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Sheet2!$H$8:$S$8</c:f>
              <c:numCache>
                <c:formatCode>General</c:formatCode>
                <c:ptCount val="12"/>
                <c:pt idx="0">
                  <c:v>25</c:v>
                </c:pt>
                <c:pt idx="1">
                  <c:v>26</c:v>
                </c:pt>
                <c:pt idx="2">
                  <c:v>19</c:v>
                </c:pt>
                <c:pt idx="3">
                  <c:v>22</c:v>
                </c:pt>
                <c:pt idx="4">
                  <c:v>18</c:v>
                </c:pt>
                <c:pt idx="5">
                  <c:v>18</c:v>
                </c:pt>
                <c:pt idx="6">
                  <c:v>22</c:v>
                </c:pt>
                <c:pt idx="7">
                  <c:v>21</c:v>
                </c:pt>
                <c:pt idx="8">
                  <c:v>20</c:v>
                </c:pt>
                <c:pt idx="9">
                  <c:v>18</c:v>
                </c:pt>
                <c:pt idx="11" formatCode="0">
                  <c:v>12.638614</c:v>
                </c:pt>
              </c:numCache>
            </c:numRef>
          </c:val>
          <c:smooth val="0"/>
          <c:extLst>
            <c:ext xmlns:c16="http://schemas.microsoft.com/office/drawing/2014/chart" uri="{C3380CC4-5D6E-409C-BE32-E72D297353CC}">
              <c16:uniqueId val="{00000004-9B63-40AE-B973-BA9081ABFC05}"/>
            </c:ext>
          </c:extLst>
        </c:ser>
        <c:ser>
          <c:idx val="5"/>
          <c:order val="5"/>
          <c:tx>
            <c:strRef>
              <c:f>Sheet2!$B$9</c:f>
              <c:strCache>
                <c:ptCount val="1"/>
                <c:pt idx="0">
                  <c:v>Aberdeen Wellington Road</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Sheet2!$H$3:$S$3</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Sheet2!$H$9:$S$9</c:f>
              <c:numCache>
                <c:formatCode>General</c:formatCode>
                <c:ptCount val="12"/>
                <c:pt idx="4">
                  <c:v>23</c:v>
                </c:pt>
                <c:pt idx="5">
                  <c:v>22</c:v>
                </c:pt>
                <c:pt idx="6">
                  <c:v>24</c:v>
                </c:pt>
                <c:pt idx="7">
                  <c:v>23</c:v>
                </c:pt>
                <c:pt idx="8">
                  <c:v>22</c:v>
                </c:pt>
                <c:pt idx="9">
                  <c:v>21</c:v>
                </c:pt>
                <c:pt idx="10">
                  <c:v>20</c:v>
                </c:pt>
                <c:pt idx="11" formatCode="0">
                  <c:v>15.860371000000001</c:v>
                </c:pt>
              </c:numCache>
            </c:numRef>
          </c:val>
          <c:smooth val="0"/>
          <c:extLst>
            <c:ext xmlns:c16="http://schemas.microsoft.com/office/drawing/2014/chart" uri="{C3380CC4-5D6E-409C-BE32-E72D297353CC}">
              <c16:uniqueId val="{00000005-9B63-40AE-B973-BA9081ABFC05}"/>
            </c:ext>
          </c:extLst>
        </c:ser>
        <c:ser>
          <c:idx val="6"/>
          <c:order val="6"/>
          <c:tx>
            <c:strRef>
              <c:f>Sheet2!$B$10</c:f>
              <c:strCache>
                <c:ptCount val="1"/>
                <c:pt idx="0">
                  <c:v>Target</c:v>
                </c:pt>
              </c:strCache>
            </c:strRef>
          </c:tx>
          <c:spPr>
            <a:ln w="444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Sheet2!$H$3:$S$3</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Sheet2!$H$10:$S$10</c:f>
              <c:numCache>
                <c:formatCode>General</c:formatCode>
                <c:ptCount val="12"/>
                <c:pt idx="0">
                  <c:v>18</c:v>
                </c:pt>
                <c:pt idx="1">
                  <c:v>18</c:v>
                </c:pt>
                <c:pt idx="2">
                  <c:v>18</c:v>
                </c:pt>
                <c:pt idx="3">
                  <c:v>18</c:v>
                </c:pt>
                <c:pt idx="4">
                  <c:v>18</c:v>
                </c:pt>
                <c:pt idx="5">
                  <c:v>18</c:v>
                </c:pt>
                <c:pt idx="6">
                  <c:v>18</c:v>
                </c:pt>
                <c:pt idx="7">
                  <c:v>18</c:v>
                </c:pt>
                <c:pt idx="8">
                  <c:v>18</c:v>
                </c:pt>
                <c:pt idx="9">
                  <c:v>18</c:v>
                </c:pt>
                <c:pt idx="10">
                  <c:v>18</c:v>
                </c:pt>
                <c:pt idx="11">
                  <c:v>18</c:v>
                </c:pt>
              </c:numCache>
            </c:numRef>
          </c:val>
          <c:smooth val="0"/>
          <c:extLst>
            <c:ext xmlns:c16="http://schemas.microsoft.com/office/drawing/2014/chart" uri="{C3380CC4-5D6E-409C-BE32-E72D297353CC}">
              <c16:uniqueId val="{00000006-9B63-40AE-B973-BA9081ABFC05}"/>
            </c:ext>
          </c:extLst>
        </c:ser>
        <c:dLbls>
          <c:showLegendKey val="0"/>
          <c:showVal val="0"/>
          <c:showCatName val="0"/>
          <c:showSerName val="0"/>
          <c:showPercent val="0"/>
          <c:showBubbleSize val="0"/>
        </c:dLbls>
        <c:marker val="1"/>
        <c:smooth val="0"/>
        <c:axId val="564371400"/>
        <c:axId val="564373040"/>
      </c:lineChart>
      <c:catAx>
        <c:axId val="564371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64373040"/>
        <c:crosses val="autoZero"/>
        <c:auto val="1"/>
        <c:lblAlgn val="ctr"/>
        <c:lblOffset val="100"/>
        <c:noMultiLvlLbl val="0"/>
      </c:catAx>
      <c:valAx>
        <c:axId val="564373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4371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100" b="0"/>
              <a:t>Components of net migration, Aberdeen City, mid 2011-2012</a:t>
            </a:r>
            <a:r>
              <a:rPr lang="en-GB" sz="1100" b="0" baseline="0"/>
              <a:t> to mid 2016-2017</a:t>
            </a:r>
            <a:endParaRPr lang="en-GB" sz="1100" b="0"/>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'[Workings 2.xlsx]Sheet2'!$B$65</c:f>
              <c:strCache>
                <c:ptCount val="1"/>
                <c:pt idx="0">
                  <c:v>Within Scotland</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'[Workings 2.xlsx]Sheet2'!$C$64:$H$64</c:f>
              <c:strCache>
                <c:ptCount val="6"/>
                <c:pt idx="0">
                  <c:v>2011-2012</c:v>
                </c:pt>
                <c:pt idx="1">
                  <c:v>2012-2013</c:v>
                </c:pt>
                <c:pt idx="2">
                  <c:v>2013-2014</c:v>
                </c:pt>
                <c:pt idx="3">
                  <c:v>2014-2015</c:v>
                </c:pt>
                <c:pt idx="4">
                  <c:v>2015-2016</c:v>
                </c:pt>
                <c:pt idx="5">
                  <c:v>2016-2017</c:v>
                </c:pt>
              </c:strCache>
            </c:strRef>
          </c:cat>
          <c:val>
            <c:numRef>
              <c:f>'[Workings 2.xlsx]Sheet2'!$C$65:$H$65</c:f>
              <c:numCache>
                <c:formatCode>#,##0</c:formatCode>
                <c:ptCount val="6"/>
                <c:pt idx="0">
                  <c:v>-356</c:v>
                </c:pt>
                <c:pt idx="1">
                  <c:v>-195</c:v>
                </c:pt>
                <c:pt idx="2">
                  <c:v>-1140</c:v>
                </c:pt>
                <c:pt idx="3">
                  <c:v>-2221</c:v>
                </c:pt>
                <c:pt idx="4">
                  <c:v>-2664</c:v>
                </c:pt>
                <c:pt idx="5">
                  <c:v>-2222</c:v>
                </c:pt>
              </c:numCache>
            </c:numRef>
          </c:val>
          <c:extLst>
            <c:ext xmlns:c16="http://schemas.microsoft.com/office/drawing/2014/chart" uri="{C3380CC4-5D6E-409C-BE32-E72D297353CC}">
              <c16:uniqueId val="{00000000-C137-4E2D-843E-F7CCC6723504}"/>
            </c:ext>
          </c:extLst>
        </c:ser>
        <c:ser>
          <c:idx val="1"/>
          <c:order val="1"/>
          <c:tx>
            <c:strRef>
              <c:f>'[Workings 2.xlsx]Sheet2'!$B$66</c:f>
              <c:strCache>
                <c:ptCount val="1"/>
                <c:pt idx="0">
                  <c:v>Rest of UK</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'[Workings 2.xlsx]Sheet2'!$C$64:$H$64</c:f>
              <c:strCache>
                <c:ptCount val="6"/>
                <c:pt idx="0">
                  <c:v>2011-2012</c:v>
                </c:pt>
                <c:pt idx="1">
                  <c:v>2012-2013</c:v>
                </c:pt>
                <c:pt idx="2">
                  <c:v>2013-2014</c:v>
                </c:pt>
                <c:pt idx="3">
                  <c:v>2014-2015</c:v>
                </c:pt>
                <c:pt idx="4">
                  <c:v>2015-2016</c:v>
                </c:pt>
                <c:pt idx="5">
                  <c:v>2016-2017</c:v>
                </c:pt>
              </c:strCache>
            </c:strRef>
          </c:cat>
          <c:val>
            <c:numRef>
              <c:f>'[Workings 2.xlsx]Sheet2'!$C$66:$H$66</c:f>
              <c:numCache>
                <c:formatCode>#,##0</c:formatCode>
                <c:ptCount val="6"/>
                <c:pt idx="0">
                  <c:v>101</c:v>
                </c:pt>
                <c:pt idx="1">
                  <c:v>557</c:v>
                </c:pt>
                <c:pt idx="2">
                  <c:v>587</c:v>
                </c:pt>
                <c:pt idx="3">
                  <c:v>117</c:v>
                </c:pt>
                <c:pt idx="4">
                  <c:v>-779</c:v>
                </c:pt>
                <c:pt idx="5" formatCode="General">
                  <c:v>-685</c:v>
                </c:pt>
              </c:numCache>
            </c:numRef>
          </c:val>
          <c:extLst>
            <c:ext xmlns:c16="http://schemas.microsoft.com/office/drawing/2014/chart" uri="{C3380CC4-5D6E-409C-BE32-E72D297353CC}">
              <c16:uniqueId val="{00000001-C137-4E2D-843E-F7CCC6723504}"/>
            </c:ext>
          </c:extLst>
        </c:ser>
        <c:ser>
          <c:idx val="2"/>
          <c:order val="2"/>
          <c:tx>
            <c:strRef>
              <c:f>'[Workings 2.xlsx]Sheet2'!$B$67</c:f>
              <c:strCache>
                <c:ptCount val="1"/>
                <c:pt idx="0">
                  <c:v>Overseas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'[Workings 2.xlsx]Sheet2'!$C$64:$H$64</c:f>
              <c:strCache>
                <c:ptCount val="6"/>
                <c:pt idx="0">
                  <c:v>2011-2012</c:v>
                </c:pt>
                <c:pt idx="1">
                  <c:v>2012-2013</c:v>
                </c:pt>
                <c:pt idx="2">
                  <c:v>2013-2014</c:v>
                </c:pt>
                <c:pt idx="3">
                  <c:v>2014-2015</c:v>
                </c:pt>
                <c:pt idx="4">
                  <c:v>2015-2016</c:v>
                </c:pt>
                <c:pt idx="5">
                  <c:v>2016-2017</c:v>
                </c:pt>
              </c:strCache>
            </c:strRef>
          </c:cat>
          <c:val>
            <c:numRef>
              <c:f>'[Workings 2.xlsx]Sheet2'!$C$67:$H$67</c:f>
              <c:numCache>
                <c:formatCode>#,##0</c:formatCode>
                <c:ptCount val="6"/>
                <c:pt idx="0">
                  <c:v>2102</c:v>
                </c:pt>
                <c:pt idx="1">
                  <c:v>1302</c:v>
                </c:pt>
                <c:pt idx="2">
                  <c:v>1965</c:v>
                </c:pt>
                <c:pt idx="3">
                  <c:v>3189</c:v>
                </c:pt>
                <c:pt idx="4">
                  <c:v>2474</c:v>
                </c:pt>
                <c:pt idx="5">
                  <c:v>1491</c:v>
                </c:pt>
              </c:numCache>
            </c:numRef>
          </c:val>
          <c:extLst>
            <c:ext xmlns:c16="http://schemas.microsoft.com/office/drawing/2014/chart" uri="{C3380CC4-5D6E-409C-BE32-E72D297353CC}">
              <c16:uniqueId val="{00000002-C137-4E2D-843E-F7CCC6723504}"/>
            </c:ext>
          </c:extLst>
        </c:ser>
        <c:ser>
          <c:idx val="3"/>
          <c:order val="3"/>
          <c:tx>
            <c:strRef>
              <c:f>'[Workings 2.xlsx]Sheet2'!$B$68</c:f>
              <c:strCache>
                <c:ptCount val="1"/>
                <c:pt idx="0">
                  <c:v>Total net migration</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'[Workings 2.xlsx]Sheet2'!$C$64:$H$64</c:f>
              <c:strCache>
                <c:ptCount val="6"/>
                <c:pt idx="0">
                  <c:v>2011-2012</c:v>
                </c:pt>
                <c:pt idx="1">
                  <c:v>2012-2013</c:v>
                </c:pt>
                <c:pt idx="2">
                  <c:v>2013-2014</c:v>
                </c:pt>
                <c:pt idx="3">
                  <c:v>2014-2015</c:v>
                </c:pt>
                <c:pt idx="4">
                  <c:v>2015-2016</c:v>
                </c:pt>
                <c:pt idx="5">
                  <c:v>2016-2017</c:v>
                </c:pt>
              </c:strCache>
            </c:strRef>
          </c:cat>
          <c:val>
            <c:numRef>
              <c:f>'[Workings 2.xlsx]Sheet2'!$C$68:$H$68</c:f>
              <c:numCache>
                <c:formatCode>#,##0</c:formatCode>
                <c:ptCount val="6"/>
                <c:pt idx="0">
                  <c:v>1847</c:v>
                </c:pt>
                <c:pt idx="1">
                  <c:v>1664</c:v>
                </c:pt>
                <c:pt idx="2">
                  <c:v>1412</c:v>
                </c:pt>
                <c:pt idx="3">
                  <c:v>1085</c:v>
                </c:pt>
                <c:pt idx="4">
                  <c:v>-969</c:v>
                </c:pt>
                <c:pt idx="5">
                  <c:v>-1416</c:v>
                </c:pt>
              </c:numCache>
            </c:numRef>
          </c:val>
          <c:extLst>
            <c:ext xmlns:c16="http://schemas.microsoft.com/office/drawing/2014/chart" uri="{C3380CC4-5D6E-409C-BE32-E72D297353CC}">
              <c16:uniqueId val="{00000004-C137-4E2D-843E-F7CCC6723504}"/>
            </c:ext>
          </c:extLst>
        </c:ser>
        <c:dLbls>
          <c:showLegendKey val="0"/>
          <c:showVal val="0"/>
          <c:showCatName val="0"/>
          <c:showSerName val="0"/>
          <c:showPercent val="0"/>
          <c:showBubbleSize val="0"/>
        </c:dLbls>
        <c:gapWidth val="100"/>
        <c:overlap val="-24"/>
        <c:axId val="269898880"/>
        <c:axId val="269900416"/>
      </c:barChart>
      <c:catAx>
        <c:axId val="269898880"/>
        <c:scaling>
          <c:orientation val="minMax"/>
        </c:scaling>
        <c:delete val="0"/>
        <c:axPos val="b"/>
        <c:numFmt formatCode="General" sourceLinked="0"/>
        <c:majorTickMark val="none"/>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crossAx val="269900416"/>
        <c:crosses val="autoZero"/>
        <c:auto val="1"/>
        <c:lblAlgn val="ctr"/>
        <c:lblOffset val="100"/>
        <c:noMultiLvlLbl val="0"/>
      </c:catAx>
      <c:valAx>
        <c:axId val="26990041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69898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sz="1200"/>
              <a:t>Cleanliness score and cost</a:t>
            </a:r>
            <a:r>
              <a:rPr lang="en-GB" sz="1200" baseline="0"/>
              <a:t> of street cleaning, Aberdeen City and Scotland, 2010-2011 to 2016-17</a:t>
            </a:r>
            <a:endParaRPr lang="en-GB" sz="1200"/>
          </a:p>
        </c:rich>
      </c:tx>
      <c:overlay val="0"/>
    </c:title>
    <c:autoTitleDeleted val="0"/>
    <c:plotArea>
      <c:layout/>
      <c:lineChart>
        <c:grouping val="standard"/>
        <c:varyColors val="0"/>
        <c:ser>
          <c:idx val="0"/>
          <c:order val="0"/>
          <c:tx>
            <c:strRef>
              <c:f>[Book1]Sheet1!$B$4</c:f>
              <c:strCache>
                <c:ptCount val="1"/>
                <c:pt idx="0">
                  <c:v>Cost Aberdeen City</c:v>
                </c:pt>
              </c:strCache>
            </c:strRef>
          </c:tx>
          <c:cat>
            <c:strRef>
              <c:f>[Book1]Sheet1!$C$3:$I$3</c:f>
              <c:strCache>
                <c:ptCount val="7"/>
                <c:pt idx="0">
                  <c:v>2010-11</c:v>
                </c:pt>
                <c:pt idx="1">
                  <c:v>2011-12</c:v>
                </c:pt>
                <c:pt idx="2">
                  <c:v>2012-13</c:v>
                </c:pt>
                <c:pt idx="3">
                  <c:v>2013-14</c:v>
                </c:pt>
                <c:pt idx="4">
                  <c:v>2014-15</c:v>
                </c:pt>
                <c:pt idx="5">
                  <c:v>2015-16</c:v>
                </c:pt>
                <c:pt idx="6">
                  <c:v>2016-17</c:v>
                </c:pt>
              </c:strCache>
            </c:strRef>
          </c:cat>
          <c:val>
            <c:numRef>
              <c:f>[Book1]Sheet1!$C$4:$I$4</c:f>
              <c:numCache>
                <c:formatCode>0</c:formatCode>
                <c:ptCount val="7"/>
                <c:pt idx="0">
                  <c:v>15613.485630066323</c:v>
                </c:pt>
                <c:pt idx="1">
                  <c:v>13859.90381998004</c:v>
                </c:pt>
                <c:pt idx="2">
                  <c:v>9756.856469751523</c:v>
                </c:pt>
                <c:pt idx="3">
                  <c:v>8550.1695064500509</c:v>
                </c:pt>
                <c:pt idx="4">
                  <c:v>7830.0362461242848</c:v>
                </c:pt>
                <c:pt idx="5">
                  <c:v>8556.5443889733015</c:v>
                </c:pt>
                <c:pt idx="6">
                  <c:v>9210.7553080403759</c:v>
                </c:pt>
              </c:numCache>
            </c:numRef>
          </c:val>
          <c:smooth val="0"/>
          <c:extLst>
            <c:ext xmlns:c16="http://schemas.microsoft.com/office/drawing/2014/chart" uri="{C3380CC4-5D6E-409C-BE32-E72D297353CC}">
              <c16:uniqueId val="{00000000-CC50-4AD9-8E0D-FC4B1548E82C}"/>
            </c:ext>
          </c:extLst>
        </c:ser>
        <c:ser>
          <c:idx val="1"/>
          <c:order val="1"/>
          <c:tx>
            <c:strRef>
              <c:f>[Book1]Sheet1!$B$5</c:f>
              <c:strCache>
                <c:ptCount val="1"/>
                <c:pt idx="0">
                  <c:v>Cost Scotland</c:v>
                </c:pt>
              </c:strCache>
            </c:strRef>
          </c:tx>
          <c:cat>
            <c:strRef>
              <c:f>[Book1]Sheet1!$C$3:$I$3</c:f>
              <c:strCache>
                <c:ptCount val="7"/>
                <c:pt idx="0">
                  <c:v>2010-11</c:v>
                </c:pt>
                <c:pt idx="1">
                  <c:v>2011-12</c:v>
                </c:pt>
                <c:pt idx="2">
                  <c:v>2012-13</c:v>
                </c:pt>
                <c:pt idx="3">
                  <c:v>2013-14</c:v>
                </c:pt>
                <c:pt idx="4">
                  <c:v>2014-15</c:v>
                </c:pt>
                <c:pt idx="5">
                  <c:v>2015-16</c:v>
                </c:pt>
                <c:pt idx="6">
                  <c:v>2016-17</c:v>
                </c:pt>
              </c:strCache>
            </c:strRef>
          </c:cat>
          <c:val>
            <c:numRef>
              <c:f>[Book1]Sheet1!$C$5:$I$5</c:f>
              <c:numCache>
                <c:formatCode>0</c:formatCode>
                <c:ptCount val="7"/>
                <c:pt idx="0">
                  <c:v>19851.783765151948</c:v>
                </c:pt>
                <c:pt idx="1">
                  <c:v>19379.763073761133</c:v>
                </c:pt>
                <c:pt idx="2">
                  <c:v>17534.063535079793</c:v>
                </c:pt>
                <c:pt idx="3">
                  <c:v>16241.905512697787</c:v>
                </c:pt>
                <c:pt idx="4">
                  <c:v>15816.441020270775</c:v>
                </c:pt>
                <c:pt idx="5">
                  <c:v>15443.886097152428</c:v>
                </c:pt>
                <c:pt idx="6">
                  <c:v>14430.773215904675</c:v>
                </c:pt>
              </c:numCache>
            </c:numRef>
          </c:val>
          <c:smooth val="0"/>
          <c:extLst>
            <c:ext xmlns:c16="http://schemas.microsoft.com/office/drawing/2014/chart" uri="{C3380CC4-5D6E-409C-BE32-E72D297353CC}">
              <c16:uniqueId val="{00000001-CC50-4AD9-8E0D-FC4B1548E82C}"/>
            </c:ext>
          </c:extLst>
        </c:ser>
        <c:dLbls>
          <c:showLegendKey val="0"/>
          <c:showVal val="0"/>
          <c:showCatName val="0"/>
          <c:showSerName val="0"/>
          <c:showPercent val="0"/>
          <c:showBubbleSize val="0"/>
        </c:dLbls>
        <c:marker val="1"/>
        <c:smooth val="0"/>
        <c:axId val="321160704"/>
        <c:axId val="321162240"/>
      </c:lineChart>
      <c:lineChart>
        <c:grouping val="standard"/>
        <c:varyColors val="0"/>
        <c:ser>
          <c:idx val="2"/>
          <c:order val="2"/>
          <c:tx>
            <c:strRef>
              <c:f>[Book1]Sheet1!$B$6</c:f>
              <c:strCache>
                <c:ptCount val="1"/>
                <c:pt idx="0">
                  <c:v>Cleanliness Score Aberdeen </c:v>
                </c:pt>
              </c:strCache>
            </c:strRef>
          </c:tx>
          <c:spPr>
            <a:ln w="31750"/>
          </c:spPr>
          <c:cat>
            <c:strRef>
              <c:f>[Book1]Sheet1!$C$3:$I$3</c:f>
              <c:strCache>
                <c:ptCount val="7"/>
                <c:pt idx="0">
                  <c:v>2010-11</c:v>
                </c:pt>
                <c:pt idx="1">
                  <c:v>2011-12</c:v>
                </c:pt>
                <c:pt idx="2">
                  <c:v>2012-13</c:v>
                </c:pt>
                <c:pt idx="3">
                  <c:v>2013-14</c:v>
                </c:pt>
                <c:pt idx="4">
                  <c:v>2014-15</c:v>
                </c:pt>
                <c:pt idx="5">
                  <c:v>2015-16</c:v>
                </c:pt>
                <c:pt idx="6">
                  <c:v>2016-17</c:v>
                </c:pt>
              </c:strCache>
            </c:strRef>
          </c:cat>
          <c:val>
            <c:numRef>
              <c:f>[Book1]Sheet1!$C$6:$I$6</c:f>
              <c:numCache>
                <c:formatCode>0</c:formatCode>
                <c:ptCount val="7"/>
                <c:pt idx="0">
                  <c:v>94</c:v>
                </c:pt>
                <c:pt idx="1">
                  <c:v>91.9</c:v>
                </c:pt>
                <c:pt idx="2">
                  <c:v>90.1</c:v>
                </c:pt>
                <c:pt idx="3">
                  <c:v>81.818181818181827</c:v>
                </c:pt>
                <c:pt idx="4">
                  <c:v>81</c:v>
                </c:pt>
                <c:pt idx="5">
                  <c:v>81</c:v>
                </c:pt>
                <c:pt idx="6">
                  <c:v>88.040712468193377</c:v>
                </c:pt>
              </c:numCache>
            </c:numRef>
          </c:val>
          <c:smooth val="0"/>
          <c:extLst>
            <c:ext xmlns:c16="http://schemas.microsoft.com/office/drawing/2014/chart" uri="{C3380CC4-5D6E-409C-BE32-E72D297353CC}">
              <c16:uniqueId val="{00000002-CC50-4AD9-8E0D-FC4B1548E82C}"/>
            </c:ext>
          </c:extLst>
        </c:ser>
        <c:dLbls>
          <c:showLegendKey val="0"/>
          <c:showVal val="0"/>
          <c:showCatName val="0"/>
          <c:showSerName val="0"/>
          <c:showPercent val="0"/>
          <c:showBubbleSize val="0"/>
        </c:dLbls>
        <c:marker val="1"/>
        <c:smooth val="0"/>
        <c:axId val="321317120"/>
        <c:axId val="321315584"/>
      </c:lineChart>
      <c:catAx>
        <c:axId val="321160704"/>
        <c:scaling>
          <c:orientation val="minMax"/>
        </c:scaling>
        <c:delete val="0"/>
        <c:axPos val="b"/>
        <c:numFmt formatCode="General" sourceLinked="0"/>
        <c:majorTickMark val="out"/>
        <c:minorTickMark val="none"/>
        <c:tickLblPos val="nextTo"/>
        <c:txPr>
          <a:bodyPr/>
          <a:lstStyle/>
          <a:p>
            <a:pPr>
              <a:defRPr sz="800"/>
            </a:pPr>
            <a:endParaRPr lang="en-US"/>
          </a:p>
        </c:txPr>
        <c:crossAx val="321162240"/>
        <c:crosses val="autoZero"/>
        <c:auto val="1"/>
        <c:lblAlgn val="ctr"/>
        <c:lblOffset val="100"/>
        <c:noMultiLvlLbl val="0"/>
      </c:catAx>
      <c:valAx>
        <c:axId val="321162240"/>
        <c:scaling>
          <c:orientation val="minMax"/>
        </c:scaling>
        <c:delete val="0"/>
        <c:axPos val="l"/>
        <c:majorGridlines/>
        <c:title>
          <c:tx>
            <c:rich>
              <a:bodyPr/>
              <a:lstStyle/>
              <a:p>
                <a:pPr>
                  <a:defRPr/>
                </a:pPr>
                <a:r>
                  <a:rPr lang="en-GB" b="0"/>
                  <a:t>Cost</a:t>
                </a:r>
                <a:r>
                  <a:rPr lang="en-GB"/>
                  <a:t> </a:t>
                </a:r>
                <a:r>
                  <a:rPr lang="en-GB" b="0"/>
                  <a:t>per 1,000 people</a:t>
                </a:r>
              </a:p>
            </c:rich>
          </c:tx>
          <c:overlay val="0"/>
        </c:title>
        <c:numFmt formatCode="&quot;£&quot;#,##0" sourceLinked="0"/>
        <c:majorTickMark val="out"/>
        <c:minorTickMark val="none"/>
        <c:tickLblPos val="nextTo"/>
        <c:txPr>
          <a:bodyPr/>
          <a:lstStyle/>
          <a:p>
            <a:pPr>
              <a:defRPr sz="800"/>
            </a:pPr>
            <a:endParaRPr lang="en-US"/>
          </a:p>
        </c:txPr>
        <c:crossAx val="321160704"/>
        <c:crosses val="autoZero"/>
        <c:crossBetween val="between"/>
      </c:valAx>
      <c:valAx>
        <c:axId val="321315584"/>
        <c:scaling>
          <c:orientation val="minMax"/>
        </c:scaling>
        <c:delete val="0"/>
        <c:axPos val="r"/>
        <c:title>
          <c:tx>
            <c:rich>
              <a:bodyPr/>
              <a:lstStyle/>
              <a:p>
                <a:pPr>
                  <a:defRPr/>
                </a:pPr>
                <a:r>
                  <a:rPr lang="en-GB" b="0"/>
                  <a:t>Cleanliness score %</a:t>
                </a:r>
              </a:p>
            </c:rich>
          </c:tx>
          <c:overlay val="0"/>
        </c:title>
        <c:numFmt formatCode="0" sourceLinked="1"/>
        <c:majorTickMark val="out"/>
        <c:minorTickMark val="none"/>
        <c:tickLblPos val="nextTo"/>
        <c:crossAx val="321317120"/>
        <c:crosses val="max"/>
        <c:crossBetween val="between"/>
      </c:valAx>
      <c:catAx>
        <c:axId val="321317120"/>
        <c:scaling>
          <c:orientation val="minMax"/>
        </c:scaling>
        <c:delete val="1"/>
        <c:axPos val="b"/>
        <c:numFmt formatCode="General" sourceLinked="1"/>
        <c:majorTickMark val="out"/>
        <c:minorTickMark val="none"/>
        <c:tickLblPos val="nextTo"/>
        <c:crossAx val="321315584"/>
        <c:crosses val="autoZero"/>
        <c:auto val="1"/>
        <c:lblAlgn val="ctr"/>
        <c:lblOffset val="100"/>
        <c:noMultiLvlLbl val="0"/>
      </c:catAx>
    </c:plotArea>
    <c:legend>
      <c:legendPos val="b"/>
      <c:overlay val="0"/>
      <c:txPr>
        <a:bodyPr/>
        <a:lstStyle/>
        <a:p>
          <a:pPr>
            <a:defRPr sz="800"/>
          </a:pPr>
          <a:endParaRPr lang="en-US"/>
        </a:p>
      </c:txPr>
    </c:legend>
    <c:plotVisOnly val="1"/>
    <c:dispBlanksAs val="gap"/>
    <c:showDLblsOverMax val="0"/>
  </c:chart>
  <c:externalData r:id="rId1">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GVA per head, Aberdeen City and Scotland, 2008 to 2016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'[Chart in Microsoft Word]Sheet1'!$B$13</c:f>
              <c:strCache>
                <c:ptCount val="1"/>
                <c:pt idx="0">
                  <c:v>Aberdeen City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4F9-4C23-97F5-A6C112E92BE0}"/>
                </c:ext>
              </c:extLst>
            </c:dLbl>
            <c:dLbl>
              <c:idx val="8"/>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4F9-4C23-97F5-A6C112E92BE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Word]Sheet1'!$A$14:$A$22</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'[Chart in Microsoft Word]Sheet1'!$B$14:$B$22</c:f>
              <c:numCache>
                <c:formatCode>"£"#,##0</c:formatCode>
                <c:ptCount val="9"/>
                <c:pt idx="0">
                  <c:v>44998</c:v>
                </c:pt>
                <c:pt idx="1">
                  <c:v>44445</c:v>
                </c:pt>
                <c:pt idx="2">
                  <c:v>44473</c:v>
                </c:pt>
                <c:pt idx="3">
                  <c:v>44273</c:v>
                </c:pt>
                <c:pt idx="4">
                  <c:v>47962</c:v>
                </c:pt>
                <c:pt idx="5">
                  <c:v>47977</c:v>
                </c:pt>
                <c:pt idx="6">
                  <c:v>49866</c:v>
                </c:pt>
                <c:pt idx="7">
                  <c:v>47006</c:v>
                </c:pt>
                <c:pt idx="8" formatCode="&quot;£&quot;#,##0_);[Red]\(&quot;£&quot;#,##0\)">
                  <c:v>46151</c:v>
                </c:pt>
              </c:numCache>
            </c:numRef>
          </c:val>
          <c:smooth val="0"/>
          <c:extLst>
            <c:ext xmlns:c16="http://schemas.microsoft.com/office/drawing/2014/chart" uri="{C3380CC4-5D6E-409C-BE32-E72D297353CC}">
              <c16:uniqueId val="{00000000-F4F9-4C23-97F5-A6C112E92BE0}"/>
            </c:ext>
          </c:extLst>
        </c:ser>
        <c:ser>
          <c:idx val="1"/>
          <c:order val="1"/>
          <c:tx>
            <c:strRef>
              <c:f>'[Chart in Microsoft Word]Sheet1'!$C$13</c:f>
              <c:strCache>
                <c:ptCount val="1"/>
                <c:pt idx="0">
                  <c:v>Scotland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8"/>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4F9-4C23-97F5-A6C112E92BE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Word]Sheet1'!$A$14:$A$22</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'[Chart in Microsoft Word]Sheet1'!$C$14:$C$22</c:f>
              <c:numCache>
                <c:formatCode>"£"#,##0</c:formatCode>
                <c:ptCount val="9"/>
                <c:pt idx="0">
                  <c:v>21143</c:v>
                </c:pt>
                <c:pt idx="1">
                  <c:v>21127</c:v>
                </c:pt>
                <c:pt idx="2">
                  <c:v>20670</c:v>
                </c:pt>
                <c:pt idx="3">
                  <c:v>20976</c:v>
                </c:pt>
                <c:pt idx="4">
                  <c:v>21333</c:v>
                </c:pt>
                <c:pt idx="5">
                  <c:v>22250</c:v>
                </c:pt>
                <c:pt idx="6">
                  <c:v>23267</c:v>
                </c:pt>
                <c:pt idx="7">
                  <c:v>23685</c:v>
                </c:pt>
                <c:pt idx="8" formatCode="&quot;£&quot;#,##0_);[Red]\(&quot;£&quot;#,##0\)">
                  <c:v>24800</c:v>
                </c:pt>
              </c:numCache>
            </c:numRef>
          </c:val>
          <c:smooth val="0"/>
          <c:extLst>
            <c:ext xmlns:c16="http://schemas.microsoft.com/office/drawing/2014/chart" uri="{C3380CC4-5D6E-409C-BE32-E72D297353CC}">
              <c16:uniqueId val="{00000001-F4F9-4C23-97F5-A6C112E92BE0}"/>
            </c:ext>
          </c:extLst>
        </c:ser>
        <c:dLbls>
          <c:showLegendKey val="0"/>
          <c:showVal val="0"/>
          <c:showCatName val="0"/>
          <c:showSerName val="0"/>
          <c:showPercent val="0"/>
          <c:showBubbleSize val="0"/>
        </c:dLbls>
        <c:marker val="1"/>
        <c:smooth val="0"/>
        <c:axId val="703093144"/>
        <c:axId val="703090520"/>
      </c:lineChart>
      <c:catAx>
        <c:axId val="703093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3090520"/>
        <c:crosses val="autoZero"/>
        <c:auto val="1"/>
        <c:lblAlgn val="ctr"/>
        <c:lblOffset val="100"/>
        <c:noMultiLvlLbl val="0"/>
      </c:catAx>
      <c:valAx>
        <c:axId val="703090520"/>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3093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1"/>
              <a:t>Average Room Rates</a:t>
            </a:r>
            <a:r>
              <a:rPr lang="en-GB" sz="1200" b="1" baseline="0"/>
              <a:t> and </a:t>
            </a:r>
            <a:r>
              <a:rPr lang="en-GB" sz="1200" b="1"/>
              <a:t> Occupancy Rates Per Available Room in Aberdeen</a:t>
            </a:r>
          </a:p>
        </c:rich>
      </c:tx>
      <c:layout>
        <c:manualLayout>
          <c:xMode val="edge"/>
          <c:yMode val="edge"/>
          <c:x val="0.12229063545208854"/>
          <c:y val="2.0849176913807013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139176238024533"/>
          <c:y val="0.11951656117279547"/>
          <c:w val="0.78932619850615282"/>
          <c:h val="0.67246112716593931"/>
        </c:manualLayout>
      </c:layout>
      <c:lineChart>
        <c:grouping val="standard"/>
        <c:varyColors val="0"/>
        <c:ser>
          <c:idx val="0"/>
          <c:order val="0"/>
          <c:tx>
            <c:strRef>
              <c:f>'Q1 2017_AM_PM'!$C$42</c:f>
              <c:strCache>
                <c:ptCount val="1"/>
                <c:pt idx="0">
                  <c:v>Average Room Rate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5453135386660756E-2"/>
                  <c:y val="-5.57207487221991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AB0-4525-9E54-4E6123308756}"/>
                </c:ext>
              </c:extLst>
            </c:dLbl>
            <c:dLbl>
              <c:idx val="25"/>
              <c:layout>
                <c:manualLayout>
                  <c:x val="-5.9827165964990027E-2"/>
                  <c:y val="4.82912332838038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AB0-4525-9E54-4E612330875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 2017_AM_PM'!$B$43:$B$68</c:f>
              <c:strCache>
                <c:ptCount val="26"/>
                <c:pt idx="0">
                  <c:v>Dec-14</c:v>
                </c:pt>
                <c:pt idx="1">
                  <c:v>Jan-15</c:v>
                </c:pt>
                <c:pt idx="2">
                  <c:v>Feb-15</c:v>
                </c:pt>
                <c:pt idx="3">
                  <c:v>Mar-15</c:v>
                </c:pt>
                <c:pt idx="4">
                  <c:v>Apr-15</c:v>
                </c:pt>
                <c:pt idx="5">
                  <c:v>May-15</c:v>
                </c:pt>
                <c:pt idx="6">
                  <c:v>Jun-15</c:v>
                </c:pt>
                <c:pt idx="7">
                  <c:v>Jul-15</c:v>
                </c:pt>
                <c:pt idx="8">
                  <c:v>Aug-15</c:v>
                </c:pt>
                <c:pt idx="9">
                  <c:v>Sep-15</c:v>
                </c:pt>
                <c:pt idx="10">
                  <c:v>Oct-15</c:v>
                </c:pt>
                <c:pt idx="11">
                  <c:v>Nov-15</c:v>
                </c:pt>
                <c:pt idx="12">
                  <c:v>Dec-15</c:v>
                </c:pt>
                <c:pt idx="13">
                  <c:v>Jan-16</c:v>
                </c:pt>
                <c:pt idx="14">
                  <c:v>Feb-16</c:v>
                </c:pt>
                <c:pt idx="15">
                  <c:v>Mar-16</c:v>
                </c:pt>
                <c:pt idx="16">
                  <c:v>Apr-16</c:v>
                </c:pt>
                <c:pt idx="17">
                  <c:v>May-16</c:v>
                </c:pt>
                <c:pt idx="18">
                  <c:v>Jun-16</c:v>
                </c:pt>
                <c:pt idx="19">
                  <c:v>Jul-16</c:v>
                </c:pt>
                <c:pt idx="20">
                  <c:v>Aug-16</c:v>
                </c:pt>
                <c:pt idx="21">
                  <c:v>Sep-16</c:v>
                </c:pt>
                <c:pt idx="22">
                  <c:v>Oct-16</c:v>
                </c:pt>
                <c:pt idx="23">
                  <c:v>Nov-16</c:v>
                </c:pt>
                <c:pt idx="24">
                  <c:v>Dec-16</c:v>
                </c:pt>
                <c:pt idx="25">
                  <c:v>Q1 2017</c:v>
                </c:pt>
              </c:strCache>
            </c:strRef>
          </c:cat>
          <c:val>
            <c:numRef>
              <c:f>'Q1 2017_AM_PM'!$C$43:$C$68</c:f>
              <c:numCache>
                <c:formatCode>"£"#,##0.00</c:formatCode>
                <c:ptCount val="26"/>
                <c:pt idx="0" formatCode="&quot;£&quot;#,##0.00_);[Red]\(&quot;£&quot;#,##0.00\)">
                  <c:v>92.87</c:v>
                </c:pt>
                <c:pt idx="1">
                  <c:v>96.72</c:v>
                </c:pt>
                <c:pt idx="2">
                  <c:v>93.97</c:v>
                </c:pt>
                <c:pt idx="3">
                  <c:v>93.9</c:v>
                </c:pt>
                <c:pt idx="4">
                  <c:v>92.57</c:v>
                </c:pt>
                <c:pt idx="5">
                  <c:v>87.33</c:v>
                </c:pt>
                <c:pt idx="6">
                  <c:v>86.33</c:v>
                </c:pt>
                <c:pt idx="7">
                  <c:v>79.430000000000007</c:v>
                </c:pt>
                <c:pt idx="8">
                  <c:v>78.900000000000006</c:v>
                </c:pt>
                <c:pt idx="9">
                  <c:v>104.72</c:v>
                </c:pt>
                <c:pt idx="10">
                  <c:v>74.94</c:v>
                </c:pt>
                <c:pt idx="11">
                  <c:v>76.55</c:v>
                </c:pt>
                <c:pt idx="12">
                  <c:v>72.13</c:v>
                </c:pt>
                <c:pt idx="13">
                  <c:v>70.23</c:v>
                </c:pt>
                <c:pt idx="14" formatCode="&quot;£&quot;#,##0.00_);[Red]\(&quot;£&quot;#,##0.00\)">
                  <c:v>72.459999999999994</c:v>
                </c:pt>
                <c:pt idx="15" formatCode="&quot;£&quot;#,##0.00_);[Red]\(&quot;£&quot;#,##0.00\)">
                  <c:v>68.55</c:v>
                </c:pt>
                <c:pt idx="16" formatCode="&quot;£&quot;#,##0.00_);[Red]\(&quot;£&quot;#,##0.00\)">
                  <c:v>67.739999999999995</c:v>
                </c:pt>
                <c:pt idx="17" formatCode="&quot;£&quot;#,##0.00_);[Red]\(&quot;£&quot;#,##0.00\)">
                  <c:v>66.19</c:v>
                </c:pt>
                <c:pt idx="18" formatCode="General">
                  <c:v>67.42</c:v>
                </c:pt>
                <c:pt idx="19" formatCode="General">
                  <c:v>65.069999999999993</c:v>
                </c:pt>
                <c:pt idx="20" formatCode="&quot;£&quot;#,##0.00_);[Red]\(&quot;£&quot;#,##0.00\)">
                  <c:v>66.069999999999993</c:v>
                </c:pt>
                <c:pt idx="21" formatCode="&quot;£&quot;#,##0.00_);[Red]\(&quot;£&quot;#,##0.00\)">
                  <c:v>66.510000000000005</c:v>
                </c:pt>
                <c:pt idx="22" formatCode="&quot;£&quot;#,##0.00_);[Red]\(&quot;£&quot;#,##0.00\)">
                  <c:v>66.510000000000005</c:v>
                </c:pt>
                <c:pt idx="23" formatCode="&quot;£&quot;#,##0.00_);[Red]\(&quot;£&quot;#,##0.00\)">
                  <c:v>65.38</c:v>
                </c:pt>
                <c:pt idx="24" formatCode="&quot;£&quot;#,##0.00_);[Red]\(&quot;£&quot;#,##0.00\)">
                  <c:v>61.35</c:v>
                </c:pt>
                <c:pt idx="25" formatCode="&quot;£&quot;#,##0.00_);[Red]\(&quot;£&quot;#,##0.00\)">
                  <c:v>60.555466666666675</c:v>
                </c:pt>
              </c:numCache>
            </c:numRef>
          </c:val>
          <c:smooth val="0"/>
          <c:extLst>
            <c:ext xmlns:c16="http://schemas.microsoft.com/office/drawing/2014/chart" uri="{C3380CC4-5D6E-409C-BE32-E72D297353CC}">
              <c16:uniqueId val="{00000000-4AB0-4525-9E54-4E6123308756}"/>
            </c:ext>
          </c:extLst>
        </c:ser>
        <c:dLbls>
          <c:showLegendKey val="0"/>
          <c:showVal val="0"/>
          <c:showCatName val="0"/>
          <c:showSerName val="0"/>
          <c:showPercent val="0"/>
          <c:showBubbleSize val="0"/>
        </c:dLbls>
        <c:marker val="1"/>
        <c:smooth val="0"/>
        <c:axId val="184260096"/>
        <c:axId val="184261632"/>
      </c:lineChart>
      <c:lineChart>
        <c:grouping val="standard"/>
        <c:varyColors val="0"/>
        <c:ser>
          <c:idx val="1"/>
          <c:order val="1"/>
          <c:tx>
            <c:strRef>
              <c:f>'Q1 2017_AM_PM'!$D$42</c:f>
              <c:strCache>
                <c:ptCount val="1"/>
                <c:pt idx="0">
                  <c:v>Occupancy Rate (RHS Axis)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1.6738402678144429E-2"/>
                  <c:y val="7.48074807480748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CA1-47EB-8BCA-EF6A448F8676}"/>
                </c:ext>
              </c:extLst>
            </c:dLbl>
            <c:dLbl>
              <c:idx val="25"/>
              <c:layout>
                <c:manualLayout>
                  <c:x val="-2.8694404591104734E-2"/>
                  <c:y val="-7.04070407040703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CA1-47EB-8BCA-EF6A448F867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'Q1 2017_AM_PM'!$B$43:$B$68</c:f>
              <c:strCache>
                <c:ptCount val="26"/>
                <c:pt idx="0">
                  <c:v>Dec-14</c:v>
                </c:pt>
                <c:pt idx="1">
                  <c:v>Jan-15</c:v>
                </c:pt>
                <c:pt idx="2">
                  <c:v>Feb-15</c:v>
                </c:pt>
                <c:pt idx="3">
                  <c:v>Mar-15</c:v>
                </c:pt>
                <c:pt idx="4">
                  <c:v>Apr-15</c:v>
                </c:pt>
                <c:pt idx="5">
                  <c:v>May-15</c:v>
                </c:pt>
                <c:pt idx="6">
                  <c:v>Jun-15</c:v>
                </c:pt>
                <c:pt idx="7">
                  <c:v>Jul-15</c:v>
                </c:pt>
                <c:pt idx="8">
                  <c:v>Aug-15</c:v>
                </c:pt>
                <c:pt idx="9">
                  <c:v>Sep-15</c:v>
                </c:pt>
                <c:pt idx="10">
                  <c:v>Oct-15</c:v>
                </c:pt>
                <c:pt idx="11">
                  <c:v>Nov-15</c:v>
                </c:pt>
                <c:pt idx="12">
                  <c:v>Dec-15</c:v>
                </c:pt>
                <c:pt idx="13">
                  <c:v>Jan-16</c:v>
                </c:pt>
                <c:pt idx="14">
                  <c:v>Feb-16</c:v>
                </c:pt>
                <c:pt idx="15">
                  <c:v>Mar-16</c:v>
                </c:pt>
                <c:pt idx="16">
                  <c:v>Apr-16</c:v>
                </c:pt>
                <c:pt idx="17">
                  <c:v>May-16</c:v>
                </c:pt>
                <c:pt idx="18">
                  <c:v>Jun-16</c:v>
                </c:pt>
                <c:pt idx="19">
                  <c:v>Jul-16</c:v>
                </c:pt>
                <c:pt idx="20">
                  <c:v>Aug-16</c:v>
                </c:pt>
                <c:pt idx="21">
                  <c:v>Sep-16</c:v>
                </c:pt>
                <c:pt idx="22">
                  <c:v>Oct-16</c:v>
                </c:pt>
                <c:pt idx="23">
                  <c:v>Nov-16</c:v>
                </c:pt>
                <c:pt idx="24">
                  <c:v>Dec-16</c:v>
                </c:pt>
                <c:pt idx="25">
                  <c:v>Q1 2017</c:v>
                </c:pt>
              </c:strCache>
            </c:strRef>
          </c:cat>
          <c:val>
            <c:numRef>
              <c:f>'Q1 2017_AM_PM'!$D$43:$D$68</c:f>
              <c:numCache>
                <c:formatCode>0%</c:formatCode>
                <c:ptCount val="26"/>
                <c:pt idx="0">
                  <c:v>0.62022181544093891</c:v>
                </c:pt>
                <c:pt idx="1">
                  <c:v>0.63400000000000001</c:v>
                </c:pt>
                <c:pt idx="2">
                  <c:v>0.68900000000000006</c:v>
                </c:pt>
                <c:pt idx="3">
                  <c:v>0.67599999999999993</c:v>
                </c:pt>
                <c:pt idx="4">
                  <c:v>0.64200000000000002</c:v>
                </c:pt>
                <c:pt idx="5">
                  <c:v>0.625</c:v>
                </c:pt>
                <c:pt idx="6">
                  <c:v>0.69099999999999995</c:v>
                </c:pt>
                <c:pt idx="7">
                  <c:v>0.65300000000000002</c:v>
                </c:pt>
                <c:pt idx="8">
                  <c:v>0.7</c:v>
                </c:pt>
                <c:pt idx="9">
                  <c:v>0.75</c:v>
                </c:pt>
                <c:pt idx="10">
                  <c:v>0.65599999999999992</c:v>
                </c:pt>
                <c:pt idx="11">
                  <c:v>0.68500000000000005</c:v>
                </c:pt>
                <c:pt idx="12">
                  <c:v>0.51600000000000001</c:v>
                </c:pt>
                <c:pt idx="13">
                  <c:v>0.46799999999999997</c:v>
                </c:pt>
                <c:pt idx="14">
                  <c:v>0.55700000000000005</c:v>
                </c:pt>
                <c:pt idx="15">
                  <c:v>0.56599999999999995</c:v>
                </c:pt>
                <c:pt idx="16">
                  <c:v>0.626</c:v>
                </c:pt>
                <c:pt idx="17">
                  <c:v>0.63900000000000001</c:v>
                </c:pt>
                <c:pt idx="18">
                  <c:v>0.70799999999999996</c:v>
                </c:pt>
                <c:pt idx="19">
                  <c:v>0.68200000000000005</c:v>
                </c:pt>
                <c:pt idx="20">
                  <c:v>0.746</c:v>
                </c:pt>
                <c:pt idx="21">
                  <c:v>0.746</c:v>
                </c:pt>
                <c:pt idx="22">
                  <c:v>0.746</c:v>
                </c:pt>
                <c:pt idx="23">
                  <c:v>0.7</c:v>
                </c:pt>
                <c:pt idx="24">
                  <c:v>0.53</c:v>
                </c:pt>
                <c:pt idx="25">
                  <c:v>0.55200000000000005</c:v>
                </c:pt>
              </c:numCache>
            </c:numRef>
          </c:val>
          <c:smooth val="0"/>
          <c:extLst>
            <c:ext xmlns:c16="http://schemas.microsoft.com/office/drawing/2014/chart" uri="{C3380CC4-5D6E-409C-BE32-E72D297353CC}">
              <c16:uniqueId val="{00000001-4AB0-4525-9E54-4E6123308756}"/>
            </c:ext>
          </c:extLst>
        </c:ser>
        <c:dLbls>
          <c:showLegendKey val="0"/>
          <c:showVal val="0"/>
          <c:showCatName val="0"/>
          <c:showSerName val="0"/>
          <c:showPercent val="0"/>
          <c:showBubbleSize val="0"/>
        </c:dLbls>
        <c:marker val="1"/>
        <c:smooth val="0"/>
        <c:axId val="184264960"/>
        <c:axId val="184263424"/>
      </c:lineChart>
      <c:catAx>
        <c:axId val="18426009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84261632"/>
        <c:crosses val="autoZero"/>
        <c:auto val="1"/>
        <c:lblAlgn val="ctr"/>
        <c:lblOffset val="100"/>
        <c:noMultiLvlLbl val="0"/>
      </c:catAx>
      <c:valAx>
        <c:axId val="184261632"/>
        <c:scaling>
          <c:orientation val="minMax"/>
          <c:max val="120"/>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Average room rate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00_);[Red]\(&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260096"/>
        <c:crosses val="autoZero"/>
        <c:crossBetween val="between"/>
      </c:valAx>
      <c:valAx>
        <c:axId val="184263424"/>
        <c:scaling>
          <c:orientation val="minMax"/>
          <c:max val="1"/>
          <c:min val="0"/>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Average occupancy rate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264960"/>
        <c:crosses val="max"/>
        <c:crossBetween val="between"/>
      </c:valAx>
      <c:catAx>
        <c:axId val="184264960"/>
        <c:scaling>
          <c:orientation val="minMax"/>
        </c:scaling>
        <c:delete val="1"/>
        <c:axPos val="b"/>
        <c:numFmt formatCode="General" sourceLinked="1"/>
        <c:majorTickMark val="none"/>
        <c:minorTickMark val="none"/>
        <c:tickLblPos val="nextTo"/>
        <c:crossAx val="1842634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span"/>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1"/>
              <a:t>Number of passengers, Aberdeen Airport, 2007 to 2016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'Air travel'!$B$51</c:f>
              <c:strCache>
                <c:ptCount val="1"/>
                <c:pt idx="0">
                  <c:v>Aberdeen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479-459C-9E13-3D6549DEDD12}"/>
                </c:ext>
              </c:extLst>
            </c:dLbl>
            <c:dLbl>
              <c:idx val="9"/>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479-459C-9E13-3D6549DEDD1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'Air travel'!$C$50:$L$50</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'Air travel'!$C$51:$L$51</c:f>
              <c:numCache>
                <c:formatCode>0.00</c:formatCode>
                <c:ptCount val="10"/>
                <c:pt idx="0">
                  <c:v>3.4111400000000001</c:v>
                </c:pt>
                <c:pt idx="1">
                  <c:v>3.2902359999999997</c:v>
                </c:pt>
                <c:pt idx="2">
                  <c:v>2.984</c:v>
                </c:pt>
                <c:pt idx="3">
                  <c:v>2.7629999999999999</c:v>
                </c:pt>
                <c:pt idx="4">
                  <c:v>3.0830000000000002</c:v>
                </c:pt>
                <c:pt idx="5">
                  <c:v>3.3290000000000002</c:v>
                </c:pt>
                <c:pt idx="6">
                  <c:v>3.44</c:v>
                </c:pt>
                <c:pt idx="7">
                  <c:v>3.7229999999999999</c:v>
                </c:pt>
                <c:pt idx="8">
                  <c:v>3.4689999999999999</c:v>
                </c:pt>
                <c:pt idx="9">
                  <c:v>2.9550000000000001</c:v>
                </c:pt>
              </c:numCache>
            </c:numRef>
          </c:val>
          <c:smooth val="0"/>
          <c:extLst>
            <c:ext xmlns:c16="http://schemas.microsoft.com/office/drawing/2014/chart" uri="{C3380CC4-5D6E-409C-BE32-E72D297353CC}">
              <c16:uniqueId val="{00000002-F479-459C-9E13-3D6549DEDD12}"/>
            </c:ext>
          </c:extLst>
        </c:ser>
        <c:dLbls>
          <c:showLegendKey val="0"/>
          <c:showVal val="0"/>
          <c:showCatName val="0"/>
          <c:showSerName val="0"/>
          <c:showPercent val="0"/>
          <c:showBubbleSize val="0"/>
        </c:dLbls>
        <c:marker val="1"/>
        <c:smooth val="0"/>
        <c:axId val="362507040"/>
        <c:axId val="362512288"/>
      </c:lineChart>
      <c:catAx>
        <c:axId val="362507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2512288"/>
        <c:crosses val="autoZero"/>
        <c:auto val="1"/>
        <c:lblAlgn val="ctr"/>
        <c:lblOffset val="100"/>
        <c:noMultiLvlLbl val="0"/>
      </c:catAx>
      <c:valAx>
        <c:axId val="362512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passengers (millions)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2507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200" b="0"/>
              <a:t>Enterprises by size, Aberdeen City</a:t>
            </a:r>
            <a:r>
              <a:rPr lang="en-GB" sz="1200" b="0" baseline="0"/>
              <a:t> and Scotland, 2017</a:t>
            </a:r>
            <a:endParaRPr lang="en-GB" sz="1200" b="0"/>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bar"/>
        <c:grouping val="clustered"/>
        <c:varyColors val="0"/>
        <c:ser>
          <c:idx val="0"/>
          <c:order val="0"/>
          <c:tx>
            <c:strRef>
              <c:f>'Business counts'!$I$6</c:f>
              <c:strCache>
                <c:ptCount val="1"/>
                <c:pt idx="0">
                  <c:v>Aberdeen City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'Business counts'!$H$7:$H$10</c:f>
              <c:strCache>
                <c:ptCount val="4"/>
                <c:pt idx="0">
                  <c:v>Micro (0 to 9)</c:v>
                </c:pt>
                <c:pt idx="1">
                  <c:v>Small (10 to 49)</c:v>
                </c:pt>
                <c:pt idx="2">
                  <c:v>Medium (50 to 249)</c:v>
                </c:pt>
                <c:pt idx="3">
                  <c:v>Large (250+)</c:v>
                </c:pt>
              </c:strCache>
            </c:strRef>
          </c:cat>
          <c:val>
            <c:numRef>
              <c:f>'Business counts'!$I$7:$I$10</c:f>
              <c:numCache>
                <c:formatCode>0.0%</c:formatCode>
                <c:ptCount val="4"/>
                <c:pt idx="0">
                  <c:v>0.85599999999999998</c:v>
                </c:pt>
                <c:pt idx="1">
                  <c:v>0.11</c:v>
                </c:pt>
                <c:pt idx="2">
                  <c:v>2.6000000000000002E-2</c:v>
                </c:pt>
                <c:pt idx="3">
                  <c:v>6.9999999999999993E-3</c:v>
                </c:pt>
              </c:numCache>
            </c:numRef>
          </c:val>
          <c:extLst>
            <c:ext xmlns:c16="http://schemas.microsoft.com/office/drawing/2014/chart" uri="{C3380CC4-5D6E-409C-BE32-E72D297353CC}">
              <c16:uniqueId val="{00000000-D99B-42F3-A9EE-5E72AF2B467F}"/>
            </c:ext>
          </c:extLst>
        </c:ser>
        <c:ser>
          <c:idx val="1"/>
          <c:order val="1"/>
          <c:tx>
            <c:strRef>
              <c:f>'Business counts'!$J$6</c:f>
              <c:strCache>
                <c:ptCount val="1"/>
                <c:pt idx="0">
                  <c:v>Scotland</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'Business counts'!$H$7:$H$10</c:f>
              <c:strCache>
                <c:ptCount val="4"/>
                <c:pt idx="0">
                  <c:v>Micro (0 to 9)</c:v>
                </c:pt>
                <c:pt idx="1">
                  <c:v>Small (10 to 49)</c:v>
                </c:pt>
                <c:pt idx="2">
                  <c:v>Medium (50 to 249)</c:v>
                </c:pt>
                <c:pt idx="3">
                  <c:v>Large (250+)</c:v>
                </c:pt>
              </c:strCache>
            </c:strRef>
          </c:cat>
          <c:val>
            <c:numRef>
              <c:f>'Business counts'!$J$7:$J$10</c:f>
              <c:numCache>
                <c:formatCode>0.0%</c:formatCode>
                <c:ptCount val="4"/>
                <c:pt idx="0">
                  <c:v>0.88</c:v>
                </c:pt>
                <c:pt idx="1">
                  <c:v>0.10099999999999999</c:v>
                </c:pt>
                <c:pt idx="2">
                  <c:v>1.6E-2</c:v>
                </c:pt>
                <c:pt idx="3">
                  <c:v>4.0000000000000001E-3</c:v>
                </c:pt>
              </c:numCache>
            </c:numRef>
          </c:val>
          <c:extLst>
            <c:ext xmlns:c16="http://schemas.microsoft.com/office/drawing/2014/chart" uri="{C3380CC4-5D6E-409C-BE32-E72D297353CC}">
              <c16:uniqueId val="{00000001-D99B-42F3-A9EE-5E72AF2B467F}"/>
            </c:ext>
          </c:extLst>
        </c:ser>
        <c:dLbls>
          <c:dLblPos val="outEnd"/>
          <c:showLegendKey val="0"/>
          <c:showVal val="1"/>
          <c:showCatName val="0"/>
          <c:showSerName val="0"/>
          <c:showPercent val="0"/>
          <c:showBubbleSize val="0"/>
        </c:dLbls>
        <c:gapWidth val="100"/>
        <c:axId val="625100136"/>
        <c:axId val="625090952"/>
      </c:barChart>
      <c:catAx>
        <c:axId val="625100136"/>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25090952"/>
        <c:crosses val="autoZero"/>
        <c:auto val="1"/>
        <c:lblAlgn val="ctr"/>
        <c:lblOffset val="100"/>
        <c:noMultiLvlLbl val="0"/>
      </c:catAx>
      <c:valAx>
        <c:axId val="625090952"/>
        <c:scaling>
          <c:orientation val="minMax"/>
        </c:scaling>
        <c:delete val="0"/>
        <c:axPos val="b"/>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25100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userShapes r:id="rId5"/>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100" b="1" i="0" u="none" strike="noStrike" kern="1200" baseline="0">
              <a:solidFill>
                <a:schemeClr val="tx2"/>
              </a:solidFill>
              <a:latin typeface="+mn-lt"/>
              <a:ea typeface="+mn-ea"/>
              <a:cs typeface="+mn-cs"/>
            </a:defRPr>
          </a:pPr>
          <a:endParaRPr lang="en-US"/>
        </a:p>
      </c:txPr>
    </c:title>
    <c:autoTitleDeleted val="0"/>
    <c:plotArea>
      <c:layout/>
      <c:lineChart>
        <c:grouping val="standard"/>
        <c:varyColors val="0"/>
        <c:ser>
          <c:idx val="0"/>
          <c:order val="0"/>
          <c:tx>
            <c:strRef>
              <c:f>'Business counts'!$H$44</c:f>
              <c:strCache>
                <c:ptCount val="1"/>
                <c:pt idx="0">
                  <c:v>Number of enterprises, Aberdeen City, 2010 to 2017</c:v>
                </c:pt>
              </c:strCache>
            </c:strRef>
          </c:tx>
          <c:spPr>
            <a:ln w="31750" cap="rnd">
              <a:solidFill>
                <a:schemeClr val="accent1"/>
              </a:solidFill>
              <a:round/>
            </a:ln>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'Business counts'!$G$45:$G$52</c:f>
              <c:numCache>
                <c:formatCode>General</c:formatCode>
                <c:ptCount val="8"/>
                <c:pt idx="0">
                  <c:v>2010</c:v>
                </c:pt>
                <c:pt idx="1">
                  <c:v>2011</c:v>
                </c:pt>
                <c:pt idx="2">
                  <c:v>2012</c:v>
                </c:pt>
                <c:pt idx="3">
                  <c:v>2013</c:v>
                </c:pt>
                <c:pt idx="4">
                  <c:v>2014</c:v>
                </c:pt>
                <c:pt idx="5">
                  <c:v>2015</c:v>
                </c:pt>
                <c:pt idx="6">
                  <c:v>2016</c:v>
                </c:pt>
                <c:pt idx="7">
                  <c:v>2017</c:v>
                </c:pt>
              </c:numCache>
            </c:numRef>
          </c:cat>
          <c:val>
            <c:numRef>
              <c:f>'Business counts'!$H$45:$H$52</c:f>
              <c:numCache>
                <c:formatCode>#,##0</c:formatCode>
                <c:ptCount val="8"/>
                <c:pt idx="0">
                  <c:v>7120</c:v>
                </c:pt>
                <c:pt idx="1">
                  <c:v>7365</c:v>
                </c:pt>
                <c:pt idx="2">
                  <c:v>7935</c:v>
                </c:pt>
                <c:pt idx="3">
                  <c:v>8270</c:v>
                </c:pt>
                <c:pt idx="4">
                  <c:v>8705</c:v>
                </c:pt>
                <c:pt idx="5">
                  <c:v>9185</c:v>
                </c:pt>
                <c:pt idx="6">
                  <c:v>9000</c:v>
                </c:pt>
                <c:pt idx="7">
                  <c:v>8700</c:v>
                </c:pt>
              </c:numCache>
            </c:numRef>
          </c:val>
          <c:smooth val="0"/>
          <c:extLst>
            <c:ext xmlns:c16="http://schemas.microsoft.com/office/drawing/2014/chart" uri="{C3380CC4-5D6E-409C-BE32-E72D297353CC}">
              <c16:uniqueId val="{00000000-7C7D-4FCB-93D2-04CFE94635C4}"/>
            </c:ext>
          </c:extLst>
        </c:ser>
        <c:dLbls>
          <c:dLblPos val="t"/>
          <c:showLegendKey val="0"/>
          <c:showVal val="1"/>
          <c:showCatName val="0"/>
          <c:showSerName val="0"/>
          <c:showPercent val="0"/>
          <c:showBubbleSize val="0"/>
        </c:dLbls>
        <c:marker val="1"/>
        <c:smooth val="0"/>
        <c:axId val="650745256"/>
        <c:axId val="650744928"/>
      </c:lineChart>
      <c:catAx>
        <c:axId val="650745256"/>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50744928"/>
        <c:crosses val="autoZero"/>
        <c:auto val="1"/>
        <c:lblAlgn val="ctr"/>
        <c:lblOffset val="100"/>
        <c:noMultiLvlLbl val="0"/>
      </c:catAx>
      <c:valAx>
        <c:axId val="650744928"/>
        <c:scaling>
          <c:orientation val="minMax"/>
          <c:min val="4000"/>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507452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1"/>
              <a:t>Business births and deaths, Aberdeen City, 2010 to 2016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'business births and deaths'!$C$3</c:f>
              <c:strCache>
                <c:ptCount val="1"/>
                <c:pt idx="0">
                  <c:v>Business births</c:v>
                </c:pt>
              </c:strCache>
            </c:strRef>
          </c:tx>
          <c:spPr>
            <a:solidFill>
              <a:schemeClr val="accent1"/>
            </a:solidFill>
            <a:ln>
              <a:noFill/>
            </a:ln>
            <a:effectLst/>
          </c:spPr>
          <c:invertIfNegative val="0"/>
          <c:dLbls>
            <c:dLbl>
              <c:idx val="5"/>
              <c:layout>
                <c:manualLayout>
                  <c:x val="-1.4362657091562026E-2"/>
                  <c:y val="1.5530603053316561E-7"/>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5.7965196002205288E-2"/>
                      <c:h val="5.0355184891829344E-2"/>
                    </c:manualLayout>
                  </c15:layout>
                </c:ext>
                <c:ext xmlns:c16="http://schemas.microsoft.com/office/drawing/2014/chart" uri="{C3380CC4-5D6E-409C-BE32-E72D297353CC}">
                  <c16:uniqueId val="{00000000-7AAF-4463-A4DE-3D1BFB98FD7A}"/>
                </c:ext>
              </c:extLst>
            </c:dLbl>
            <c:dLbl>
              <c:idx val="6"/>
              <c:layout>
                <c:manualLayout>
                  <c:x val="-2.3937761819269897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AAF-4463-A4DE-3D1BFB98FD7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births and deaths'!$D$2:$J$2</c:f>
              <c:strCache>
                <c:ptCount val="7"/>
                <c:pt idx="0">
                  <c:v>2010</c:v>
                </c:pt>
                <c:pt idx="1">
                  <c:v>2011</c:v>
                </c:pt>
                <c:pt idx="2">
                  <c:v>2012</c:v>
                </c:pt>
                <c:pt idx="3">
                  <c:v>2013</c:v>
                </c:pt>
                <c:pt idx="4">
                  <c:v>2014</c:v>
                </c:pt>
                <c:pt idx="5">
                  <c:v>2015</c:v>
                </c:pt>
                <c:pt idx="6">
                  <c:v>2016</c:v>
                </c:pt>
              </c:strCache>
            </c:strRef>
          </c:cat>
          <c:val>
            <c:numRef>
              <c:f>'business births and deaths'!$D$3:$J$3</c:f>
              <c:numCache>
                <c:formatCode>#,##0</c:formatCode>
                <c:ptCount val="7"/>
                <c:pt idx="0">
                  <c:v>1035</c:v>
                </c:pt>
                <c:pt idx="1">
                  <c:v>1215</c:v>
                </c:pt>
                <c:pt idx="2">
                  <c:v>1285</c:v>
                </c:pt>
                <c:pt idx="3">
                  <c:v>1445</c:v>
                </c:pt>
                <c:pt idx="4">
                  <c:v>1315</c:v>
                </c:pt>
                <c:pt idx="5">
                  <c:v>1090</c:v>
                </c:pt>
                <c:pt idx="6">
                  <c:v>1160</c:v>
                </c:pt>
              </c:numCache>
            </c:numRef>
          </c:val>
          <c:extLst>
            <c:ext xmlns:c16="http://schemas.microsoft.com/office/drawing/2014/chart" uri="{C3380CC4-5D6E-409C-BE32-E72D297353CC}">
              <c16:uniqueId val="{00000002-7AAF-4463-A4DE-3D1BFB98FD7A}"/>
            </c:ext>
          </c:extLst>
        </c:ser>
        <c:ser>
          <c:idx val="1"/>
          <c:order val="1"/>
          <c:tx>
            <c:strRef>
              <c:f>'business births and deaths'!$C$4</c:f>
              <c:strCache>
                <c:ptCount val="1"/>
                <c:pt idx="0">
                  <c:v>Business deaths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births and deaths'!$D$2:$J$2</c:f>
              <c:strCache>
                <c:ptCount val="7"/>
                <c:pt idx="0">
                  <c:v>2010</c:v>
                </c:pt>
                <c:pt idx="1">
                  <c:v>2011</c:v>
                </c:pt>
                <c:pt idx="2">
                  <c:v>2012</c:v>
                </c:pt>
                <c:pt idx="3">
                  <c:v>2013</c:v>
                </c:pt>
                <c:pt idx="4">
                  <c:v>2014</c:v>
                </c:pt>
                <c:pt idx="5">
                  <c:v>2015</c:v>
                </c:pt>
                <c:pt idx="6">
                  <c:v>2016</c:v>
                </c:pt>
              </c:strCache>
            </c:strRef>
          </c:cat>
          <c:val>
            <c:numRef>
              <c:f>'business births and deaths'!$D$4:$J$4</c:f>
              <c:numCache>
                <c:formatCode>#,##0</c:formatCode>
                <c:ptCount val="7"/>
                <c:pt idx="0">
                  <c:v>750</c:v>
                </c:pt>
                <c:pt idx="1">
                  <c:v>755</c:v>
                </c:pt>
                <c:pt idx="2">
                  <c:v>885</c:v>
                </c:pt>
                <c:pt idx="3">
                  <c:v>880</c:v>
                </c:pt>
                <c:pt idx="4">
                  <c:v>880</c:v>
                </c:pt>
                <c:pt idx="5">
                  <c:v>1180</c:v>
                </c:pt>
                <c:pt idx="6">
                  <c:v>1570</c:v>
                </c:pt>
              </c:numCache>
            </c:numRef>
          </c:val>
          <c:extLst>
            <c:ext xmlns:c16="http://schemas.microsoft.com/office/drawing/2014/chart" uri="{C3380CC4-5D6E-409C-BE32-E72D297353CC}">
              <c16:uniqueId val="{00000003-7AAF-4463-A4DE-3D1BFB98FD7A}"/>
            </c:ext>
          </c:extLst>
        </c:ser>
        <c:dLbls>
          <c:dLblPos val="outEnd"/>
          <c:showLegendKey val="0"/>
          <c:showVal val="1"/>
          <c:showCatName val="0"/>
          <c:showSerName val="0"/>
          <c:showPercent val="0"/>
          <c:showBubbleSize val="0"/>
        </c:dLbls>
        <c:gapWidth val="219"/>
        <c:overlap val="-27"/>
        <c:axId val="584388232"/>
        <c:axId val="584383312"/>
      </c:barChart>
      <c:catAx>
        <c:axId val="584388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4383312"/>
        <c:crosses val="autoZero"/>
        <c:auto val="1"/>
        <c:lblAlgn val="ctr"/>
        <c:lblOffset val="100"/>
        <c:noMultiLvlLbl val="0"/>
      </c:catAx>
      <c:valAx>
        <c:axId val="5843833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4388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patent_applications_2015!$B$1</c:f>
              <c:strCache>
                <c:ptCount val="1"/>
                <c:pt idx="0">
                  <c:v>Patent Applications 2015 (per 100,000 of population)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4"/>
            <c:invertIfNegative val="0"/>
            <c:bubble3D val="0"/>
            <c:spPr>
              <a:solidFill>
                <a:schemeClr val="accent2"/>
              </a:solidFill>
              <a:ln>
                <a:noFill/>
              </a:ln>
              <a:effectLst/>
            </c:spPr>
            <c:extLst>
              <c:ext xmlns:c16="http://schemas.microsoft.com/office/drawing/2014/chart" uri="{C3380CC4-5D6E-409C-BE32-E72D297353CC}">
                <c16:uniqueId val="{00000001-7289-440A-80D3-53572FE65500}"/>
              </c:ext>
            </c:extLst>
          </c:dPt>
          <c:dLbls>
            <c:dLbl>
              <c:idx val="4"/>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289-440A-80D3-53572FE65500}"/>
                </c:ext>
              </c:extLst>
            </c:dLbl>
            <c:dLbl>
              <c:idx val="9"/>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289-440A-80D3-53572FE6550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patent_applications_2015!$A$2:$A$11</c:f>
              <c:strCache>
                <c:ptCount val="10"/>
                <c:pt idx="0">
                  <c:v>Reading</c:v>
                </c:pt>
                <c:pt idx="1">
                  <c:v>Slough</c:v>
                </c:pt>
                <c:pt idx="2">
                  <c:v>Aldershot</c:v>
                </c:pt>
                <c:pt idx="3">
                  <c:v>Crawley</c:v>
                </c:pt>
                <c:pt idx="4">
                  <c:v>Aberdeen</c:v>
                </c:pt>
                <c:pt idx="5">
                  <c:v>Swindon</c:v>
                </c:pt>
                <c:pt idx="6">
                  <c:v>Derby</c:v>
                </c:pt>
                <c:pt idx="7">
                  <c:v>Oxford</c:v>
                </c:pt>
                <c:pt idx="8">
                  <c:v>Coventry</c:v>
                </c:pt>
                <c:pt idx="9">
                  <c:v>Cambridge</c:v>
                </c:pt>
              </c:strCache>
            </c:strRef>
          </c:cat>
          <c:val>
            <c:numRef>
              <c:f>patent_applications_2015!$B$2:$B$11</c:f>
              <c:numCache>
                <c:formatCode>0.0</c:formatCode>
                <c:ptCount val="10"/>
                <c:pt idx="0">
                  <c:v>40.26</c:v>
                </c:pt>
                <c:pt idx="1">
                  <c:v>45.45</c:v>
                </c:pt>
                <c:pt idx="2">
                  <c:v>51.47</c:v>
                </c:pt>
                <c:pt idx="3">
                  <c:v>55.84</c:v>
                </c:pt>
                <c:pt idx="4">
                  <c:v>57.26</c:v>
                </c:pt>
                <c:pt idx="5">
                  <c:v>61.59</c:v>
                </c:pt>
                <c:pt idx="6">
                  <c:v>67.69</c:v>
                </c:pt>
                <c:pt idx="7">
                  <c:v>79.86</c:v>
                </c:pt>
                <c:pt idx="8">
                  <c:v>118.36</c:v>
                </c:pt>
                <c:pt idx="9">
                  <c:v>341.06</c:v>
                </c:pt>
              </c:numCache>
            </c:numRef>
          </c:val>
          <c:extLst>
            <c:ext xmlns:c16="http://schemas.microsoft.com/office/drawing/2014/chart" uri="{C3380CC4-5D6E-409C-BE32-E72D297353CC}">
              <c16:uniqueId val="{00000003-7289-440A-80D3-53572FE65500}"/>
            </c:ext>
          </c:extLst>
        </c:ser>
        <c:dLbls>
          <c:showLegendKey val="0"/>
          <c:showVal val="0"/>
          <c:showCatName val="0"/>
          <c:showSerName val="0"/>
          <c:showPercent val="0"/>
          <c:showBubbleSize val="0"/>
        </c:dLbls>
        <c:gapWidth val="100"/>
        <c:overlap val="-24"/>
        <c:axId val="417135664"/>
        <c:axId val="417129104"/>
      </c:barChart>
      <c:catAx>
        <c:axId val="41713566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17129104"/>
        <c:crosses val="autoZero"/>
        <c:auto val="1"/>
        <c:lblAlgn val="ctr"/>
        <c:lblOffset val="100"/>
        <c:noMultiLvlLbl val="0"/>
      </c:catAx>
      <c:valAx>
        <c:axId val="417129104"/>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17135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sz="1050" b="1" cap="none"/>
              <a:t>Median Weekly Wage (work-place based), Aberdeen City and Scotland, </a:t>
            </a:r>
          </a:p>
          <a:p>
            <a:pPr>
              <a:defRPr/>
            </a:pPr>
            <a:r>
              <a:rPr lang="en-US" sz="1050" b="1" cap="none"/>
              <a:t>2007 to 2017</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'Hourly pay'!$B$79</c:f>
              <c:strCache>
                <c:ptCount val="1"/>
                <c:pt idx="0">
                  <c:v>All</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'Hourly pay'!$A$90:$A$100</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'Hourly pay'!$B$90:$B$100</c:f>
              <c:numCache>
                <c:formatCode>"£"#,##0.00</c:formatCode>
                <c:ptCount val="11"/>
                <c:pt idx="0">
                  <c:v>479.4</c:v>
                </c:pt>
                <c:pt idx="1">
                  <c:v>532.1</c:v>
                </c:pt>
                <c:pt idx="2">
                  <c:v>538.4</c:v>
                </c:pt>
                <c:pt idx="3">
                  <c:v>574.9</c:v>
                </c:pt>
                <c:pt idx="4">
                  <c:v>585.70000000000005</c:v>
                </c:pt>
                <c:pt idx="5">
                  <c:v>574.9</c:v>
                </c:pt>
                <c:pt idx="6">
                  <c:v>606.29999999999995</c:v>
                </c:pt>
                <c:pt idx="7">
                  <c:v>632.29999999999995</c:v>
                </c:pt>
                <c:pt idx="8">
                  <c:v>614.5</c:v>
                </c:pt>
                <c:pt idx="9">
                  <c:v>609.9</c:v>
                </c:pt>
                <c:pt idx="10">
                  <c:v>583.9</c:v>
                </c:pt>
              </c:numCache>
            </c:numRef>
          </c:val>
          <c:smooth val="0"/>
          <c:extLst>
            <c:ext xmlns:c16="http://schemas.microsoft.com/office/drawing/2014/chart" uri="{C3380CC4-5D6E-409C-BE32-E72D297353CC}">
              <c16:uniqueId val="{00000000-7754-47A4-88FC-2EBBDF4D3620}"/>
            </c:ext>
          </c:extLst>
        </c:ser>
        <c:ser>
          <c:idx val="1"/>
          <c:order val="1"/>
          <c:tx>
            <c:strRef>
              <c:f>'Hourly pay'!$C$79</c:f>
              <c:strCache>
                <c:ptCount val="1"/>
                <c:pt idx="0">
                  <c:v>Males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'Hourly pay'!$A$90:$A$100</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'Hourly pay'!$C$90:$C$100</c:f>
              <c:numCache>
                <c:formatCode>"£"#,##0.00</c:formatCode>
                <c:ptCount val="11"/>
                <c:pt idx="0">
                  <c:v>546.1</c:v>
                </c:pt>
                <c:pt idx="1">
                  <c:v>599.70000000000005</c:v>
                </c:pt>
                <c:pt idx="2">
                  <c:v>585.1</c:v>
                </c:pt>
                <c:pt idx="3">
                  <c:v>641.79999999999995</c:v>
                </c:pt>
                <c:pt idx="4">
                  <c:v>646.70000000000005</c:v>
                </c:pt>
                <c:pt idx="5">
                  <c:v>645.1</c:v>
                </c:pt>
                <c:pt idx="6">
                  <c:v>659.9</c:v>
                </c:pt>
                <c:pt idx="7">
                  <c:v>693</c:v>
                </c:pt>
                <c:pt idx="8">
                  <c:v>682.7</c:v>
                </c:pt>
                <c:pt idx="9">
                  <c:v>654.6</c:v>
                </c:pt>
                <c:pt idx="10">
                  <c:v>646.29999999999995</c:v>
                </c:pt>
              </c:numCache>
            </c:numRef>
          </c:val>
          <c:smooth val="0"/>
          <c:extLst>
            <c:ext xmlns:c16="http://schemas.microsoft.com/office/drawing/2014/chart" uri="{C3380CC4-5D6E-409C-BE32-E72D297353CC}">
              <c16:uniqueId val="{00000001-7754-47A4-88FC-2EBBDF4D3620}"/>
            </c:ext>
          </c:extLst>
        </c:ser>
        <c:ser>
          <c:idx val="2"/>
          <c:order val="2"/>
          <c:tx>
            <c:strRef>
              <c:f>'Hourly pay'!$D$79</c:f>
              <c:strCache>
                <c:ptCount val="1"/>
                <c:pt idx="0">
                  <c:v>Females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numRef>
              <c:f>'Hourly pay'!$A$90:$A$100</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'Hourly pay'!$D$90:$D$100</c:f>
              <c:numCache>
                <c:formatCode>"£"#,##0.00</c:formatCode>
                <c:ptCount val="11"/>
                <c:pt idx="0">
                  <c:v>416.5</c:v>
                </c:pt>
                <c:pt idx="1">
                  <c:v>452.2</c:v>
                </c:pt>
                <c:pt idx="2">
                  <c:v>471.2</c:v>
                </c:pt>
                <c:pt idx="3">
                  <c:v>478.8</c:v>
                </c:pt>
                <c:pt idx="4">
                  <c:v>501.7</c:v>
                </c:pt>
                <c:pt idx="5">
                  <c:v>499.3</c:v>
                </c:pt>
                <c:pt idx="6">
                  <c:v>545.5</c:v>
                </c:pt>
                <c:pt idx="7">
                  <c:v>555.70000000000005</c:v>
                </c:pt>
                <c:pt idx="8">
                  <c:v>536.1</c:v>
                </c:pt>
                <c:pt idx="9">
                  <c:v>545.9</c:v>
                </c:pt>
                <c:pt idx="10">
                  <c:v>540.79999999999995</c:v>
                </c:pt>
              </c:numCache>
            </c:numRef>
          </c:val>
          <c:smooth val="0"/>
          <c:extLst>
            <c:ext xmlns:c16="http://schemas.microsoft.com/office/drawing/2014/chart" uri="{C3380CC4-5D6E-409C-BE32-E72D297353CC}">
              <c16:uniqueId val="{00000002-7754-47A4-88FC-2EBBDF4D3620}"/>
            </c:ext>
          </c:extLst>
        </c:ser>
        <c:ser>
          <c:idx val="3"/>
          <c:order val="3"/>
          <c:tx>
            <c:strRef>
              <c:f>'Hourly pay'!$E$79</c:f>
              <c:strCache>
                <c:ptCount val="1"/>
                <c:pt idx="0">
                  <c:v>Scotland (all)</c:v>
                </c:pt>
              </c:strCache>
            </c:strRef>
          </c:tx>
          <c:spPr>
            <a:ln w="22225" cap="rnd">
              <a:solidFill>
                <a:schemeClr val="accent4"/>
              </a:solidFill>
              <a:round/>
            </a:ln>
            <a:effectLst/>
          </c:spPr>
          <c:marker>
            <c:symbol val="x"/>
            <c:size val="6"/>
            <c:spPr>
              <a:noFill/>
              <a:ln w="9525">
                <a:solidFill>
                  <a:schemeClr val="accent4"/>
                </a:solidFill>
                <a:round/>
              </a:ln>
              <a:effectLst/>
            </c:spPr>
          </c:marker>
          <c:cat>
            <c:numRef>
              <c:f>'Hourly pay'!$A$90:$A$100</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'Hourly pay'!$E$90:$E$100</c:f>
              <c:numCache>
                <c:formatCode>"£"#,##0.00</c:formatCode>
                <c:ptCount val="11"/>
                <c:pt idx="0">
                  <c:v>441.7</c:v>
                </c:pt>
                <c:pt idx="1">
                  <c:v>462.6</c:v>
                </c:pt>
                <c:pt idx="2">
                  <c:v>472.8</c:v>
                </c:pt>
                <c:pt idx="3">
                  <c:v>488</c:v>
                </c:pt>
                <c:pt idx="4">
                  <c:v>485</c:v>
                </c:pt>
                <c:pt idx="5">
                  <c:v>497.7</c:v>
                </c:pt>
                <c:pt idx="6">
                  <c:v>508.7</c:v>
                </c:pt>
                <c:pt idx="7">
                  <c:v>519.6</c:v>
                </c:pt>
                <c:pt idx="8">
                  <c:v>527</c:v>
                </c:pt>
                <c:pt idx="9">
                  <c:v>534.5</c:v>
                </c:pt>
                <c:pt idx="10">
                  <c:v>547.29999999999995</c:v>
                </c:pt>
              </c:numCache>
            </c:numRef>
          </c:val>
          <c:smooth val="0"/>
          <c:extLst>
            <c:ext xmlns:c16="http://schemas.microsoft.com/office/drawing/2014/chart" uri="{C3380CC4-5D6E-409C-BE32-E72D297353CC}">
              <c16:uniqueId val="{00000003-7754-47A4-88FC-2EBBDF4D3620}"/>
            </c:ext>
          </c:extLst>
        </c:ser>
        <c:dLbls>
          <c:showLegendKey val="0"/>
          <c:showVal val="0"/>
          <c:showCatName val="0"/>
          <c:showSerName val="0"/>
          <c:showPercent val="0"/>
          <c:showBubbleSize val="0"/>
        </c:dLbls>
        <c:marker val="1"/>
        <c:smooth val="0"/>
        <c:axId val="777891304"/>
        <c:axId val="777887696"/>
      </c:lineChart>
      <c:catAx>
        <c:axId val="7778913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777887696"/>
        <c:crosses val="autoZero"/>
        <c:auto val="1"/>
        <c:lblAlgn val="ctr"/>
        <c:lblOffset val="100"/>
        <c:noMultiLvlLbl val="0"/>
      </c:catAx>
      <c:valAx>
        <c:axId val="777887696"/>
        <c:scaling>
          <c:orientation val="minMax"/>
          <c:min val="300"/>
        </c:scaling>
        <c:delete val="0"/>
        <c:axPos val="l"/>
        <c:numFmt formatCode="&quot;£&quot;#,##0.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7789130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cap="none" spc="120" normalizeH="0" baseline="0">
                <a:solidFill>
                  <a:schemeClr val="tx1">
                    <a:lumMod val="65000"/>
                    <a:lumOff val="35000"/>
                  </a:schemeClr>
                </a:solidFill>
                <a:latin typeface="+mn-lt"/>
                <a:ea typeface="+mn-ea"/>
                <a:cs typeface="+mn-cs"/>
              </a:defRPr>
            </a:pPr>
            <a:r>
              <a:rPr lang="en-US" sz="1000" cap="none"/>
              <a:t>Median Weekly Wage (Residence Based), Aberdeen City and Scotland, 2007 To 2017</a:t>
            </a:r>
          </a:p>
        </c:rich>
      </c:tx>
      <c:overlay val="0"/>
      <c:spPr>
        <a:noFill/>
        <a:ln>
          <a:noFill/>
        </a:ln>
        <a:effectLst/>
      </c:spPr>
      <c:txPr>
        <a:bodyPr rot="0" spcFirstLastPara="1" vertOverflow="ellipsis" vert="horz" wrap="square" anchor="ctr" anchorCtr="1"/>
        <a:lstStyle/>
        <a:p>
          <a:pPr>
            <a:defRPr sz="1000" b="1" i="0" u="none" strike="noStrike" kern="1200" cap="none" spc="120" normalizeH="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'Pay live in city'!$B$24</c:f>
              <c:strCache>
                <c:ptCount val="1"/>
                <c:pt idx="0">
                  <c:v>All</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'Pay live in city'!$A$30:$A$40</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'Pay live in city'!$B$30:$B$40</c:f>
              <c:numCache>
                <c:formatCode>"£"#,##0.00</c:formatCode>
                <c:ptCount val="11"/>
                <c:pt idx="0">
                  <c:v>460</c:v>
                </c:pt>
                <c:pt idx="1">
                  <c:v>480.5</c:v>
                </c:pt>
                <c:pt idx="2">
                  <c:v>500.1</c:v>
                </c:pt>
                <c:pt idx="3">
                  <c:v>531.6</c:v>
                </c:pt>
                <c:pt idx="4">
                  <c:v>533.4</c:v>
                </c:pt>
                <c:pt idx="5">
                  <c:v>547.4</c:v>
                </c:pt>
                <c:pt idx="6">
                  <c:v>548</c:v>
                </c:pt>
                <c:pt idx="7">
                  <c:v>573.5</c:v>
                </c:pt>
                <c:pt idx="8">
                  <c:v>559</c:v>
                </c:pt>
                <c:pt idx="9">
                  <c:v>557.4</c:v>
                </c:pt>
                <c:pt idx="10">
                  <c:v>545.6</c:v>
                </c:pt>
              </c:numCache>
            </c:numRef>
          </c:val>
          <c:smooth val="0"/>
          <c:extLst>
            <c:ext xmlns:c16="http://schemas.microsoft.com/office/drawing/2014/chart" uri="{C3380CC4-5D6E-409C-BE32-E72D297353CC}">
              <c16:uniqueId val="{00000000-1F1E-4EC9-97B6-0F343ED0ED5C}"/>
            </c:ext>
          </c:extLst>
        </c:ser>
        <c:ser>
          <c:idx val="1"/>
          <c:order val="1"/>
          <c:tx>
            <c:strRef>
              <c:f>'Pay live in city'!$C$24</c:f>
              <c:strCache>
                <c:ptCount val="1"/>
                <c:pt idx="0">
                  <c:v>Males</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'Pay live in city'!$A$30:$A$40</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'Pay live in city'!$C$30:$C$40</c:f>
              <c:numCache>
                <c:formatCode>"£"#,##0.00</c:formatCode>
                <c:ptCount val="11"/>
                <c:pt idx="0">
                  <c:v>503.5</c:v>
                </c:pt>
                <c:pt idx="1">
                  <c:v>531.6</c:v>
                </c:pt>
                <c:pt idx="2">
                  <c:v>548.29999999999995</c:v>
                </c:pt>
                <c:pt idx="3">
                  <c:v>591.6</c:v>
                </c:pt>
                <c:pt idx="4">
                  <c:v>576.1</c:v>
                </c:pt>
                <c:pt idx="5">
                  <c:v>572.70000000000005</c:v>
                </c:pt>
                <c:pt idx="6">
                  <c:v>589.79999999999995</c:v>
                </c:pt>
                <c:pt idx="7">
                  <c:v>612.20000000000005</c:v>
                </c:pt>
                <c:pt idx="8">
                  <c:v>596</c:v>
                </c:pt>
                <c:pt idx="9">
                  <c:v>586.5</c:v>
                </c:pt>
                <c:pt idx="10">
                  <c:v>563.20000000000005</c:v>
                </c:pt>
              </c:numCache>
            </c:numRef>
          </c:val>
          <c:smooth val="0"/>
          <c:extLst>
            <c:ext xmlns:c16="http://schemas.microsoft.com/office/drawing/2014/chart" uri="{C3380CC4-5D6E-409C-BE32-E72D297353CC}">
              <c16:uniqueId val="{00000001-1F1E-4EC9-97B6-0F343ED0ED5C}"/>
            </c:ext>
          </c:extLst>
        </c:ser>
        <c:ser>
          <c:idx val="2"/>
          <c:order val="2"/>
          <c:tx>
            <c:strRef>
              <c:f>'Pay live in city'!$D$24</c:f>
              <c:strCache>
                <c:ptCount val="1"/>
                <c:pt idx="0">
                  <c:v>Females</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numRef>
              <c:f>'Pay live in city'!$A$30:$A$40</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'Pay live in city'!$D$30:$D$40</c:f>
              <c:numCache>
                <c:formatCode>"£"#,##0.00</c:formatCode>
                <c:ptCount val="11"/>
                <c:pt idx="0">
                  <c:v>400.7</c:v>
                </c:pt>
                <c:pt idx="1">
                  <c:v>402</c:v>
                </c:pt>
                <c:pt idx="2">
                  <c:v>435.9</c:v>
                </c:pt>
                <c:pt idx="3">
                  <c:v>448</c:v>
                </c:pt>
                <c:pt idx="4">
                  <c:v>482.9</c:v>
                </c:pt>
                <c:pt idx="5">
                  <c:v>491.1</c:v>
                </c:pt>
                <c:pt idx="6">
                  <c:v>509.4</c:v>
                </c:pt>
                <c:pt idx="7">
                  <c:v>530.5</c:v>
                </c:pt>
                <c:pt idx="8">
                  <c:v>504.1</c:v>
                </c:pt>
                <c:pt idx="9">
                  <c:v>512.6</c:v>
                </c:pt>
                <c:pt idx="10">
                  <c:v>516.9</c:v>
                </c:pt>
              </c:numCache>
            </c:numRef>
          </c:val>
          <c:smooth val="0"/>
          <c:extLst>
            <c:ext xmlns:c16="http://schemas.microsoft.com/office/drawing/2014/chart" uri="{C3380CC4-5D6E-409C-BE32-E72D297353CC}">
              <c16:uniqueId val="{00000002-1F1E-4EC9-97B6-0F343ED0ED5C}"/>
            </c:ext>
          </c:extLst>
        </c:ser>
        <c:ser>
          <c:idx val="3"/>
          <c:order val="3"/>
          <c:tx>
            <c:strRef>
              <c:f>'Pay live in city'!$E$24</c:f>
              <c:strCache>
                <c:ptCount val="1"/>
                <c:pt idx="0">
                  <c:v>Scotland (all)</c:v>
                </c:pt>
              </c:strCache>
            </c:strRef>
          </c:tx>
          <c:spPr>
            <a:ln w="22225" cap="rnd">
              <a:solidFill>
                <a:schemeClr val="accent4"/>
              </a:solidFill>
              <a:round/>
            </a:ln>
            <a:effectLst/>
          </c:spPr>
          <c:marker>
            <c:symbol val="x"/>
            <c:size val="6"/>
            <c:spPr>
              <a:noFill/>
              <a:ln w="9525">
                <a:solidFill>
                  <a:schemeClr val="accent4"/>
                </a:solidFill>
                <a:round/>
              </a:ln>
              <a:effectLst/>
            </c:spPr>
          </c:marker>
          <c:cat>
            <c:numRef>
              <c:f>'Pay live in city'!$A$30:$A$40</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'Pay live in city'!$E$30:$E$40</c:f>
              <c:numCache>
                <c:formatCode>"£"#,##0.00</c:formatCode>
                <c:ptCount val="11"/>
                <c:pt idx="0">
                  <c:v>440.9</c:v>
                </c:pt>
                <c:pt idx="1">
                  <c:v>462.9</c:v>
                </c:pt>
                <c:pt idx="2">
                  <c:v>471.2</c:v>
                </c:pt>
                <c:pt idx="3">
                  <c:v>486.6</c:v>
                </c:pt>
                <c:pt idx="4">
                  <c:v>487.2</c:v>
                </c:pt>
                <c:pt idx="5">
                  <c:v>498.3</c:v>
                </c:pt>
                <c:pt idx="6">
                  <c:v>507.9</c:v>
                </c:pt>
                <c:pt idx="7">
                  <c:v>518.6</c:v>
                </c:pt>
                <c:pt idx="8">
                  <c:v>527</c:v>
                </c:pt>
                <c:pt idx="9">
                  <c:v>536</c:v>
                </c:pt>
                <c:pt idx="10">
                  <c:v>547.70000000000005</c:v>
                </c:pt>
              </c:numCache>
            </c:numRef>
          </c:val>
          <c:smooth val="0"/>
          <c:extLst>
            <c:ext xmlns:c16="http://schemas.microsoft.com/office/drawing/2014/chart" uri="{C3380CC4-5D6E-409C-BE32-E72D297353CC}">
              <c16:uniqueId val="{00000003-1F1E-4EC9-97B6-0F343ED0ED5C}"/>
            </c:ext>
          </c:extLst>
        </c:ser>
        <c:dLbls>
          <c:showLegendKey val="0"/>
          <c:showVal val="0"/>
          <c:showCatName val="0"/>
          <c:showSerName val="0"/>
          <c:showPercent val="0"/>
          <c:showBubbleSize val="0"/>
        </c:dLbls>
        <c:marker val="1"/>
        <c:smooth val="0"/>
        <c:axId val="760943112"/>
        <c:axId val="760944096"/>
      </c:lineChart>
      <c:catAx>
        <c:axId val="7609431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cap="all" spc="120" normalizeH="0" baseline="0">
                <a:solidFill>
                  <a:schemeClr val="tx1">
                    <a:lumMod val="65000"/>
                    <a:lumOff val="35000"/>
                  </a:schemeClr>
                </a:solidFill>
                <a:latin typeface="+mn-lt"/>
                <a:ea typeface="+mn-ea"/>
                <a:cs typeface="+mn-cs"/>
              </a:defRPr>
            </a:pPr>
            <a:endParaRPr lang="en-US"/>
          </a:p>
        </c:txPr>
        <c:crossAx val="760944096"/>
        <c:crosses val="autoZero"/>
        <c:auto val="1"/>
        <c:lblAlgn val="ctr"/>
        <c:lblOffset val="100"/>
        <c:noMultiLvlLbl val="0"/>
      </c:catAx>
      <c:valAx>
        <c:axId val="760944096"/>
        <c:scaling>
          <c:orientation val="minMax"/>
          <c:min val="300"/>
        </c:scaling>
        <c:delete val="0"/>
        <c:axPos val="l"/>
        <c:numFmt formatCode="&quot;£&quot;#,##0.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60943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5.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8.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9.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8.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9.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3.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6.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7.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8.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5.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6.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8.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4.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9.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1.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5.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6.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4.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5.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4.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9.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rawings/drawing1.xml><?xml version="1.0" encoding="utf-8"?>
<c:userShapes xmlns:c="http://schemas.openxmlformats.org/drawingml/2006/chart">
  <cdr:relSizeAnchor xmlns:cdr="http://schemas.openxmlformats.org/drawingml/2006/chartDrawing">
    <cdr:from>
      <cdr:x>0.41563</cdr:x>
      <cdr:y>0.27778</cdr:y>
    </cdr:from>
    <cdr:to>
      <cdr:x>0.61563</cdr:x>
      <cdr:y>0.34375</cdr:y>
    </cdr:to>
    <cdr:sp macro="" textlink="">
      <cdr:nvSpPr>
        <cdr:cNvPr id="2" name="TextBox 1">
          <a:extLst xmlns:a="http://schemas.openxmlformats.org/drawingml/2006/main">
            <a:ext uri="{FF2B5EF4-FFF2-40B4-BE49-F238E27FC236}">
              <a16:creationId xmlns:a16="http://schemas.microsoft.com/office/drawing/2014/main" id="{70082482-0CFF-476C-852F-70BA08F90D11}"/>
            </a:ext>
          </a:extLst>
        </cdr:cNvPr>
        <cdr:cNvSpPr txBox="1"/>
      </cdr:nvSpPr>
      <cdr:spPr>
        <a:xfrm xmlns:a="http://schemas.openxmlformats.org/drawingml/2006/main">
          <a:off x="1900238" y="762000"/>
          <a:ext cx="914400" cy="1809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a:p>
      </cdr:txBody>
    </cdr:sp>
  </cdr:relSizeAnchor>
</c:userShapes>
</file>

<file path=word/drawings/drawing2.xml><?xml version="1.0" encoding="utf-8"?>
<c:userShapes xmlns:c="http://schemas.openxmlformats.org/drawingml/2006/chart">
  <cdr:relSizeAnchor xmlns:cdr="http://schemas.openxmlformats.org/drawingml/2006/chartDrawing">
    <cdr:from>
      <cdr:x>0.78854</cdr:x>
      <cdr:y>0.29514</cdr:y>
    </cdr:from>
    <cdr:to>
      <cdr:x>0.98854</cdr:x>
      <cdr:y>0.62847</cdr:y>
    </cdr:to>
    <cdr:sp macro="" textlink="">
      <cdr:nvSpPr>
        <cdr:cNvPr id="2" name="TextBox 1">
          <a:extLst xmlns:a="http://schemas.openxmlformats.org/drawingml/2006/main">
            <a:ext uri="{FF2B5EF4-FFF2-40B4-BE49-F238E27FC236}">
              <a16:creationId xmlns:a16="http://schemas.microsoft.com/office/drawing/2014/main" id="{7CA58B1A-4B7C-4E53-A083-CC301AA6972A}"/>
            </a:ext>
          </a:extLst>
        </cdr:cNvPr>
        <cdr:cNvSpPr txBox="1"/>
      </cdr:nvSpPr>
      <cdr:spPr>
        <a:xfrm xmlns:a="http://schemas.openxmlformats.org/drawingml/2006/main">
          <a:off x="3605213" y="80962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Version="1987">
  <b:Source>
    <b:Tag>Nat18</b:Tag>
    <b:SourceType>InternetSite</b:SourceType>
    <b:Guid>{F529F136-5673-4FCA-AF39-28647AA3D8BD}</b:Guid>
    <b:Title>Probable Suicides: Deaths which are the Result of Intentional Self-harm or Events of Undetermined Intent</b:Title>
    <b:Year>2018</b:Year>
    <b:Author>
      <b:Author>
        <b:NameList>
          <b:Person>
            <b:Last>Scotland</b:Last>
            <b:First>National</b:First>
            <b:Middle>Records of</b:Middle>
          </b:Person>
        </b:NameList>
      </b:Author>
    </b:Author>
    <b:InternetSiteTitle>National Records of Scotland</b:InternetSiteTitle>
    <b:Month>June</b:Month>
    <b:Day>5</b:Day>
    <b:URL>https://www.nrscotland.gov.uk/statistics-and-data/statistics/statistics-by-theme/vital-events/deaths/suicides/list-of-tables-and-chart</b:URL>
    <b:RefOrder>1</b:RefOrder>
  </b:Source>
  <b:Source>
    <b:Tag>Sco18</b:Tag>
    <b:SourceType>InternetSite</b:SourceType>
    <b:Guid>{2D790A7D-7EF6-4F51-8FE8-4258D8E1140A}</b:Guid>
    <b:Author>
      <b:Author>
        <b:NameList>
          <b:Person>
            <b:Last>Government</b:Last>
            <b:First>Scottish</b:First>
          </b:Person>
        </b:NameList>
      </b:Author>
    </b:Author>
    <b:Title>School Education</b:Title>
    <b:InternetSiteTitle>Scottish Government</b:InternetSiteTitle>
    <b:Year>2018</b:Year>
    <b:Month>June</b:Month>
    <b:Day>5</b:Day>
    <b:YearAccessed>2018</b:YearAccessed>
    <b:MonthAccessed>June</b:MonthAccessed>
    <b:DayAccessed>5</b:DayAccessed>
    <b:URL>http://www.gov.scot/Topics/Statistics/Browse/School-Education</b:URL>
    <b:RefOrder>2</b:RefOrder>
  </b:Source>
</b:Sources>
</file>

<file path=customXml/itemProps1.xml><?xml version="1.0" encoding="utf-8"?>
<ds:datastoreItem xmlns:ds="http://schemas.openxmlformats.org/officeDocument/2006/customXml" ds:itemID="{D719781D-AA00-4F4C-84D5-26FE4F0958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120</Pages>
  <Words>28890</Words>
  <Characters>164677</Characters>
  <Application>Microsoft Office Word</Application>
  <DocSecurity>0</DocSecurity>
  <Lines>1372</Lines>
  <Paragraphs>386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McAteer</dc:creator>
  <cp:keywords/>
  <dc:description/>
  <cp:lastModifiedBy>Michelle Cochlan</cp:lastModifiedBy>
  <cp:revision>6</cp:revision>
  <cp:lastPrinted>2018-07-13T10:55:00Z</cp:lastPrinted>
  <dcterms:created xsi:type="dcterms:W3CDTF">2018-07-13T10:55:00Z</dcterms:created>
  <dcterms:modified xsi:type="dcterms:W3CDTF">2018-07-13T14:17:00Z</dcterms:modified>
</cp:coreProperties>
</file>