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30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97F94" w14:paraId="27732BC4" w14:textId="77777777" w:rsidTr="00213902">
        <w:tc>
          <w:tcPr>
            <w:tcW w:w="4621" w:type="dxa"/>
          </w:tcPr>
          <w:p w14:paraId="7332A320" w14:textId="328299EF" w:rsidR="00897F94" w:rsidRDefault="00897F94" w:rsidP="00213902">
            <w:r>
              <w:t xml:space="preserve"> </w:t>
            </w:r>
            <w:r w:rsidR="00497788">
              <w:t>QI Practitioner</w:t>
            </w:r>
            <w:r w:rsidR="00ED4A01">
              <w:t xml:space="preserve"> name</w:t>
            </w:r>
            <w:r>
              <w:t>:</w:t>
            </w:r>
          </w:p>
          <w:p w14:paraId="78A8E634" w14:textId="77777777" w:rsidR="00213902" w:rsidRDefault="00213902" w:rsidP="00213902"/>
          <w:p w14:paraId="0294422B" w14:textId="77777777" w:rsidR="00213902" w:rsidRDefault="00213902" w:rsidP="00213902"/>
          <w:p w14:paraId="0CBB270B" w14:textId="77777777" w:rsidR="00213902" w:rsidRDefault="00213902" w:rsidP="00213902"/>
          <w:p w14:paraId="02D5860D" w14:textId="77777777" w:rsidR="00213902" w:rsidRDefault="00213902" w:rsidP="00213902"/>
          <w:p w14:paraId="54845BE8" w14:textId="77777777" w:rsidR="00213902" w:rsidRDefault="00213902" w:rsidP="00213902">
            <w:r>
              <w:t>Organisation:</w:t>
            </w:r>
          </w:p>
          <w:p w14:paraId="74C6B0E5" w14:textId="77777777" w:rsidR="00213902" w:rsidRDefault="00213902" w:rsidP="00213902"/>
          <w:p w14:paraId="057D346F" w14:textId="77777777" w:rsidR="00897F94" w:rsidRDefault="00897F94" w:rsidP="00213902"/>
          <w:p w14:paraId="2F5147E3" w14:textId="77777777" w:rsidR="00897F94" w:rsidRDefault="00897F94" w:rsidP="00213902"/>
        </w:tc>
        <w:tc>
          <w:tcPr>
            <w:tcW w:w="4621" w:type="dxa"/>
          </w:tcPr>
          <w:p w14:paraId="5C3FA6D4" w14:textId="0BB38F1C" w:rsidR="00897F94" w:rsidRDefault="00166A40" w:rsidP="00213902">
            <w:r>
              <w:t>Mentor</w:t>
            </w:r>
            <w:r w:rsidR="00ED4A01">
              <w:t xml:space="preserve"> name</w:t>
            </w:r>
            <w:r w:rsidR="00897F94">
              <w:t>:</w:t>
            </w:r>
          </w:p>
          <w:p w14:paraId="10F00B47" w14:textId="77777777" w:rsidR="00213902" w:rsidRDefault="00213902" w:rsidP="00213902"/>
          <w:p w14:paraId="63ED6AB9" w14:textId="77777777" w:rsidR="00213902" w:rsidRDefault="00213902" w:rsidP="00213902"/>
          <w:p w14:paraId="2624236F" w14:textId="77777777" w:rsidR="00213902" w:rsidRDefault="00213902" w:rsidP="00213902"/>
          <w:p w14:paraId="53702633" w14:textId="77777777" w:rsidR="00213902" w:rsidRDefault="00213902" w:rsidP="00213902"/>
          <w:p w14:paraId="10765A4E" w14:textId="77777777" w:rsidR="00213902" w:rsidRDefault="00213902" w:rsidP="00213902">
            <w:r>
              <w:t>Organisation:</w:t>
            </w:r>
          </w:p>
        </w:tc>
      </w:tr>
      <w:tr w:rsidR="00897F94" w14:paraId="48D0595E" w14:textId="77777777" w:rsidTr="00213902">
        <w:tc>
          <w:tcPr>
            <w:tcW w:w="9242" w:type="dxa"/>
            <w:gridSpan w:val="2"/>
          </w:tcPr>
          <w:p w14:paraId="0862D858" w14:textId="77777777" w:rsidR="00213902" w:rsidRDefault="00213902" w:rsidP="00213902"/>
          <w:p w14:paraId="53126F26" w14:textId="3BB92B1A" w:rsidR="00897F94" w:rsidRDefault="00897F94" w:rsidP="00213902">
            <w:r>
              <w:t xml:space="preserve">We agree to meet up / telephone discussion to discuss the </w:t>
            </w:r>
            <w:r w:rsidR="00497788">
              <w:t>QI Practitioner</w:t>
            </w:r>
            <w:r>
              <w:t xml:space="preserve">’s improvement project: </w:t>
            </w:r>
          </w:p>
          <w:p w14:paraId="053EF414" w14:textId="77777777" w:rsidR="00897F94" w:rsidRDefault="00897F94" w:rsidP="00213902"/>
          <w:p w14:paraId="5B264CA0" w14:textId="77777777" w:rsidR="00897F94" w:rsidRDefault="00897F94" w:rsidP="00213902">
            <w:r>
              <w:t xml:space="preserve">Every </w:t>
            </w:r>
            <w:r w:rsidR="00421F79">
              <w:t>____week</w:t>
            </w:r>
            <w:r>
              <w:t xml:space="preserve">/s </w:t>
            </w:r>
          </w:p>
          <w:p w14:paraId="67567A27" w14:textId="77777777" w:rsidR="00213902" w:rsidRDefault="00213902" w:rsidP="00213902"/>
          <w:p w14:paraId="7B9916D0" w14:textId="77777777" w:rsidR="00421F79" w:rsidRDefault="00421F79" w:rsidP="00213902"/>
          <w:p w14:paraId="3B0D11F0" w14:textId="77777777" w:rsidR="00897F94" w:rsidRDefault="00421F79" w:rsidP="00213902">
            <w:r>
              <w:t>Time</w:t>
            </w:r>
          </w:p>
          <w:p w14:paraId="7F75FF12" w14:textId="77777777" w:rsidR="00213902" w:rsidRDefault="00213902" w:rsidP="00213902"/>
          <w:p w14:paraId="6CC76267" w14:textId="77777777" w:rsidR="00421F79" w:rsidRDefault="00421F79" w:rsidP="00213902"/>
          <w:p w14:paraId="3816F5D7" w14:textId="77777777" w:rsidR="00421F79" w:rsidRDefault="00421F79" w:rsidP="00213902">
            <w:r>
              <w:t>Location</w:t>
            </w:r>
          </w:p>
          <w:p w14:paraId="63E20CA6" w14:textId="77777777" w:rsidR="00213902" w:rsidRDefault="00213902" w:rsidP="00213902"/>
          <w:p w14:paraId="720C2A72" w14:textId="77777777" w:rsidR="00421F79" w:rsidRPr="00421F79" w:rsidRDefault="00421F79" w:rsidP="00213902">
            <w:pPr>
              <w:rPr>
                <w:i/>
                <w:sz w:val="20"/>
                <w:szCs w:val="20"/>
              </w:rPr>
            </w:pPr>
          </w:p>
          <w:p w14:paraId="57C55811" w14:textId="77777777" w:rsidR="00897F94" w:rsidRDefault="00421F79" w:rsidP="00213902">
            <w:r w:rsidRPr="00421F79">
              <w:rPr>
                <w:i/>
                <w:sz w:val="20"/>
                <w:szCs w:val="20"/>
              </w:rPr>
              <w:t>Be as specific as possible</w:t>
            </w:r>
            <w:r>
              <w:t xml:space="preserve"> </w:t>
            </w:r>
          </w:p>
        </w:tc>
      </w:tr>
      <w:tr w:rsidR="00421F79" w14:paraId="50EEFD14" w14:textId="77777777" w:rsidTr="00213902">
        <w:tc>
          <w:tcPr>
            <w:tcW w:w="9242" w:type="dxa"/>
            <w:gridSpan w:val="2"/>
          </w:tcPr>
          <w:p w14:paraId="7C015924" w14:textId="77777777" w:rsidR="00ED4A01" w:rsidRDefault="00ED4A01" w:rsidP="00213902"/>
          <w:p w14:paraId="5AC5ACCB" w14:textId="415D85B7" w:rsidR="00421F79" w:rsidRDefault="00421F79" w:rsidP="00213902">
            <w:r>
              <w:t xml:space="preserve">If one of us cannot keep this </w:t>
            </w:r>
            <w:r w:rsidR="00B60BC6">
              <w:t>appointment,</w:t>
            </w:r>
            <w:r>
              <w:t xml:space="preserve"> we agree to give each other adequate notice</w:t>
            </w:r>
            <w:r w:rsidR="005F61CE">
              <w:t>.</w:t>
            </w:r>
          </w:p>
          <w:p w14:paraId="6C82C52E" w14:textId="77777777" w:rsidR="00213902" w:rsidRDefault="00213902" w:rsidP="00213902"/>
          <w:p w14:paraId="6FD362F4" w14:textId="77777777" w:rsidR="00421F79" w:rsidRDefault="00421F79" w:rsidP="00213902"/>
          <w:p w14:paraId="1B88248D" w14:textId="77777777" w:rsidR="00421F79" w:rsidRPr="00421F79" w:rsidRDefault="00421F79" w:rsidP="00213902">
            <w:pPr>
              <w:rPr>
                <w:i/>
                <w:sz w:val="20"/>
                <w:szCs w:val="20"/>
              </w:rPr>
            </w:pPr>
            <w:r w:rsidRPr="00421F79">
              <w:rPr>
                <w:i/>
                <w:sz w:val="20"/>
                <w:szCs w:val="20"/>
              </w:rPr>
              <w:t>What “adequate” means should be agreed by both at this point</w:t>
            </w:r>
          </w:p>
        </w:tc>
      </w:tr>
      <w:tr w:rsidR="00421F79" w14:paraId="15C80213" w14:textId="77777777" w:rsidTr="00213902">
        <w:tc>
          <w:tcPr>
            <w:tcW w:w="9242" w:type="dxa"/>
            <w:gridSpan w:val="2"/>
          </w:tcPr>
          <w:p w14:paraId="7B6FC985" w14:textId="77777777" w:rsidR="00ED4A01" w:rsidRDefault="00ED4A01" w:rsidP="00213902"/>
          <w:p w14:paraId="0A92EAAE" w14:textId="77777777" w:rsidR="00421F79" w:rsidRDefault="001E4FEA" w:rsidP="00213902">
            <w:r>
              <w:t>Where little</w:t>
            </w:r>
            <w:r w:rsidR="00421F79">
              <w:t xml:space="preserve"> progress </w:t>
            </w:r>
            <w:r w:rsidR="005F61CE">
              <w:t xml:space="preserve">is </w:t>
            </w:r>
            <w:r w:rsidR="00421F79">
              <w:t>made</w:t>
            </w:r>
            <w:r w:rsidR="00ED4A01">
              <w:t>,</w:t>
            </w:r>
            <w:r w:rsidR="00421F79">
              <w:t xml:space="preserve"> both parties agree to follow up with their </w:t>
            </w:r>
            <w:r w:rsidR="005F61CE">
              <w:t>respective teams</w:t>
            </w:r>
            <w:r w:rsidR="00421F79">
              <w:t xml:space="preserve"> </w:t>
            </w:r>
            <w:r w:rsidR="005F61CE">
              <w:t xml:space="preserve">to clarify how to move </w:t>
            </w:r>
            <w:r w:rsidR="00ED4A01">
              <w:t>forward.</w:t>
            </w:r>
          </w:p>
          <w:p w14:paraId="4141D653" w14:textId="77777777" w:rsidR="00ED4A01" w:rsidRDefault="00ED4A01" w:rsidP="00213902"/>
        </w:tc>
      </w:tr>
      <w:tr w:rsidR="005F61CE" w14:paraId="027F548C" w14:textId="77777777" w:rsidTr="00BF7142">
        <w:trPr>
          <w:trHeight w:val="1765"/>
        </w:trPr>
        <w:tc>
          <w:tcPr>
            <w:tcW w:w="9242" w:type="dxa"/>
            <w:gridSpan w:val="2"/>
          </w:tcPr>
          <w:p w14:paraId="3504572A" w14:textId="77777777" w:rsidR="00ED4A01" w:rsidRDefault="00ED4A01" w:rsidP="00213902"/>
          <w:p w14:paraId="0290ABF2" w14:textId="5CE2AD45" w:rsidR="005F61CE" w:rsidRDefault="005F61CE" w:rsidP="00213902">
            <w:r>
              <w:t>In line with improvement practice each of us will approach our meetings in an organised way, having read through the relevant work, and with an aim for our meeting/ discussion.</w:t>
            </w:r>
          </w:p>
          <w:p w14:paraId="7F1E2181" w14:textId="0C39996E" w:rsidR="0091544D" w:rsidRDefault="00417C7E" w:rsidP="00213902">
            <w:r w:rsidRPr="00417C7E">
              <w:t>What we discuss will be confidential unless it needs to be disclosed by law or because of organisational guidelines or because it may provide a risk to yourself or to another. In the unlikely event that this situation may arise, we will discuss what actions we need to take</w:t>
            </w:r>
            <w:r w:rsidR="00BF7142">
              <w:t>.</w:t>
            </w:r>
          </w:p>
          <w:p w14:paraId="0321138C" w14:textId="77777777" w:rsidR="005F61CE" w:rsidRDefault="005F61CE" w:rsidP="00213902"/>
          <w:p w14:paraId="26F790EB" w14:textId="77777777" w:rsidR="00ED4A01" w:rsidRDefault="00ED4A01" w:rsidP="00213902"/>
        </w:tc>
      </w:tr>
      <w:tr w:rsidR="00897F94" w14:paraId="0E8AE0AF" w14:textId="77777777" w:rsidTr="00213902">
        <w:tc>
          <w:tcPr>
            <w:tcW w:w="4621" w:type="dxa"/>
          </w:tcPr>
          <w:p w14:paraId="69DB2E23" w14:textId="2B3A664D" w:rsidR="00897F94" w:rsidRDefault="00166A40" w:rsidP="00213902">
            <w:r>
              <w:t>Mentor</w:t>
            </w:r>
            <w:bookmarkStart w:id="0" w:name="_GoBack"/>
            <w:bookmarkEnd w:id="0"/>
            <w:r w:rsidR="005F61CE">
              <w:t xml:space="preserve"> signature</w:t>
            </w:r>
          </w:p>
        </w:tc>
        <w:tc>
          <w:tcPr>
            <w:tcW w:w="4621" w:type="dxa"/>
          </w:tcPr>
          <w:p w14:paraId="1885E629" w14:textId="1B74FF03" w:rsidR="00897F94" w:rsidRDefault="00497788" w:rsidP="00213902">
            <w:r>
              <w:t>QI Practitioner</w:t>
            </w:r>
            <w:r w:rsidR="005F61CE">
              <w:t xml:space="preserve"> signature</w:t>
            </w:r>
          </w:p>
          <w:p w14:paraId="63DB7D85" w14:textId="77777777" w:rsidR="00ED4A01" w:rsidRDefault="00ED4A01" w:rsidP="00213902"/>
          <w:p w14:paraId="766B5438" w14:textId="77777777" w:rsidR="00ED4A01" w:rsidRDefault="00ED4A01" w:rsidP="00213902"/>
        </w:tc>
      </w:tr>
      <w:tr w:rsidR="005F61CE" w14:paraId="296CD31F" w14:textId="77777777" w:rsidTr="00213902">
        <w:tc>
          <w:tcPr>
            <w:tcW w:w="9242" w:type="dxa"/>
            <w:gridSpan w:val="2"/>
          </w:tcPr>
          <w:p w14:paraId="00DA4244" w14:textId="77777777" w:rsidR="005F61CE" w:rsidRDefault="005F61CE" w:rsidP="00213902">
            <w:r>
              <w:t>Date</w:t>
            </w:r>
          </w:p>
          <w:p w14:paraId="502CD004" w14:textId="77777777" w:rsidR="00ED4A01" w:rsidRDefault="00ED4A01" w:rsidP="00213902"/>
          <w:p w14:paraId="623514D3" w14:textId="77777777" w:rsidR="00ED4A01" w:rsidRDefault="00ED4A01" w:rsidP="00213902"/>
        </w:tc>
      </w:tr>
    </w:tbl>
    <w:p w14:paraId="52707CC8" w14:textId="1FB7606F" w:rsidR="005F61CE" w:rsidRDefault="00213902"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893F861" wp14:editId="59ADDA73">
            <wp:simplePos x="0" y="0"/>
            <wp:positionH relativeFrom="column">
              <wp:posOffset>-44450</wp:posOffset>
            </wp:positionH>
            <wp:positionV relativeFrom="paragraph">
              <wp:posOffset>1270</wp:posOffset>
            </wp:positionV>
            <wp:extent cx="3357880" cy="7543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A logo 2016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8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</w:t>
      </w:r>
      <w:r>
        <w:rPr>
          <w:noProof/>
          <w:color w:val="0000FF"/>
        </w:rPr>
        <w:drawing>
          <wp:inline distT="0" distB="0" distL="0" distR="0" wp14:anchorId="24CCE6AA" wp14:editId="63B9DD40">
            <wp:extent cx="1143000" cy="1143000"/>
            <wp:effectExtent l="0" t="0" r="0" b="0"/>
            <wp:docPr id="3" name="irc_mi" descr="Image result for CLEAR coaching method scotlan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EAR coaching method scotlan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406FF74C" w14:textId="77777777" w:rsidR="005F61CE" w:rsidRPr="005F61CE" w:rsidRDefault="005F61CE" w:rsidP="005F61CE">
      <w:pPr>
        <w:spacing w:after="120"/>
        <w:jc w:val="center"/>
        <w:rPr>
          <w:sz w:val="24"/>
          <w:szCs w:val="24"/>
          <w:u w:val="single"/>
        </w:rPr>
      </w:pPr>
      <w:r w:rsidRPr="005F61CE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  <w:t>C</w:t>
      </w:r>
      <w:r w:rsidRPr="005F61CE">
        <w:rPr>
          <w:rFonts w:eastAsia="Times New Roman" w:cs="Times New Roman"/>
          <w:color w:val="000000"/>
          <w:sz w:val="24"/>
          <w:szCs w:val="24"/>
          <w:u w:val="single"/>
          <w:lang w:eastAsia="en-GB"/>
        </w:rPr>
        <w:t xml:space="preserve">ontracting, </w:t>
      </w:r>
      <w:r w:rsidRPr="005F61CE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  <w:t>L</w:t>
      </w:r>
      <w:r w:rsidRPr="005F61CE">
        <w:rPr>
          <w:rFonts w:eastAsia="Times New Roman" w:cs="Times New Roman"/>
          <w:color w:val="000000"/>
          <w:sz w:val="24"/>
          <w:szCs w:val="24"/>
          <w:u w:val="single"/>
          <w:lang w:eastAsia="en-GB"/>
        </w:rPr>
        <w:t xml:space="preserve">istening </w:t>
      </w:r>
      <w:r w:rsidRPr="005F61CE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  <w:t>E</w:t>
      </w:r>
      <w:r w:rsidRPr="005F61CE">
        <w:rPr>
          <w:rFonts w:eastAsia="Times New Roman" w:cs="Times New Roman"/>
          <w:color w:val="000000"/>
          <w:sz w:val="24"/>
          <w:szCs w:val="24"/>
          <w:u w:val="single"/>
          <w:lang w:eastAsia="en-GB"/>
        </w:rPr>
        <w:t xml:space="preserve">xploring </w:t>
      </w:r>
      <w:r w:rsidRPr="005F61CE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  <w:t>A</w:t>
      </w:r>
      <w:r w:rsidRPr="005F61CE">
        <w:rPr>
          <w:rFonts w:eastAsia="Times New Roman" w:cs="Times New Roman"/>
          <w:color w:val="000000"/>
          <w:sz w:val="24"/>
          <w:szCs w:val="24"/>
          <w:u w:val="single"/>
          <w:lang w:eastAsia="en-GB"/>
        </w:rPr>
        <w:t xml:space="preserve">ction </w:t>
      </w:r>
      <w:r w:rsidRPr="005F61CE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  <w:t>R</w:t>
      </w:r>
      <w:r w:rsidRPr="005F61CE">
        <w:rPr>
          <w:rFonts w:eastAsia="Times New Roman" w:cs="Times New Roman"/>
          <w:color w:val="000000"/>
          <w:sz w:val="24"/>
          <w:szCs w:val="24"/>
          <w:u w:val="single"/>
          <w:lang w:eastAsia="en-GB"/>
        </w:rPr>
        <w:t>eview</w:t>
      </w:r>
    </w:p>
    <w:p w14:paraId="226EF501" w14:textId="77777777" w:rsidR="005F61CE" w:rsidRPr="005F61CE" w:rsidRDefault="005F61CE" w:rsidP="005F61CE">
      <w:pPr>
        <w:spacing w:before="120" w:after="210" w:line="240" w:lineRule="auto"/>
        <w:ind w:left="720"/>
        <w:contextualSpacing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 w:rsidRPr="005F61CE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Contracting</w:t>
      </w:r>
    </w:p>
    <w:p w14:paraId="15B9EB67" w14:textId="07D182BA" w:rsidR="005F61CE" w:rsidRDefault="005F61CE" w:rsidP="005F61C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F61C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Here you are not only helping your </w:t>
      </w:r>
      <w:r w:rsidR="00497788">
        <w:rPr>
          <w:rFonts w:eastAsia="Times New Roman" w:cs="Times New Roman"/>
          <w:color w:val="000000"/>
          <w:sz w:val="24"/>
          <w:szCs w:val="24"/>
          <w:lang w:eastAsia="en-GB"/>
        </w:rPr>
        <w:t>QI Practitioner</w:t>
      </w:r>
      <w:r w:rsidRPr="005F61C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establish what outcomes they want to achieve as a result of coaching you are also opening up the discussion, establishing the scope of the coaching and setting ground rules for working together. </w:t>
      </w:r>
    </w:p>
    <w:p w14:paraId="0B90DEF5" w14:textId="77777777" w:rsidR="00BF7142" w:rsidRPr="005F61CE" w:rsidRDefault="00BF7142" w:rsidP="00BF7142">
      <w:pPr>
        <w:spacing w:before="100" w:beforeAutospacing="1" w:after="100" w:afterAutospacing="1" w:line="240" w:lineRule="auto"/>
        <w:ind w:left="720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18887F33" w14:textId="77777777" w:rsidR="005F61CE" w:rsidRPr="005F61CE" w:rsidRDefault="005F61CE" w:rsidP="005F61CE">
      <w:pPr>
        <w:spacing w:before="120" w:after="210" w:line="240" w:lineRule="auto"/>
        <w:ind w:left="720"/>
        <w:contextualSpacing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 w:rsidRPr="005F61CE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Listening</w:t>
      </w:r>
    </w:p>
    <w:p w14:paraId="47848485" w14:textId="4FC6181F" w:rsidR="005F61CE" w:rsidRDefault="005F61CE" w:rsidP="005F61C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F61C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This stage is all about actively listening to your </w:t>
      </w:r>
      <w:r w:rsidR="00497788">
        <w:rPr>
          <w:rFonts w:eastAsia="Times New Roman" w:cs="Times New Roman"/>
          <w:color w:val="000000"/>
          <w:sz w:val="24"/>
          <w:szCs w:val="24"/>
          <w:lang w:eastAsia="en-GB"/>
        </w:rPr>
        <w:t>QI Practitioner</w:t>
      </w:r>
      <w:r w:rsidRPr="005F61C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and listening with empathy to help them to gain an understanding of their situation and personal insight. </w:t>
      </w:r>
    </w:p>
    <w:p w14:paraId="7D984329" w14:textId="77777777" w:rsidR="00BF7142" w:rsidRPr="005F61CE" w:rsidRDefault="00BF7142" w:rsidP="00BF7142">
      <w:pPr>
        <w:spacing w:before="100" w:beforeAutospacing="1" w:after="100" w:afterAutospacing="1" w:line="240" w:lineRule="auto"/>
        <w:ind w:left="720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41DCB69C" w14:textId="77777777" w:rsidR="005F61CE" w:rsidRPr="005F61CE" w:rsidRDefault="005F61CE" w:rsidP="005F61CE">
      <w:pPr>
        <w:spacing w:before="120" w:after="210" w:line="240" w:lineRule="auto"/>
        <w:ind w:left="720"/>
        <w:contextualSpacing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 w:rsidRPr="005F61CE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Exploring</w:t>
      </w:r>
    </w:p>
    <w:p w14:paraId="2BAFF0A7" w14:textId="0A7F8EEB" w:rsidR="00FC42AE" w:rsidRPr="005F61CE" w:rsidRDefault="005F61CE" w:rsidP="00FC42A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 w:rsidRPr="005F61CE">
        <w:rPr>
          <w:rFonts w:eastAsia="Times New Roman" w:cs="Times New Roman"/>
          <w:color w:val="000000"/>
          <w:sz w:val="24"/>
          <w:szCs w:val="24"/>
          <w:lang w:eastAsia="en-GB"/>
        </w:rPr>
        <w:t>This stage comprises two elements:</w:t>
      </w:r>
      <w:r w:rsidRPr="005F61CE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r w:rsidRPr="005F61CE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Exploring 1:</w:t>
      </w:r>
      <w:r w:rsidRPr="005F61C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FC42AE" w:rsidRPr="00FC42A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Helping the QI practitioner understand the personal learning and current situation regarding their improvement project. </w:t>
      </w:r>
      <w:r w:rsidR="00FC42AE" w:rsidRPr="00FC42AE">
        <w:rPr>
          <w:rFonts w:eastAsia="Times New Roman" w:cs="Times New Roman"/>
          <w:color w:val="000000"/>
          <w:sz w:val="24"/>
          <w:szCs w:val="24"/>
          <w:lang w:eastAsia="en-GB"/>
        </w:rPr>
        <w:br/>
      </w:r>
    </w:p>
    <w:p w14:paraId="4B5665C6" w14:textId="5CFE8170" w:rsidR="005F61CE" w:rsidRDefault="005F61CE" w:rsidP="00FC42AE">
      <w:pPr>
        <w:spacing w:before="100" w:beforeAutospacing="1" w:after="100" w:afterAutospacing="1" w:line="240" w:lineRule="auto"/>
        <w:ind w:left="720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F61CE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Exploring 2: </w:t>
      </w:r>
      <w:r w:rsidRPr="005F61C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Challenging the </w:t>
      </w:r>
      <w:r w:rsidR="00497788">
        <w:rPr>
          <w:rFonts w:eastAsia="Times New Roman" w:cs="Times New Roman"/>
          <w:color w:val="000000"/>
          <w:sz w:val="24"/>
          <w:szCs w:val="24"/>
          <w:lang w:eastAsia="en-GB"/>
        </w:rPr>
        <w:t>QI Practitioner</w:t>
      </w:r>
      <w:r w:rsidRPr="005F61C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to think through possibilities for future action in </w:t>
      </w:r>
      <w:r w:rsidR="00AC7C71">
        <w:rPr>
          <w:rFonts w:eastAsia="Times New Roman" w:cs="Times New Roman"/>
          <w:color w:val="000000"/>
          <w:sz w:val="24"/>
          <w:szCs w:val="24"/>
          <w:lang w:eastAsia="en-GB"/>
        </w:rPr>
        <w:t>progressing the project and their learning</w:t>
      </w:r>
      <w:r w:rsidRPr="005F61C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</w:t>
      </w:r>
    </w:p>
    <w:p w14:paraId="4BB49AC2" w14:textId="77777777" w:rsidR="00BF7142" w:rsidRPr="005F61CE" w:rsidRDefault="00BF7142" w:rsidP="00BF7142">
      <w:pPr>
        <w:spacing w:before="100" w:beforeAutospacing="1" w:after="100" w:afterAutospacing="1" w:line="240" w:lineRule="auto"/>
        <w:ind w:left="720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4C8B345F" w14:textId="77777777" w:rsidR="005F61CE" w:rsidRPr="005F61CE" w:rsidRDefault="005F61CE" w:rsidP="005F61CE">
      <w:pPr>
        <w:spacing w:before="120" w:after="210" w:line="240" w:lineRule="auto"/>
        <w:ind w:left="720"/>
        <w:contextualSpacing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 w:rsidRPr="005F61CE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Action</w:t>
      </w:r>
    </w:p>
    <w:p w14:paraId="1364F961" w14:textId="6AA1EF9F" w:rsidR="005F61CE" w:rsidRDefault="005F61CE" w:rsidP="005F61C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F61C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At this stage you are supporting the </w:t>
      </w:r>
      <w:r w:rsidR="00497788">
        <w:rPr>
          <w:rFonts w:eastAsia="Times New Roman" w:cs="Times New Roman"/>
          <w:color w:val="000000"/>
          <w:sz w:val="24"/>
          <w:szCs w:val="24"/>
          <w:lang w:eastAsia="en-GB"/>
        </w:rPr>
        <w:t>QI Practitioner</w:t>
      </w:r>
      <w:r w:rsidRPr="005F61C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in choosing a way ahead and deciding the next step. </w:t>
      </w:r>
    </w:p>
    <w:p w14:paraId="61729D39" w14:textId="77777777" w:rsidR="00BF7142" w:rsidRPr="005F61CE" w:rsidRDefault="00BF7142" w:rsidP="00BF7142">
      <w:pPr>
        <w:spacing w:before="100" w:beforeAutospacing="1" w:after="100" w:afterAutospacing="1" w:line="240" w:lineRule="auto"/>
        <w:ind w:left="720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23BFC20D" w14:textId="77777777" w:rsidR="005F61CE" w:rsidRPr="005F61CE" w:rsidRDefault="005F61CE" w:rsidP="005F61CE">
      <w:pPr>
        <w:spacing w:before="120" w:after="210" w:line="240" w:lineRule="auto"/>
        <w:ind w:left="720"/>
        <w:contextualSpacing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 w:rsidRPr="005F61CE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Review</w:t>
      </w:r>
    </w:p>
    <w:p w14:paraId="0E842EF6" w14:textId="05418EF4" w:rsidR="005F61CE" w:rsidRPr="005F61CE" w:rsidRDefault="00E006A6" w:rsidP="005F61C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F61CE">
        <w:rPr>
          <w:rFonts w:eastAsia="Times New Roman" w:cs="Times New Roman"/>
          <w:color w:val="000000"/>
          <w:sz w:val="24"/>
          <w:szCs w:val="24"/>
          <w:lang w:eastAsia="en-GB"/>
        </w:rPr>
        <w:t>Finally,</w:t>
      </w:r>
      <w:r w:rsidR="005F61CE" w:rsidRPr="005F61C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this is about closing the session, reinforcing ground covered, decisions made and value added.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5F61CE" w:rsidRPr="005F61C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As a coach you are also encouraging feedback from your </w:t>
      </w:r>
      <w:r w:rsidR="00497788">
        <w:rPr>
          <w:rFonts w:eastAsia="Times New Roman" w:cs="Times New Roman"/>
          <w:color w:val="000000"/>
          <w:sz w:val="24"/>
          <w:szCs w:val="24"/>
          <w:lang w:eastAsia="en-GB"/>
        </w:rPr>
        <w:t>QI Practitioner</w:t>
      </w:r>
      <w:r w:rsidR="005F61CE" w:rsidRPr="005F61C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on what was helpful about the coaching process, what was difficult and what they would like to be different in future coaching sessions.</w:t>
      </w:r>
    </w:p>
    <w:p w14:paraId="000A5CBA" w14:textId="77777777" w:rsidR="005F61CE" w:rsidRDefault="005F61CE"/>
    <w:sectPr w:rsidR="005F6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C3855"/>
    <w:multiLevelType w:val="multilevel"/>
    <w:tmpl w:val="C200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F94"/>
    <w:rsid w:val="00166A40"/>
    <w:rsid w:val="001E4FEA"/>
    <w:rsid w:val="00213902"/>
    <w:rsid w:val="00417C7E"/>
    <w:rsid w:val="00421F79"/>
    <w:rsid w:val="00497788"/>
    <w:rsid w:val="005F61CE"/>
    <w:rsid w:val="00897F94"/>
    <w:rsid w:val="0091544D"/>
    <w:rsid w:val="00A82115"/>
    <w:rsid w:val="00AC7C71"/>
    <w:rsid w:val="00AE0E23"/>
    <w:rsid w:val="00B60BC6"/>
    <w:rsid w:val="00BF1F25"/>
    <w:rsid w:val="00BF7142"/>
    <w:rsid w:val="00E006A6"/>
    <w:rsid w:val="00ED4A01"/>
    <w:rsid w:val="00FC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18FC9"/>
  <w15:docId w15:val="{EC26D443-6503-45F7-AEC5-C8797E0B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ahUKEwilr8qT8efTAhVJPxoKHWmZAn8QjRwIBw&amp;url=http://blessingwhite.com/model/2016/05/17/clear-coaching-model/&amp;psig=AFQjCNEX3QHMdymKiiS8HTJeUod9fCWnLQ&amp;ust=149459359284237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ACVO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mhepburn</dc:creator>
  <cp:lastModifiedBy>Sacha Will</cp:lastModifiedBy>
  <cp:revision>12</cp:revision>
  <dcterms:created xsi:type="dcterms:W3CDTF">2019-01-14T14:53:00Z</dcterms:created>
  <dcterms:modified xsi:type="dcterms:W3CDTF">2019-09-18T12:27:00Z</dcterms:modified>
</cp:coreProperties>
</file>