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C240" w14:textId="36A44094" w:rsidR="00512D50" w:rsidRDefault="00512D50" w:rsidP="007409B9">
      <w:pPr>
        <w:pStyle w:val="ListParagraph"/>
        <w:spacing w:after="0" w:line="240" w:lineRule="auto"/>
        <w:ind w:left="0"/>
        <w:rPr>
          <w:color w:val="31849B" w:themeColor="accent5" w:themeShade="BF"/>
          <w:sz w:val="24"/>
          <w:szCs w:val="24"/>
        </w:rPr>
      </w:pPr>
    </w:p>
    <w:p w14:paraId="73267D9E" w14:textId="56A31957" w:rsidR="00B409E5" w:rsidRPr="00B409E5" w:rsidRDefault="00B409E5" w:rsidP="00B409E5">
      <w:pPr>
        <w:spacing w:after="0" w:line="240" w:lineRule="auto"/>
        <w:textAlignment w:val="baseline"/>
        <w:rPr>
          <w:rFonts w:ascii="Arial" w:eastAsia="Times New Roman" w:hAnsi="Arial" w:cs="Arial"/>
          <w:b/>
          <w:bCs/>
          <w:sz w:val="28"/>
          <w:szCs w:val="28"/>
          <w:lang w:eastAsia="en-GB"/>
        </w:rPr>
      </w:pPr>
      <w:bookmarkStart w:id="0" w:name="_Hlk9241763"/>
      <w:r>
        <w:rPr>
          <w:rFonts w:ascii="Arial" w:eastAsia="Times New Roman" w:hAnsi="Arial" w:cs="Arial"/>
          <w:b/>
          <w:bCs/>
          <w:sz w:val="28"/>
          <w:szCs w:val="28"/>
          <w:lang w:eastAsia="en-GB"/>
        </w:rPr>
        <w:t>14.</w:t>
      </w:r>
      <w:r w:rsidRPr="00B409E5">
        <w:rPr>
          <w:rFonts w:ascii="Arial" w:eastAsia="Times New Roman" w:hAnsi="Arial" w:cs="Arial"/>
          <w:b/>
          <w:bCs/>
          <w:sz w:val="28"/>
          <w:szCs w:val="28"/>
          <w:lang w:eastAsia="en-GB"/>
        </w:rPr>
        <w:t xml:space="preserve">1 Community </w:t>
      </w:r>
      <w:r>
        <w:rPr>
          <w:rFonts w:ascii="Arial" w:eastAsia="Times New Roman" w:hAnsi="Arial" w:cs="Arial"/>
          <w:b/>
          <w:bCs/>
          <w:sz w:val="28"/>
          <w:szCs w:val="28"/>
          <w:lang w:eastAsia="en-GB"/>
        </w:rPr>
        <w:t>Resilience Plans</w:t>
      </w:r>
    </w:p>
    <w:p w14:paraId="26AE1627" w14:textId="77777777" w:rsidR="00B409E5" w:rsidRPr="00B409E5" w:rsidRDefault="00B409E5" w:rsidP="00B409E5">
      <w:pPr>
        <w:spacing w:after="0" w:line="240" w:lineRule="auto"/>
        <w:rPr>
          <w:rFonts w:ascii="Calibri" w:eastAsia="Times New Roman" w:hAnsi="Calibri" w:cs="Times New Roman"/>
          <w:color w:val="000000"/>
          <w:lang w:eastAsia="en-GB"/>
        </w:rPr>
      </w:pPr>
    </w:p>
    <w:tbl>
      <w:tblPr>
        <w:tblStyle w:val="TableGrid"/>
        <w:tblW w:w="9214" w:type="dxa"/>
        <w:tblInd w:w="-5" w:type="dxa"/>
        <w:tblLook w:val="04A0" w:firstRow="1" w:lastRow="0" w:firstColumn="1" w:lastColumn="0" w:noHBand="0" w:noVBand="1"/>
      </w:tblPr>
      <w:tblGrid>
        <w:gridCol w:w="9214"/>
      </w:tblGrid>
      <w:tr w:rsidR="0017662E" w14:paraId="07886C89" w14:textId="77777777" w:rsidTr="0011681D">
        <w:tc>
          <w:tcPr>
            <w:tcW w:w="9214" w:type="dxa"/>
          </w:tcPr>
          <w:bookmarkEnd w:id="0"/>
          <w:p w14:paraId="3C93A75D" w14:textId="2869DD52" w:rsidR="0017662E" w:rsidRPr="0011681D" w:rsidRDefault="0017662E" w:rsidP="00E50CCB">
            <w:pPr>
              <w:pStyle w:val="ListParagraph"/>
              <w:ind w:left="0"/>
              <w:rPr>
                <w:b/>
                <w:szCs w:val="24"/>
              </w:rPr>
            </w:pPr>
            <w:r w:rsidRPr="0011681D">
              <w:rPr>
                <w:b/>
                <w:szCs w:val="24"/>
              </w:rPr>
              <w:t>Improvement Project Title:</w:t>
            </w:r>
            <w:r w:rsidR="006B4EFD" w:rsidRPr="0011681D">
              <w:rPr>
                <w:b/>
                <w:szCs w:val="24"/>
              </w:rPr>
              <w:t xml:space="preserve"> </w:t>
            </w:r>
            <w:r w:rsidR="007D6508" w:rsidRPr="0011681D">
              <w:rPr>
                <w:b/>
                <w:szCs w:val="24"/>
              </w:rPr>
              <w:t xml:space="preserve"> </w:t>
            </w:r>
            <w:r w:rsidR="007D6508" w:rsidRPr="00EF3813">
              <w:rPr>
                <w:szCs w:val="24"/>
              </w:rPr>
              <w:t xml:space="preserve">Community Led Resilience Planning </w:t>
            </w:r>
            <w:r w:rsidR="00FB6F7F" w:rsidRPr="00EF3813">
              <w:rPr>
                <w:szCs w:val="24"/>
              </w:rPr>
              <w:t>in Vulnerable Areas</w:t>
            </w:r>
            <w:r w:rsidR="00BB0589" w:rsidRPr="00EF3813">
              <w:rPr>
                <w:szCs w:val="24"/>
              </w:rPr>
              <w:t xml:space="preserve"> </w:t>
            </w:r>
          </w:p>
        </w:tc>
      </w:tr>
      <w:tr w:rsidR="0017662E" w14:paraId="1BBD924F" w14:textId="77777777" w:rsidTr="0011681D">
        <w:tc>
          <w:tcPr>
            <w:tcW w:w="9214" w:type="dxa"/>
          </w:tcPr>
          <w:p w14:paraId="2D7E5B19" w14:textId="77777777" w:rsidR="00EF3813" w:rsidRDefault="0017662E" w:rsidP="00E50CCB">
            <w:pPr>
              <w:pStyle w:val="ListParagraph"/>
              <w:ind w:left="0"/>
              <w:rPr>
                <w:b/>
                <w:szCs w:val="24"/>
              </w:rPr>
            </w:pPr>
            <w:r w:rsidRPr="0011681D">
              <w:rPr>
                <w:b/>
                <w:szCs w:val="24"/>
              </w:rPr>
              <w:t>Executive Sponsor (Chair of Outcome Improvement Group):</w:t>
            </w:r>
            <w:r w:rsidR="006B4EFD" w:rsidRPr="0011681D">
              <w:rPr>
                <w:b/>
                <w:szCs w:val="24"/>
              </w:rPr>
              <w:t xml:space="preserve"> </w:t>
            </w:r>
            <w:r w:rsidR="00FB6F7F" w:rsidRPr="0011681D">
              <w:rPr>
                <w:b/>
                <w:szCs w:val="24"/>
              </w:rPr>
              <w:t xml:space="preserve"> </w:t>
            </w:r>
          </w:p>
          <w:p w14:paraId="17B87DC4" w14:textId="2E41CDBB" w:rsidR="0017662E" w:rsidRPr="0011681D" w:rsidRDefault="00FB6F7F" w:rsidP="00E50CCB">
            <w:pPr>
              <w:pStyle w:val="ListParagraph"/>
              <w:ind w:left="0"/>
              <w:rPr>
                <w:b/>
                <w:szCs w:val="24"/>
              </w:rPr>
            </w:pPr>
            <w:r w:rsidRPr="00EF3813">
              <w:rPr>
                <w:szCs w:val="24"/>
              </w:rPr>
              <w:t>Jillian Evans</w:t>
            </w:r>
            <w:r w:rsidR="00EF3813">
              <w:rPr>
                <w:szCs w:val="24"/>
              </w:rPr>
              <w:t>, Chair of Sustainable City Group</w:t>
            </w:r>
          </w:p>
        </w:tc>
      </w:tr>
      <w:tr w:rsidR="0017662E" w14:paraId="45CD0979" w14:textId="77777777" w:rsidTr="0011681D">
        <w:tc>
          <w:tcPr>
            <w:tcW w:w="9214" w:type="dxa"/>
          </w:tcPr>
          <w:p w14:paraId="52A2ACD3" w14:textId="3E39331A" w:rsidR="0017662E" w:rsidRPr="0011681D" w:rsidRDefault="0017662E" w:rsidP="00B32270">
            <w:pPr>
              <w:pStyle w:val="ListParagraph"/>
              <w:ind w:left="0"/>
              <w:rPr>
                <w:b/>
                <w:szCs w:val="24"/>
              </w:rPr>
            </w:pPr>
            <w:r w:rsidRPr="0011681D">
              <w:rPr>
                <w:b/>
                <w:szCs w:val="24"/>
              </w:rPr>
              <w:t>Project Lead:</w:t>
            </w:r>
            <w:r w:rsidR="006B4EFD" w:rsidRPr="0011681D">
              <w:rPr>
                <w:b/>
                <w:szCs w:val="24"/>
              </w:rPr>
              <w:t xml:space="preserve"> </w:t>
            </w:r>
            <w:r w:rsidR="006519DD">
              <w:rPr>
                <w:b/>
                <w:szCs w:val="24"/>
              </w:rPr>
              <w:t>Dawn Shultz (Interim Lead Andy Buchan, SFRS)</w:t>
            </w:r>
          </w:p>
        </w:tc>
      </w:tr>
      <w:tr w:rsidR="007409B9" w14:paraId="595DFFF3" w14:textId="77777777" w:rsidTr="0011681D">
        <w:tc>
          <w:tcPr>
            <w:tcW w:w="9214" w:type="dxa"/>
          </w:tcPr>
          <w:p w14:paraId="2344C498" w14:textId="486F5DC1" w:rsidR="00D62926" w:rsidRPr="00B409E5" w:rsidRDefault="007409B9" w:rsidP="007409B9">
            <w:pPr>
              <w:pStyle w:val="ListParagraph"/>
              <w:ind w:left="0"/>
              <w:rPr>
                <w:b/>
                <w:szCs w:val="24"/>
              </w:rPr>
            </w:pPr>
            <w:r w:rsidRPr="00B409E5">
              <w:rPr>
                <w:b/>
                <w:szCs w:val="24"/>
              </w:rPr>
              <w:t xml:space="preserve">Aim statement </w:t>
            </w:r>
          </w:p>
          <w:p w14:paraId="5BFE59E0" w14:textId="77777777" w:rsidR="006519DD" w:rsidRPr="00B409E5" w:rsidRDefault="00D62926" w:rsidP="007409B9">
            <w:pPr>
              <w:pStyle w:val="ListParagraph"/>
              <w:ind w:left="0"/>
              <w:rPr>
                <w:szCs w:val="24"/>
              </w:rPr>
            </w:pPr>
            <w:r w:rsidRPr="00B409E5">
              <w:rPr>
                <w:szCs w:val="24"/>
              </w:rPr>
              <w:t>Establish “community led and owned” resilience plans in areas that are most vulnerable to flooding and severe weather</w:t>
            </w:r>
            <w:r w:rsidR="006927F3" w:rsidRPr="00B409E5">
              <w:rPr>
                <w:szCs w:val="24"/>
              </w:rPr>
              <w:t xml:space="preserve">, identified as </w:t>
            </w:r>
            <w:r w:rsidRPr="00B409E5">
              <w:rPr>
                <w:szCs w:val="24"/>
              </w:rPr>
              <w:t>Deeside, Peterculter, Bridge of Don and Denmore</w:t>
            </w:r>
            <w:r w:rsidR="00A027B6" w:rsidRPr="00B409E5">
              <w:rPr>
                <w:szCs w:val="24"/>
              </w:rPr>
              <w:t xml:space="preserve"> by 2021</w:t>
            </w:r>
            <w:r w:rsidRPr="00B409E5">
              <w:rPr>
                <w:szCs w:val="24"/>
              </w:rPr>
              <w:t xml:space="preserve">.  </w:t>
            </w:r>
          </w:p>
          <w:p w14:paraId="49E63C83" w14:textId="77777777" w:rsidR="006519DD" w:rsidRPr="00B409E5" w:rsidRDefault="006519DD" w:rsidP="007409B9">
            <w:pPr>
              <w:pStyle w:val="ListParagraph"/>
              <w:ind w:left="0"/>
              <w:rPr>
                <w:szCs w:val="24"/>
              </w:rPr>
            </w:pPr>
          </w:p>
          <w:p w14:paraId="5854E998" w14:textId="77777777" w:rsidR="00D62926" w:rsidRPr="00B409E5" w:rsidRDefault="00A027B6" w:rsidP="00A027B6">
            <w:pPr>
              <w:rPr>
                <w:szCs w:val="24"/>
              </w:rPr>
            </w:pPr>
            <w:r w:rsidRPr="00B409E5">
              <w:rPr>
                <w:szCs w:val="24"/>
              </w:rPr>
              <w:t>Community Resilience Plans Baseline 2019/20 = 0</w:t>
            </w:r>
          </w:p>
          <w:p w14:paraId="0FA573F4" w14:textId="7A1E073C" w:rsidR="00A027B6" w:rsidRPr="00B409E5" w:rsidRDefault="00A027B6" w:rsidP="00DA0FF6">
            <w:pPr>
              <w:rPr>
                <w:b/>
                <w:szCs w:val="24"/>
              </w:rPr>
            </w:pPr>
            <w:r w:rsidRPr="00B409E5">
              <w:rPr>
                <w:szCs w:val="24"/>
              </w:rPr>
              <w:t>Target 2021 = 4</w:t>
            </w:r>
          </w:p>
        </w:tc>
      </w:tr>
      <w:tr w:rsidR="0017662E" w14:paraId="03B0863B" w14:textId="77777777" w:rsidTr="0011681D">
        <w:tc>
          <w:tcPr>
            <w:tcW w:w="9214" w:type="dxa"/>
          </w:tcPr>
          <w:p w14:paraId="063102D8" w14:textId="03F32D57" w:rsidR="0017662E" w:rsidRPr="00B409E5" w:rsidRDefault="0017662E" w:rsidP="0017662E">
            <w:pPr>
              <w:pStyle w:val="ListParagraph"/>
              <w:ind w:left="0"/>
              <w:rPr>
                <w:b/>
                <w:szCs w:val="24"/>
              </w:rPr>
            </w:pPr>
            <w:r w:rsidRPr="00B409E5">
              <w:rPr>
                <w:b/>
                <w:szCs w:val="24"/>
              </w:rPr>
              <w:t>Link to Local Outcome Improvement Plan:</w:t>
            </w:r>
          </w:p>
          <w:p w14:paraId="2146CBB9" w14:textId="09A5F3AA" w:rsidR="00736F9A" w:rsidRPr="00B409E5" w:rsidRDefault="00344B3F" w:rsidP="0017662E">
            <w:pPr>
              <w:pStyle w:val="ListParagraph"/>
              <w:ind w:left="0"/>
              <w:rPr>
                <w:szCs w:val="24"/>
              </w:rPr>
            </w:pPr>
            <w:r w:rsidRPr="00B409E5">
              <w:rPr>
                <w:szCs w:val="24"/>
              </w:rPr>
              <w:t xml:space="preserve">This project </w:t>
            </w:r>
            <w:r w:rsidR="00A027B6" w:rsidRPr="00B409E5">
              <w:rPr>
                <w:szCs w:val="24"/>
              </w:rPr>
              <w:t xml:space="preserve">relates </w:t>
            </w:r>
            <w:r w:rsidRPr="00B409E5">
              <w:rPr>
                <w:szCs w:val="24"/>
              </w:rPr>
              <w:t xml:space="preserve">to stretch outcome 14 </w:t>
            </w:r>
            <w:r w:rsidR="00A027B6" w:rsidRPr="00B409E5">
              <w:rPr>
                <w:szCs w:val="24"/>
              </w:rPr>
              <w:t xml:space="preserve">under Prosperous Place, </w:t>
            </w:r>
            <w:r w:rsidRPr="00B409E5">
              <w:rPr>
                <w:szCs w:val="24"/>
              </w:rPr>
              <w:t>by adapting to the effects of our changing climate.</w:t>
            </w:r>
            <w:r w:rsidR="00A027B6" w:rsidRPr="00B409E5">
              <w:rPr>
                <w:szCs w:val="24"/>
              </w:rPr>
              <w:t xml:space="preserve"> </w:t>
            </w:r>
            <w:r w:rsidR="0037159B" w:rsidRPr="00B409E5">
              <w:rPr>
                <w:szCs w:val="24"/>
              </w:rPr>
              <w:t xml:space="preserve"> Ideally we would like the project to include collective mitigating efforts such as emission reduction, but acknowledge that this may occur as the project matures and evolves.</w:t>
            </w:r>
          </w:p>
          <w:p w14:paraId="15A14622" w14:textId="77777777" w:rsidR="0024305D" w:rsidRPr="00B409E5" w:rsidRDefault="0024305D" w:rsidP="00734D71">
            <w:pPr>
              <w:autoSpaceDE w:val="0"/>
              <w:autoSpaceDN w:val="0"/>
              <w:adjustRightInd w:val="0"/>
              <w:rPr>
                <w:szCs w:val="24"/>
              </w:rPr>
            </w:pPr>
          </w:p>
          <w:p w14:paraId="48AF30E2" w14:textId="77777777" w:rsidR="00A027B6" w:rsidRPr="00B409E5" w:rsidRDefault="00A027B6" w:rsidP="00734D71">
            <w:pPr>
              <w:autoSpaceDE w:val="0"/>
              <w:autoSpaceDN w:val="0"/>
              <w:adjustRightInd w:val="0"/>
              <w:rPr>
                <w:szCs w:val="24"/>
              </w:rPr>
            </w:pPr>
            <w:r w:rsidRPr="00B409E5">
              <w:rPr>
                <w:szCs w:val="24"/>
              </w:rPr>
              <w:t>Key driver 14.2 is to develop a bottom up approach to community resilience to encourage greater ownership and independent action towards preventing and mitigating the impact of climate change.</w:t>
            </w:r>
          </w:p>
          <w:p w14:paraId="477F8F7D" w14:textId="3FD4257E" w:rsidR="00A027B6" w:rsidRPr="00B409E5" w:rsidRDefault="00A027B6" w:rsidP="00734D71">
            <w:pPr>
              <w:autoSpaceDE w:val="0"/>
              <w:autoSpaceDN w:val="0"/>
              <w:adjustRightInd w:val="0"/>
              <w:rPr>
                <w:szCs w:val="24"/>
              </w:rPr>
            </w:pPr>
          </w:p>
        </w:tc>
      </w:tr>
      <w:tr w:rsidR="0017662E" w14:paraId="0AB8F10A" w14:textId="77777777" w:rsidTr="0011681D">
        <w:tc>
          <w:tcPr>
            <w:tcW w:w="9214" w:type="dxa"/>
          </w:tcPr>
          <w:p w14:paraId="13ABD873" w14:textId="77777777" w:rsidR="00EF3813" w:rsidRPr="00F03AD8" w:rsidRDefault="00EF3813" w:rsidP="00EF3813">
            <w:pPr>
              <w:pStyle w:val="ListParagraph"/>
              <w:ind w:left="0"/>
              <w:rPr>
                <w:b/>
                <w:color w:val="000000" w:themeColor="text1"/>
                <w:sz w:val="24"/>
                <w:szCs w:val="24"/>
              </w:rPr>
            </w:pPr>
            <w:r w:rsidRPr="00F03AD8">
              <w:rPr>
                <w:b/>
                <w:color w:val="000000" w:themeColor="text1"/>
                <w:sz w:val="24"/>
                <w:szCs w:val="24"/>
              </w:rPr>
              <w:t xml:space="preserve">Why is this important? </w:t>
            </w:r>
          </w:p>
          <w:p w14:paraId="2A32E4C5" w14:textId="77777777" w:rsidR="00A027B6" w:rsidRPr="0011681D" w:rsidRDefault="00A027B6" w:rsidP="007409B9">
            <w:pPr>
              <w:pStyle w:val="ListParagraph"/>
              <w:ind w:left="0"/>
              <w:rPr>
                <w:b/>
                <w:szCs w:val="24"/>
              </w:rPr>
            </w:pPr>
          </w:p>
          <w:p w14:paraId="7D7F343A" w14:textId="77777777" w:rsidR="00A027B6" w:rsidRPr="00EF3813" w:rsidRDefault="00A027B6" w:rsidP="007409B9">
            <w:pPr>
              <w:pStyle w:val="ListParagraph"/>
              <w:ind w:left="0"/>
              <w:rPr>
                <w:szCs w:val="24"/>
              </w:rPr>
            </w:pPr>
            <w:r w:rsidRPr="00EF3813">
              <w:rPr>
                <w:szCs w:val="24"/>
              </w:rPr>
              <w:t>Extract from LOIP 2019</w:t>
            </w:r>
          </w:p>
          <w:p w14:paraId="14038D09" w14:textId="77777777" w:rsidR="00A027B6" w:rsidRPr="0011681D" w:rsidRDefault="00A027B6" w:rsidP="007409B9">
            <w:pPr>
              <w:pStyle w:val="ListParagraph"/>
              <w:ind w:left="0"/>
              <w:rPr>
                <w:b/>
                <w:szCs w:val="24"/>
              </w:rPr>
            </w:pPr>
          </w:p>
          <w:p w14:paraId="0CD4CEBC" w14:textId="46854405" w:rsidR="00A027B6" w:rsidRPr="0011681D" w:rsidRDefault="00A027B6" w:rsidP="007409B9">
            <w:pPr>
              <w:pStyle w:val="ListParagraph"/>
              <w:ind w:left="0"/>
              <w:rPr>
                <w:b/>
                <w:i/>
                <w:szCs w:val="24"/>
              </w:rPr>
            </w:pPr>
            <w:r w:rsidRPr="0011681D">
              <w:rPr>
                <w:b/>
                <w:i/>
                <w:szCs w:val="24"/>
              </w:rPr>
              <w:t>“Building strong and resilient communities is vital to achieve our aims and this means building capability in our communities to take more control of their own lives – economically, environmentally and socially. Listening to what matters to our communities in relation to resilience will help us to develop a bottom up approach, encouraging greater ownership and independent action. This will be supported by using and developing partner-wide intelligence, providing user-friendly materials and raising awareness of the resources that are available to help communities think about self-management and community led action.”</w:t>
            </w:r>
          </w:p>
          <w:p w14:paraId="56599C13" w14:textId="77777777" w:rsidR="00F36FEF" w:rsidRPr="0011681D" w:rsidRDefault="00F36FEF" w:rsidP="007409B9">
            <w:pPr>
              <w:pStyle w:val="ListParagraph"/>
              <w:ind w:left="0"/>
              <w:rPr>
                <w:szCs w:val="24"/>
              </w:rPr>
            </w:pPr>
          </w:p>
          <w:p w14:paraId="317D0F09" w14:textId="000BF070" w:rsidR="00FA341C" w:rsidRDefault="00FA341C" w:rsidP="009F3741">
            <w:pPr>
              <w:pStyle w:val="ListParagraph"/>
              <w:ind w:left="0"/>
              <w:rPr>
                <w:szCs w:val="24"/>
              </w:rPr>
            </w:pPr>
            <w:r w:rsidRPr="0011681D">
              <w:rPr>
                <w:szCs w:val="24"/>
              </w:rPr>
              <w:t xml:space="preserve">The fundamental rationale for this project is to achieve community resilience - the sustained ability of a community to respond to, withstand and recover from adverse situations.  </w:t>
            </w:r>
            <w:r w:rsidR="009F3741" w:rsidRPr="0011681D">
              <w:rPr>
                <w:szCs w:val="24"/>
              </w:rPr>
              <w:t xml:space="preserve">Events caused by severe weather, particularly flooding is the focus of this improvement project because it addresses current problems </w:t>
            </w:r>
            <w:r w:rsidR="005A6ABB" w:rsidRPr="0011681D">
              <w:rPr>
                <w:szCs w:val="24"/>
              </w:rPr>
              <w:t xml:space="preserve">whilst </w:t>
            </w:r>
            <w:r w:rsidR="009F3741" w:rsidRPr="0011681D">
              <w:rPr>
                <w:szCs w:val="24"/>
              </w:rPr>
              <w:t>open</w:t>
            </w:r>
            <w:r w:rsidR="005A6ABB" w:rsidRPr="0011681D">
              <w:rPr>
                <w:szCs w:val="24"/>
              </w:rPr>
              <w:t>ing</w:t>
            </w:r>
            <w:r w:rsidR="009F3741" w:rsidRPr="0011681D">
              <w:rPr>
                <w:szCs w:val="24"/>
              </w:rPr>
              <w:t xml:space="preserve"> the door to conversations about resilience more generally. </w:t>
            </w:r>
          </w:p>
          <w:p w14:paraId="6513A425" w14:textId="3D8D06C5" w:rsidR="00B409E5" w:rsidRDefault="00B409E5" w:rsidP="009F3741">
            <w:pPr>
              <w:pStyle w:val="ListParagraph"/>
              <w:ind w:left="0"/>
              <w:rPr>
                <w:szCs w:val="24"/>
              </w:rPr>
            </w:pPr>
          </w:p>
          <w:p w14:paraId="27103DCE" w14:textId="77777777" w:rsidR="00B409E5" w:rsidRDefault="00B409E5" w:rsidP="00B409E5">
            <w:pPr>
              <w:pStyle w:val="ListParagraph"/>
              <w:ind w:left="0"/>
              <w:rPr>
                <w:szCs w:val="24"/>
              </w:rPr>
            </w:pPr>
            <w:r w:rsidRPr="0011681D">
              <w:rPr>
                <w:szCs w:val="24"/>
              </w:rPr>
              <w:t>The underlying aim of th</w:t>
            </w:r>
            <w:r>
              <w:rPr>
                <w:szCs w:val="24"/>
              </w:rPr>
              <w:t xml:space="preserve">e project </w:t>
            </w:r>
            <w:r w:rsidRPr="0011681D">
              <w:rPr>
                <w:szCs w:val="24"/>
              </w:rPr>
              <w:t>is to reduce the number of people and businesses displaced from their homes and facilities due to severe weather, to minimise effects on health and well-being and to reduce the costs of damages.</w:t>
            </w:r>
          </w:p>
          <w:p w14:paraId="351FC4FA" w14:textId="77777777" w:rsidR="00B409E5" w:rsidRDefault="00B409E5" w:rsidP="00B409E5">
            <w:pPr>
              <w:pStyle w:val="ListParagraph"/>
              <w:ind w:left="0"/>
              <w:rPr>
                <w:szCs w:val="24"/>
              </w:rPr>
            </w:pPr>
          </w:p>
          <w:p w14:paraId="7317E1FD" w14:textId="005C5D32" w:rsidR="009F3741" w:rsidRPr="0011681D" w:rsidRDefault="00FA341C" w:rsidP="007409B9">
            <w:pPr>
              <w:pStyle w:val="ListParagraph"/>
              <w:ind w:left="0"/>
              <w:rPr>
                <w:szCs w:val="24"/>
              </w:rPr>
            </w:pPr>
            <w:r w:rsidRPr="0011681D">
              <w:rPr>
                <w:szCs w:val="24"/>
              </w:rPr>
              <w:t xml:space="preserve">The proposition to this improvement project is that we can </w:t>
            </w:r>
            <w:r w:rsidR="005A6ABB" w:rsidRPr="0011681D">
              <w:rPr>
                <w:szCs w:val="24"/>
              </w:rPr>
              <w:t xml:space="preserve">create a community ‘call to action’ by raising awareness, identifying and developing community champions and supporting the development of resilience plans.   The focus of these resilience plans will be how the community can work together to prevent, mitigate and respond to environmental events, particularly flooding.   </w:t>
            </w:r>
          </w:p>
          <w:p w14:paraId="681201E6" w14:textId="77777777" w:rsidR="009F3741" w:rsidRPr="0011681D" w:rsidRDefault="009F3741" w:rsidP="007409B9">
            <w:pPr>
              <w:pStyle w:val="ListParagraph"/>
              <w:ind w:left="0"/>
              <w:rPr>
                <w:szCs w:val="24"/>
              </w:rPr>
            </w:pPr>
          </w:p>
          <w:p w14:paraId="4B3E5E33" w14:textId="77777777" w:rsidR="00B409E5" w:rsidRDefault="009472E4" w:rsidP="00A027B6">
            <w:pPr>
              <w:rPr>
                <w:szCs w:val="24"/>
              </w:rPr>
            </w:pPr>
            <w:r w:rsidRPr="0011681D">
              <w:rPr>
                <w:szCs w:val="24"/>
              </w:rPr>
              <w:t xml:space="preserve">In developing and implementing </w:t>
            </w:r>
            <w:r w:rsidRPr="0011681D">
              <w:rPr>
                <w:rFonts w:ascii="Arial" w:hAnsi="Arial" w:cs="Arial"/>
                <w:sz w:val="21"/>
                <w:szCs w:val="21"/>
                <w:shd w:val="clear" w:color="auto" w:fill="FFFFFF"/>
              </w:rPr>
              <w:t>a community resilience plan, a community can come together and overcome any disaster, while rebuilding physically and economically</w:t>
            </w:r>
            <w:r w:rsidRPr="0011681D">
              <w:rPr>
                <w:rStyle w:val="FootnoteReference"/>
                <w:rFonts w:ascii="Arial" w:hAnsi="Arial" w:cs="Arial"/>
                <w:sz w:val="21"/>
                <w:szCs w:val="21"/>
                <w:shd w:val="clear" w:color="auto" w:fill="FFFFFF"/>
              </w:rPr>
              <w:footnoteReference w:id="1"/>
            </w:r>
            <w:r w:rsidRPr="0011681D">
              <w:rPr>
                <w:rFonts w:ascii="Arial" w:hAnsi="Arial" w:cs="Arial"/>
                <w:sz w:val="21"/>
                <w:szCs w:val="21"/>
                <w:shd w:val="clear" w:color="auto" w:fill="FFFFFF"/>
              </w:rPr>
              <w:t>.</w:t>
            </w:r>
            <w:r w:rsidRPr="0011681D">
              <w:rPr>
                <w:szCs w:val="24"/>
              </w:rPr>
              <w:t xml:space="preserve">  Our improvement approach </w:t>
            </w:r>
            <w:r w:rsidR="00A027B6" w:rsidRPr="0011681D">
              <w:rPr>
                <w:szCs w:val="24"/>
              </w:rPr>
              <w:t>involves facilitating the setting up of community groups in each area and equipping them with a framework, resources and access to expertise that can help develop capacity and cohesion.</w:t>
            </w:r>
          </w:p>
          <w:p w14:paraId="3F7A3822" w14:textId="746C88D8" w:rsidR="0024305D" w:rsidRPr="0011681D" w:rsidRDefault="0037159B" w:rsidP="00A027B6">
            <w:pPr>
              <w:rPr>
                <w:szCs w:val="24"/>
              </w:rPr>
            </w:pPr>
            <w:bookmarkStart w:id="1" w:name="_GoBack"/>
            <w:bookmarkEnd w:id="1"/>
            <w:r w:rsidRPr="00B409E5">
              <w:rPr>
                <w:szCs w:val="24"/>
              </w:rPr>
              <w:lastRenderedPageBreak/>
              <w:t>The need for this was identified by stakeholders involved in “Aberdeen Adapts” where people wanted a platform for support, communication</w:t>
            </w:r>
            <w:r w:rsidR="00A027B6" w:rsidRPr="00B409E5">
              <w:rPr>
                <w:szCs w:val="24"/>
              </w:rPr>
              <w:t xml:space="preserve"> </w:t>
            </w:r>
            <w:r w:rsidRPr="00B409E5">
              <w:rPr>
                <w:szCs w:val="24"/>
              </w:rPr>
              <w:t xml:space="preserve">and collaboration so that local people know where to go for assistance.  </w:t>
            </w:r>
            <w:r w:rsidR="00A027B6" w:rsidRPr="0011681D">
              <w:rPr>
                <w:szCs w:val="24"/>
              </w:rPr>
              <w:t xml:space="preserve">It also means that </w:t>
            </w:r>
            <w:r w:rsidR="00344B3F" w:rsidRPr="0011681D">
              <w:rPr>
                <w:szCs w:val="24"/>
              </w:rPr>
              <w:t xml:space="preserve">public/emergency services </w:t>
            </w:r>
            <w:r w:rsidR="009468CD" w:rsidRPr="0011681D">
              <w:rPr>
                <w:szCs w:val="24"/>
              </w:rPr>
              <w:t xml:space="preserve">can be targeted and used </w:t>
            </w:r>
            <w:r w:rsidR="00344B3F" w:rsidRPr="0011681D">
              <w:rPr>
                <w:szCs w:val="24"/>
              </w:rPr>
              <w:t xml:space="preserve">most effectively. </w:t>
            </w:r>
          </w:p>
          <w:p w14:paraId="4EC84B17" w14:textId="77777777" w:rsidR="0024305D" w:rsidRPr="0011681D" w:rsidRDefault="0024305D" w:rsidP="00DA4C89">
            <w:pPr>
              <w:pStyle w:val="ListParagraph"/>
              <w:ind w:left="0"/>
              <w:rPr>
                <w:szCs w:val="24"/>
              </w:rPr>
            </w:pPr>
          </w:p>
          <w:p w14:paraId="61359925" w14:textId="363AED31" w:rsidR="008651DC" w:rsidRPr="00B409E5" w:rsidRDefault="009468CD" w:rsidP="00DA4C89">
            <w:pPr>
              <w:pStyle w:val="ListParagraph"/>
              <w:ind w:left="0"/>
              <w:rPr>
                <w:szCs w:val="24"/>
              </w:rPr>
            </w:pPr>
            <w:r w:rsidRPr="0011681D">
              <w:rPr>
                <w:szCs w:val="24"/>
              </w:rPr>
              <w:t xml:space="preserve">Having a </w:t>
            </w:r>
            <w:r w:rsidR="00344B3F" w:rsidRPr="0011681D">
              <w:rPr>
                <w:szCs w:val="24"/>
              </w:rPr>
              <w:t>communit</w:t>
            </w:r>
            <w:r w:rsidRPr="0011681D">
              <w:rPr>
                <w:szCs w:val="24"/>
              </w:rPr>
              <w:t xml:space="preserve">y that can work together in an emergency situation reduces the risk to people and properties.  It means that local people </w:t>
            </w:r>
            <w:r w:rsidR="00B32270" w:rsidRPr="0011681D">
              <w:rPr>
                <w:szCs w:val="24"/>
              </w:rPr>
              <w:t xml:space="preserve">are more prepared whilst awaiting emergency response (such as evacuation). </w:t>
            </w:r>
            <w:r w:rsidR="0037159B">
              <w:rPr>
                <w:szCs w:val="24"/>
              </w:rPr>
              <w:t xml:space="preserve"> </w:t>
            </w:r>
            <w:r w:rsidR="0037159B" w:rsidRPr="00B409E5">
              <w:rPr>
                <w:szCs w:val="24"/>
              </w:rPr>
              <w:t xml:space="preserve">Again this was identified in the feedback for “Aberdeen Adapts” where communities are well placed to observe and report emerging local issues.  So our efforts give us scope to help avoid and prevent issues as well as preparing and responding.   Prevention, preparedness and action ready creates a </w:t>
            </w:r>
            <w:r w:rsidR="00B32270" w:rsidRPr="00B409E5">
              <w:rPr>
                <w:szCs w:val="24"/>
              </w:rPr>
              <w:t xml:space="preserve">resilience </w:t>
            </w:r>
            <w:r w:rsidR="0037159B" w:rsidRPr="00B409E5">
              <w:rPr>
                <w:szCs w:val="24"/>
              </w:rPr>
              <w:t xml:space="preserve">that </w:t>
            </w:r>
            <w:r w:rsidR="00B32270" w:rsidRPr="00B409E5">
              <w:rPr>
                <w:szCs w:val="24"/>
              </w:rPr>
              <w:t xml:space="preserve">is likely </w:t>
            </w:r>
            <w:r w:rsidR="008651DC" w:rsidRPr="00B409E5">
              <w:rPr>
                <w:szCs w:val="24"/>
              </w:rPr>
              <w:t>to improve outcomes for health and well-being.</w:t>
            </w:r>
          </w:p>
          <w:p w14:paraId="3D0151F3" w14:textId="77777777" w:rsidR="008651DC" w:rsidRPr="0011681D" w:rsidRDefault="008651DC" w:rsidP="00DA4C89">
            <w:pPr>
              <w:pStyle w:val="ListParagraph"/>
              <w:ind w:left="0"/>
              <w:rPr>
                <w:szCs w:val="24"/>
              </w:rPr>
            </w:pPr>
          </w:p>
          <w:p w14:paraId="76B1BAC7" w14:textId="07366B38" w:rsidR="008651DC" w:rsidRPr="0011681D" w:rsidRDefault="008651DC" w:rsidP="00DA4C89">
            <w:pPr>
              <w:pStyle w:val="ListParagraph"/>
              <w:ind w:left="0"/>
              <w:rPr>
                <w:szCs w:val="24"/>
              </w:rPr>
            </w:pPr>
            <w:r w:rsidRPr="0011681D">
              <w:rPr>
                <w:szCs w:val="24"/>
              </w:rPr>
              <w:t xml:space="preserve">A community that is well prepared against environmental and emergency situations will help to avoid/reduce costs of damages to property and premises and ultimately insurance costs. </w:t>
            </w:r>
          </w:p>
          <w:p w14:paraId="4DBBEAAE" w14:textId="77777777" w:rsidR="008651DC" w:rsidRPr="0011681D" w:rsidRDefault="008651DC" w:rsidP="00DA4C89">
            <w:pPr>
              <w:pStyle w:val="ListParagraph"/>
              <w:ind w:left="0"/>
              <w:rPr>
                <w:szCs w:val="24"/>
              </w:rPr>
            </w:pPr>
          </w:p>
          <w:p w14:paraId="406757B4" w14:textId="02231477" w:rsidR="00B409E5" w:rsidRPr="0011681D" w:rsidRDefault="008651DC" w:rsidP="00DA4C89">
            <w:pPr>
              <w:pStyle w:val="ListParagraph"/>
              <w:ind w:left="0"/>
              <w:rPr>
                <w:szCs w:val="24"/>
              </w:rPr>
            </w:pPr>
            <w:r w:rsidRPr="0011681D">
              <w:rPr>
                <w:szCs w:val="24"/>
              </w:rPr>
              <w:t xml:space="preserve">There are wider benefits of community resilience, particularly efforts to promote social inclusion and helping to identify and support most vulnerable members of the community. </w:t>
            </w:r>
          </w:p>
          <w:p w14:paraId="74F589EB" w14:textId="77777777" w:rsidR="0024305D" w:rsidRPr="0011681D" w:rsidRDefault="0024305D" w:rsidP="008651DC">
            <w:pPr>
              <w:pStyle w:val="ListParagraph"/>
              <w:ind w:left="0"/>
              <w:rPr>
                <w:szCs w:val="24"/>
              </w:rPr>
            </w:pPr>
          </w:p>
        </w:tc>
      </w:tr>
      <w:tr w:rsidR="007409B9" w14:paraId="4D6A2551" w14:textId="77777777" w:rsidTr="0011681D">
        <w:tc>
          <w:tcPr>
            <w:tcW w:w="9214" w:type="dxa"/>
          </w:tcPr>
          <w:p w14:paraId="7403B910" w14:textId="1FA9B0D2" w:rsidR="007409B9" w:rsidRPr="0011681D" w:rsidRDefault="007409B9" w:rsidP="007409B9">
            <w:pPr>
              <w:pStyle w:val="ListParagraph"/>
              <w:ind w:left="0"/>
              <w:rPr>
                <w:b/>
                <w:szCs w:val="24"/>
              </w:rPr>
            </w:pPr>
            <w:r w:rsidRPr="0011681D">
              <w:rPr>
                <w:b/>
                <w:szCs w:val="24"/>
              </w:rPr>
              <w:lastRenderedPageBreak/>
              <w:t xml:space="preserve">Measures: (How will we know if </w:t>
            </w:r>
            <w:r w:rsidR="0017662E" w:rsidRPr="0011681D">
              <w:rPr>
                <w:b/>
                <w:szCs w:val="24"/>
              </w:rPr>
              <w:t>a change is an improvement</w:t>
            </w:r>
            <w:r w:rsidR="00C15E3E" w:rsidRPr="0011681D">
              <w:rPr>
                <w:b/>
                <w:szCs w:val="24"/>
              </w:rPr>
              <w:t>?</w:t>
            </w:r>
            <w:r w:rsidRPr="0011681D">
              <w:rPr>
                <w:b/>
                <w:szCs w:val="24"/>
              </w:rPr>
              <w:t>)</w:t>
            </w:r>
          </w:p>
          <w:p w14:paraId="27E6D7FC" w14:textId="0C0885D7" w:rsidR="00FD7E96" w:rsidRPr="0011681D" w:rsidRDefault="00FD7E96" w:rsidP="00FD7E96">
            <w:pPr>
              <w:rPr>
                <w:szCs w:val="24"/>
              </w:rPr>
            </w:pPr>
            <w:r w:rsidRPr="0011681D">
              <w:rPr>
                <w:szCs w:val="24"/>
              </w:rPr>
              <w:t>We will only be able to know definitively if the change has resulted in improvement following a live emergency/environmental situation.  However we would like to undertake a resilience test in each community to understand what did/could work well even in a simulated situation, where things could be improved and if any gaps remain.</w:t>
            </w:r>
          </w:p>
          <w:p w14:paraId="2E81D241" w14:textId="77777777" w:rsidR="00FD7E96" w:rsidRPr="0011681D" w:rsidRDefault="00FD7E96" w:rsidP="00FD7E96">
            <w:pPr>
              <w:rPr>
                <w:szCs w:val="24"/>
              </w:rPr>
            </w:pPr>
          </w:p>
          <w:p w14:paraId="456BCEDF" w14:textId="096B1C1E" w:rsidR="00FD7E96" w:rsidRPr="0011681D" w:rsidRDefault="00FD7E96" w:rsidP="00FD7E96">
            <w:pPr>
              <w:rPr>
                <w:szCs w:val="24"/>
              </w:rPr>
            </w:pPr>
            <w:r w:rsidRPr="0011681D">
              <w:rPr>
                <w:szCs w:val="24"/>
              </w:rPr>
              <w:t xml:space="preserve">There are </w:t>
            </w:r>
            <w:r w:rsidRPr="0011681D">
              <w:rPr>
                <w:b/>
                <w:i/>
                <w:szCs w:val="24"/>
              </w:rPr>
              <w:t xml:space="preserve">intermediate </w:t>
            </w:r>
            <w:r w:rsidR="001C69D8" w:rsidRPr="0011681D">
              <w:rPr>
                <w:b/>
                <w:i/>
                <w:szCs w:val="24"/>
              </w:rPr>
              <w:t xml:space="preserve">and process </w:t>
            </w:r>
            <w:r w:rsidRPr="0011681D">
              <w:rPr>
                <w:b/>
                <w:i/>
                <w:szCs w:val="24"/>
              </w:rPr>
              <w:t>measures</w:t>
            </w:r>
            <w:r w:rsidRPr="0011681D">
              <w:rPr>
                <w:szCs w:val="24"/>
              </w:rPr>
              <w:t xml:space="preserve"> of progress </w:t>
            </w:r>
            <w:r w:rsidR="00C42C94" w:rsidRPr="0011681D">
              <w:rPr>
                <w:szCs w:val="24"/>
              </w:rPr>
              <w:t>which indicate the likely chance of success:</w:t>
            </w:r>
          </w:p>
          <w:p w14:paraId="114517D4" w14:textId="77777777" w:rsidR="00C42C94" w:rsidRPr="0011681D" w:rsidRDefault="00C42C94" w:rsidP="00FD7E96">
            <w:pPr>
              <w:rPr>
                <w:szCs w:val="24"/>
              </w:rPr>
            </w:pPr>
          </w:p>
          <w:p w14:paraId="22AFDA16" w14:textId="77777777" w:rsidR="00C42C94" w:rsidRPr="00DA0FF6" w:rsidRDefault="00C42C94" w:rsidP="00DA0FF6">
            <w:pPr>
              <w:pStyle w:val="ListParagraph"/>
              <w:numPr>
                <w:ilvl w:val="0"/>
                <w:numId w:val="18"/>
              </w:numPr>
              <w:ind w:left="314" w:hanging="284"/>
              <w:rPr>
                <w:szCs w:val="24"/>
              </w:rPr>
            </w:pPr>
            <w:r w:rsidRPr="00DA0FF6">
              <w:rPr>
                <w:szCs w:val="24"/>
              </w:rPr>
              <w:t>The existence of a resilience group in each community</w:t>
            </w:r>
          </w:p>
          <w:p w14:paraId="4F4E4F10" w14:textId="026D1D4C" w:rsidR="00C42C94" w:rsidRPr="00DA0FF6" w:rsidRDefault="00C42C94" w:rsidP="00DA0FF6">
            <w:pPr>
              <w:pStyle w:val="ListParagraph"/>
              <w:numPr>
                <w:ilvl w:val="0"/>
                <w:numId w:val="18"/>
              </w:numPr>
              <w:ind w:left="314" w:hanging="284"/>
              <w:rPr>
                <w:szCs w:val="24"/>
              </w:rPr>
            </w:pPr>
            <w:r w:rsidRPr="00DA0FF6">
              <w:rPr>
                <w:szCs w:val="24"/>
              </w:rPr>
              <w:t>The chairmanship by a member of the community</w:t>
            </w:r>
          </w:p>
          <w:p w14:paraId="2F0999B8" w14:textId="0B76F935" w:rsidR="00C42C94" w:rsidRPr="00DA0FF6" w:rsidRDefault="00C42C94" w:rsidP="00DA0FF6">
            <w:pPr>
              <w:pStyle w:val="ListParagraph"/>
              <w:numPr>
                <w:ilvl w:val="0"/>
                <w:numId w:val="18"/>
              </w:numPr>
              <w:ind w:left="314" w:hanging="284"/>
              <w:rPr>
                <w:szCs w:val="24"/>
              </w:rPr>
            </w:pPr>
            <w:r w:rsidRPr="00DA0FF6">
              <w:rPr>
                <w:szCs w:val="24"/>
              </w:rPr>
              <w:t>The number and diversity of volunteers/participants</w:t>
            </w:r>
            <w:r w:rsidR="00755B8F" w:rsidRPr="00DA0FF6">
              <w:rPr>
                <w:szCs w:val="24"/>
              </w:rPr>
              <w:t>/businesses</w:t>
            </w:r>
            <w:r w:rsidRPr="00DA0FF6">
              <w:rPr>
                <w:szCs w:val="24"/>
              </w:rPr>
              <w:t xml:space="preserve"> on each group and the frequency of attendance </w:t>
            </w:r>
          </w:p>
          <w:p w14:paraId="6A58ABC7" w14:textId="167BC239" w:rsidR="00C42C94" w:rsidRPr="00DA0FF6" w:rsidRDefault="00C42C94" w:rsidP="00DA0FF6">
            <w:pPr>
              <w:pStyle w:val="ListParagraph"/>
              <w:numPr>
                <w:ilvl w:val="0"/>
                <w:numId w:val="18"/>
              </w:numPr>
              <w:ind w:left="314" w:hanging="284"/>
              <w:rPr>
                <w:szCs w:val="24"/>
              </w:rPr>
            </w:pPr>
            <w:r w:rsidRPr="00DA0FF6">
              <w:rPr>
                <w:szCs w:val="24"/>
              </w:rPr>
              <w:t xml:space="preserve">The </w:t>
            </w:r>
            <w:r w:rsidR="00755B8F" w:rsidRPr="00DA0FF6">
              <w:rPr>
                <w:szCs w:val="24"/>
              </w:rPr>
              <w:t xml:space="preserve">existence of a resilience plan and its </w:t>
            </w:r>
            <w:r w:rsidRPr="00DA0FF6">
              <w:rPr>
                <w:szCs w:val="24"/>
              </w:rPr>
              <w:t xml:space="preserve">comprehensive nature </w:t>
            </w:r>
            <w:r w:rsidR="00755B8F" w:rsidRPr="00DA0FF6">
              <w:rPr>
                <w:szCs w:val="24"/>
              </w:rPr>
              <w:t xml:space="preserve">with </w:t>
            </w:r>
            <w:r w:rsidRPr="00DA0FF6">
              <w:rPr>
                <w:szCs w:val="24"/>
              </w:rPr>
              <w:t xml:space="preserve">named people who ensure the plan can be executed </w:t>
            </w:r>
          </w:p>
          <w:p w14:paraId="74338482" w14:textId="0AF1C391" w:rsidR="007D6508" w:rsidRPr="00DA0FF6" w:rsidRDefault="007D6508" w:rsidP="00DA0FF6">
            <w:pPr>
              <w:pStyle w:val="ListParagraph"/>
              <w:numPr>
                <w:ilvl w:val="0"/>
                <w:numId w:val="18"/>
              </w:numPr>
              <w:ind w:left="314" w:hanging="284"/>
              <w:rPr>
                <w:szCs w:val="24"/>
              </w:rPr>
            </w:pPr>
            <w:r w:rsidRPr="00DA0FF6">
              <w:rPr>
                <w:szCs w:val="24"/>
              </w:rPr>
              <w:t>An increase in data completeness on the ‘at risk’ database to identify people most vulnerable</w:t>
            </w:r>
          </w:p>
          <w:p w14:paraId="04F39E3F" w14:textId="77777777" w:rsidR="00720118" w:rsidRPr="00720118" w:rsidRDefault="00DA0FF6" w:rsidP="00DA0FF6">
            <w:pPr>
              <w:pStyle w:val="ListParagraph"/>
              <w:numPr>
                <w:ilvl w:val="0"/>
                <w:numId w:val="18"/>
              </w:numPr>
              <w:ind w:left="314" w:hanging="284"/>
              <w:rPr>
                <w:szCs w:val="24"/>
              </w:rPr>
            </w:pPr>
            <w:r>
              <w:t xml:space="preserve">No. of community visits to raise awareness of resilience issues in localities </w:t>
            </w:r>
          </w:p>
          <w:p w14:paraId="36BB1056" w14:textId="45EBDFC0" w:rsidR="007D6508" w:rsidRPr="00DA0FF6" w:rsidRDefault="00DA0FF6" w:rsidP="00DA0FF6">
            <w:pPr>
              <w:pStyle w:val="ListParagraph"/>
              <w:numPr>
                <w:ilvl w:val="0"/>
                <w:numId w:val="18"/>
              </w:numPr>
              <w:ind w:left="314" w:hanging="284"/>
              <w:rPr>
                <w:szCs w:val="24"/>
              </w:rPr>
            </w:pPr>
            <w:r>
              <w:t>No. of community members attending and involvement of local businesses</w:t>
            </w:r>
          </w:p>
          <w:p w14:paraId="3FCF9F62" w14:textId="77777777" w:rsidR="00DA0FF6" w:rsidRPr="0011681D" w:rsidRDefault="00DA0FF6" w:rsidP="00FD7E96">
            <w:pPr>
              <w:rPr>
                <w:szCs w:val="24"/>
              </w:rPr>
            </w:pPr>
          </w:p>
          <w:p w14:paraId="416E8404" w14:textId="6B8C12F5" w:rsidR="007D6508" w:rsidRPr="0011681D" w:rsidRDefault="007D6508" w:rsidP="00FD7E96">
            <w:pPr>
              <w:rPr>
                <w:szCs w:val="24"/>
              </w:rPr>
            </w:pPr>
            <w:r w:rsidRPr="0011681D">
              <w:rPr>
                <w:szCs w:val="24"/>
              </w:rPr>
              <w:t xml:space="preserve">Public </w:t>
            </w:r>
            <w:r w:rsidRPr="0011681D">
              <w:rPr>
                <w:b/>
                <w:i/>
                <w:szCs w:val="24"/>
              </w:rPr>
              <w:t>perception/behaviour change measures</w:t>
            </w:r>
            <w:r w:rsidRPr="0011681D">
              <w:rPr>
                <w:szCs w:val="24"/>
              </w:rPr>
              <w:t>:</w:t>
            </w:r>
          </w:p>
          <w:p w14:paraId="30CB7C7A" w14:textId="77777777" w:rsidR="007D6508" w:rsidRPr="0011681D" w:rsidRDefault="007D6508" w:rsidP="00FD7E96">
            <w:pPr>
              <w:rPr>
                <w:szCs w:val="24"/>
              </w:rPr>
            </w:pPr>
          </w:p>
          <w:p w14:paraId="24EC7DFA" w14:textId="77777777" w:rsidR="00B32270" w:rsidRPr="0011681D" w:rsidRDefault="007D6508" w:rsidP="00FD7E96">
            <w:pPr>
              <w:rPr>
                <w:szCs w:val="24"/>
              </w:rPr>
            </w:pPr>
            <w:r w:rsidRPr="0011681D">
              <w:rPr>
                <w:szCs w:val="24"/>
              </w:rPr>
              <w:t xml:space="preserve">Improvements in the rating in City Voice survey about individual and community readiness following a major weather event </w:t>
            </w:r>
            <w:r w:rsidR="00B32270" w:rsidRPr="0011681D">
              <w:rPr>
                <w:szCs w:val="24"/>
              </w:rPr>
              <w:t>(baseline established from 43</w:t>
            </w:r>
            <w:r w:rsidR="00B32270" w:rsidRPr="0011681D">
              <w:rPr>
                <w:szCs w:val="24"/>
                <w:vertAlign w:val="superscript"/>
              </w:rPr>
              <w:t>rd</w:t>
            </w:r>
            <w:r w:rsidR="00B32270" w:rsidRPr="0011681D">
              <w:rPr>
                <w:szCs w:val="24"/>
              </w:rPr>
              <w:t xml:space="preserve"> City Voice)</w:t>
            </w:r>
          </w:p>
          <w:p w14:paraId="20723723" w14:textId="6257084D" w:rsidR="007D6508" w:rsidRPr="0011681D" w:rsidRDefault="00B32270" w:rsidP="00FD7E96">
            <w:pPr>
              <w:rPr>
                <w:szCs w:val="24"/>
              </w:rPr>
            </w:pPr>
            <w:r w:rsidRPr="0011681D">
              <w:rPr>
                <w:szCs w:val="24"/>
              </w:rPr>
              <w:t xml:space="preserve"> </w:t>
            </w:r>
          </w:p>
          <w:p w14:paraId="2F56BEAE" w14:textId="267CE537" w:rsidR="007D6508" w:rsidRPr="0011681D" w:rsidRDefault="007D6508" w:rsidP="00FD7E96">
            <w:pPr>
              <w:rPr>
                <w:szCs w:val="24"/>
              </w:rPr>
            </w:pPr>
            <w:r w:rsidRPr="0011681D">
              <w:rPr>
                <w:szCs w:val="24"/>
              </w:rPr>
              <w:t xml:space="preserve">On an annual basis we will monitor the following </w:t>
            </w:r>
            <w:r w:rsidRPr="0011681D">
              <w:rPr>
                <w:b/>
                <w:i/>
                <w:szCs w:val="24"/>
              </w:rPr>
              <w:t>outcomes measures</w:t>
            </w:r>
            <w:r w:rsidRPr="0011681D">
              <w:rPr>
                <w:szCs w:val="24"/>
              </w:rPr>
              <w:t>:</w:t>
            </w:r>
          </w:p>
          <w:p w14:paraId="28A25DCE" w14:textId="77777777" w:rsidR="00755B8F" w:rsidRPr="0011681D" w:rsidRDefault="00755B8F" w:rsidP="00FD7E96">
            <w:pPr>
              <w:rPr>
                <w:szCs w:val="24"/>
              </w:rPr>
            </w:pPr>
          </w:p>
          <w:p w14:paraId="1DFE783B" w14:textId="6DD36280" w:rsidR="00755B8F" w:rsidRPr="00B409E5" w:rsidRDefault="00755B8F" w:rsidP="00DA0FF6">
            <w:pPr>
              <w:pStyle w:val="ListParagraph"/>
              <w:numPr>
                <w:ilvl w:val="0"/>
                <w:numId w:val="18"/>
              </w:numPr>
              <w:ind w:left="314" w:hanging="284"/>
              <w:rPr>
                <w:szCs w:val="24"/>
              </w:rPr>
            </w:pPr>
            <w:r w:rsidRPr="0011681D">
              <w:rPr>
                <w:szCs w:val="24"/>
              </w:rPr>
              <w:t xml:space="preserve">A reduction in the number of people </w:t>
            </w:r>
            <w:r w:rsidR="007D6508" w:rsidRPr="0011681D">
              <w:rPr>
                <w:szCs w:val="24"/>
              </w:rPr>
              <w:t xml:space="preserve">displaced from their homes due to severe </w:t>
            </w:r>
            <w:r w:rsidR="007D6508" w:rsidRPr="00B409E5">
              <w:rPr>
                <w:szCs w:val="24"/>
              </w:rPr>
              <w:t>weather</w:t>
            </w:r>
            <w:r w:rsidR="001E4EB2" w:rsidRPr="00B409E5">
              <w:rPr>
                <w:szCs w:val="24"/>
              </w:rPr>
              <w:t xml:space="preserve"> (whilst acknowledging that climate change may increase the frequency and severity of weather events occurring)</w:t>
            </w:r>
          </w:p>
          <w:p w14:paraId="396BE2A8" w14:textId="366BB152" w:rsidR="007D6508" w:rsidRPr="0011681D" w:rsidRDefault="007D6508" w:rsidP="00DA0FF6">
            <w:pPr>
              <w:pStyle w:val="ListParagraph"/>
              <w:numPr>
                <w:ilvl w:val="0"/>
                <w:numId w:val="18"/>
              </w:numPr>
              <w:ind w:left="314" w:hanging="284"/>
              <w:rPr>
                <w:szCs w:val="24"/>
              </w:rPr>
            </w:pPr>
            <w:r w:rsidRPr="0011681D">
              <w:rPr>
                <w:szCs w:val="24"/>
              </w:rPr>
              <w:t>A reduction in community facilities closures due to severe weather</w:t>
            </w:r>
          </w:p>
          <w:p w14:paraId="5C7E77F8" w14:textId="77777777" w:rsidR="007D6508" w:rsidRPr="0011681D" w:rsidRDefault="007D6508" w:rsidP="00DA0FF6">
            <w:pPr>
              <w:pStyle w:val="ListParagraph"/>
              <w:numPr>
                <w:ilvl w:val="0"/>
                <w:numId w:val="18"/>
              </w:numPr>
              <w:ind w:left="314" w:hanging="284"/>
              <w:rPr>
                <w:szCs w:val="24"/>
              </w:rPr>
            </w:pPr>
            <w:r w:rsidRPr="0011681D">
              <w:rPr>
                <w:szCs w:val="24"/>
              </w:rPr>
              <w:t>A reduction in the cost of damages due to severe weather incidents</w:t>
            </w:r>
          </w:p>
          <w:p w14:paraId="7ACD557C" w14:textId="108CEAB2" w:rsidR="007D6508" w:rsidRPr="0011681D" w:rsidRDefault="007D6508" w:rsidP="00DA0FF6">
            <w:pPr>
              <w:pStyle w:val="ListParagraph"/>
              <w:numPr>
                <w:ilvl w:val="0"/>
                <w:numId w:val="18"/>
              </w:numPr>
              <w:ind w:left="314" w:hanging="284"/>
              <w:rPr>
                <w:szCs w:val="24"/>
              </w:rPr>
            </w:pPr>
            <w:r w:rsidRPr="0011681D">
              <w:rPr>
                <w:szCs w:val="24"/>
              </w:rPr>
              <w:t xml:space="preserve">Increase in property level protection </w:t>
            </w:r>
          </w:p>
          <w:p w14:paraId="5AF89349" w14:textId="297EE1E3" w:rsidR="00FB6F7F" w:rsidRPr="0011681D" w:rsidRDefault="00FB6F7F" w:rsidP="00DA0FF6">
            <w:pPr>
              <w:pStyle w:val="ListParagraph"/>
              <w:numPr>
                <w:ilvl w:val="0"/>
                <w:numId w:val="18"/>
              </w:numPr>
              <w:ind w:left="314" w:hanging="284"/>
              <w:rPr>
                <w:szCs w:val="24"/>
              </w:rPr>
            </w:pPr>
            <w:r w:rsidRPr="0011681D">
              <w:rPr>
                <w:szCs w:val="24"/>
              </w:rPr>
              <w:t>Attendances, admissions and length of stay in hospital following severe weather event</w:t>
            </w:r>
          </w:p>
          <w:p w14:paraId="4A918F84" w14:textId="77777777" w:rsidR="00FD7E96" w:rsidRDefault="00FD7E96" w:rsidP="00FD7E96">
            <w:pPr>
              <w:pStyle w:val="ListParagraph"/>
              <w:ind w:left="318"/>
              <w:rPr>
                <w:szCs w:val="24"/>
              </w:rPr>
            </w:pPr>
          </w:p>
          <w:p w14:paraId="6F0C7ED2" w14:textId="4BD1CC25" w:rsidR="00B409E5" w:rsidRPr="0011681D" w:rsidRDefault="00B409E5" w:rsidP="00FD7E96">
            <w:pPr>
              <w:pStyle w:val="ListParagraph"/>
              <w:ind w:left="318"/>
              <w:rPr>
                <w:szCs w:val="24"/>
              </w:rPr>
            </w:pPr>
          </w:p>
        </w:tc>
      </w:tr>
      <w:tr w:rsidR="007409B9" w14:paraId="2052F856" w14:textId="77777777" w:rsidTr="0011681D">
        <w:tc>
          <w:tcPr>
            <w:tcW w:w="9214" w:type="dxa"/>
          </w:tcPr>
          <w:p w14:paraId="7C2664F8" w14:textId="7BF59E35" w:rsidR="00C15E3E" w:rsidRPr="0011681D" w:rsidRDefault="00C15E3E" w:rsidP="00D20027">
            <w:pPr>
              <w:pStyle w:val="ListParagraph"/>
              <w:ind w:left="0"/>
              <w:rPr>
                <w:b/>
                <w:szCs w:val="24"/>
              </w:rPr>
            </w:pPr>
            <w:r w:rsidRPr="0011681D">
              <w:rPr>
                <w:b/>
                <w:szCs w:val="24"/>
              </w:rPr>
              <w:lastRenderedPageBreak/>
              <w:t>Change ideas (What can we do that will result in improvement?)</w:t>
            </w:r>
          </w:p>
          <w:p w14:paraId="5F99FE50" w14:textId="2C0CFB5E" w:rsidR="00BF03E5" w:rsidRPr="0011681D" w:rsidRDefault="00BF03E5" w:rsidP="00BF03E5">
            <w:pPr>
              <w:rPr>
                <w:szCs w:val="24"/>
              </w:rPr>
            </w:pPr>
            <w:r w:rsidRPr="0011681D">
              <w:rPr>
                <w:szCs w:val="24"/>
              </w:rPr>
              <w:t xml:space="preserve">Learning from the success of community resilience planning elsewhere, </w:t>
            </w:r>
            <w:r w:rsidR="00B32270" w:rsidRPr="0011681D">
              <w:rPr>
                <w:szCs w:val="24"/>
              </w:rPr>
              <w:t xml:space="preserve">our </w:t>
            </w:r>
            <w:r w:rsidRPr="0011681D">
              <w:rPr>
                <w:szCs w:val="24"/>
              </w:rPr>
              <w:t xml:space="preserve">main change idea is </w:t>
            </w:r>
            <w:r w:rsidR="00C42C94" w:rsidRPr="0011681D">
              <w:rPr>
                <w:szCs w:val="24"/>
              </w:rPr>
              <w:t xml:space="preserve">test the most effective ways to raise awareness and </w:t>
            </w:r>
            <w:r w:rsidRPr="0011681D">
              <w:rPr>
                <w:szCs w:val="24"/>
              </w:rPr>
              <w:t xml:space="preserve">to identify and persuade key people to become champions for their community.  </w:t>
            </w:r>
            <w:r w:rsidR="00B32270" w:rsidRPr="0011681D">
              <w:rPr>
                <w:szCs w:val="24"/>
              </w:rPr>
              <w:t>In so doing, we expect t</w:t>
            </w:r>
            <w:r w:rsidRPr="0011681D">
              <w:rPr>
                <w:szCs w:val="24"/>
              </w:rPr>
              <w:t>he</w:t>
            </w:r>
            <w:r w:rsidR="00B32270" w:rsidRPr="0011681D">
              <w:rPr>
                <w:szCs w:val="24"/>
              </w:rPr>
              <w:t>se</w:t>
            </w:r>
            <w:r w:rsidRPr="0011681D">
              <w:rPr>
                <w:szCs w:val="24"/>
              </w:rPr>
              <w:t xml:space="preserve"> </w:t>
            </w:r>
            <w:r w:rsidR="00B32270" w:rsidRPr="0011681D">
              <w:rPr>
                <w:szCs w:val="24"/>
              </w:rPr>
              <w:t>i</w:t>
            </w:r>
            <w:r w:rsidRPr="0011681D">
              <w:rPr>
                <w:szCs w:val="24"/>
              </w:rPr>
              <w:t xml:space="preserve">ndividuals </w:t>
            </w:r>
            <w:r w:rsidR="00B32270" w:rsidRPr="0011681D">
              <w:rPr>
                <w:szCs w:val="24"/>
              </w:rPr>
              <w:t xml:space="preserve">to be able to </w:t>
            </w:r>
            <w:r w:rsidRPr="0011681D">
              <w:rPr>
                <w:szCs w:val="24"/>
              </w:rPr>
              <w:t xml:space="preserve">use the most relevant levers to encourage community efforts </w:t>
            </w:r>
            <w:r w:rsidR="00B32270" w:rsidRPr="0011681D">
              <w:rPr>
                <w:szCs w:val="24"/>
              </w:rPr>
              <w:t xml:space="preserve">which will </w:t>
            </w:r>
            <w:r w:rsidRPr="0011681D">
              <w:rPr>
                <w:szCs w:val="24"/>
              </w:rPr>
              <w:t>protect households and facilities against emergencies and environmental disasters.</w:t>
            </w:r>
            <w:r w:rsidR="003265FC" w:rsidRPr="0011681D">
              <w:rPr>
                <w:szCs w:val="24"/>
              </w:rPr>
              <w:t xml:space="preserve">  This will be done by:</w:t>
            </w:r>
          </w:p>
          <w:p w14:paraId="67FCBDD8" w14:textId="77777777" w:rsidR="003265FC" w:rsidRPr="0011681D" w:rsidRDefault="003265FC" w:rsidP="00BF03E5">
            <w:pPr>
              <w:rPr>
                <w:szCs w:val="24"/>
              </w:rPr>
            </w:pPr>
          </w:p>
          <w:p w14:paraId="15A0915D" w14:textId="59008888" w:rsidR="00A03B9A" w:rsidRPr="007C7FD8" w:rsidRDefault="00A03B9A" w:rsidP="007C7FD8">
            <w:pPr>
              <w:pStyle w:val="ListParagraph"/>
              <w:numPr>
                <w:ilvl w:val="0"/>
                <w:numId w:val="16"/>
              </w:numPr>
              <w:ind w:left="467" w:hanging="425"/>
              <w:rPr>
                <w:szCs w:val="24"/>
              </w:rPr>
            </w:pPr>
            <w:r w:rsidRPr="0011681D">
              <w:rPr>
                <w:szCs w:val="24"/>
              </w:rPr>
              <w:t>Social media/local messaging</w:t>
            </w:r>
            <w:r>
              <w:rPr>
                <w:szCs w:val="24"/>
              </w:rPr>
              <w:t>/engagement efforts</w:t>
            </w:r>
            <w:r w:rsidRPr="0011681D">
              <w:rPr>
                <w:szCs w:val="24"/>
              </w:rPr>
              <w:t xml:space="preserve"> to make the case for change and encourage community interest and participation in community resilience planning</w:t>
            </w:r>
            <w:r>
              <w:rPr>
                <w:szCs w:val="24"/>
              </w:rPr>
              <w:t xml:space="preserve">.  </w:t>
            </w:r>
          </w:p>
          <w:p w14:paraId="776A2082" w14:textId="11FA8797" w:rsidR="003265FC" w:rsidRPr="0011681D" w:rsidRDefault="00A03B9A" w:rsidP="007C7FD8">
            <w:pPr>
              <w:pStyle w:val="ListParagraph"/>
              <w:numPr>
                <w:ilvl w:val="0"/>
                <w:numId w:val="16"/>
              </w:numPr>
              <w:ind w:left="467" w:hanging="425"/>
              <w:rPr>
                <w:szCs w:val="24"/>
              </w:rPr>
            </w:pPr>
            <w:r w:rsidRPr="007C7FD8">
              <w:rPr>
                <w:szCs w:val="24"/>
              </w:rPr>
              <w:t xml:space="preserve">Raise awareness of the resources, organisations and support that exists. This is in response to the feedback about the need for information and local knowledge which can be accessed in an emergency </w:t>
            </w:r>
            <w:r w:rsidR="003265FC" w:rsidRPr="007C7FD8">
              <w:rPr>
                <w:szCs w:val="24"/>
              </w:rPr>
              <w:t>exist</w:t>
            </w:r>
            <w:r w:rsidR="003463E7" w:rsidRPr="007C7FD8">
              <w:rPr>
                <w:szCs w:val="24"/>
              </w:rPr>
              <w:t xml:space="preserve"> </w:t>
            </w:r>
          </w:p>
          <w:p w14:paraId="0C1344C7" w14:textId="77777777" w:rsidR="006C5575" w:rsidRPr="0011681D" w:rsidRDefault="006C5575" w:rsidP="007C7FD8">
            <w:pPr>
              <w:pStyle w:val="ListParagraph"/>
              <w:numPr>
                <w:ilvl w:val="0"/>
                <w:numId w:val="16"/>
              </w:numPr>
              <w:ind w:left="467" w:hanging="425"/>
              <w:rPr>
                <w:szCs w:val="24"/>
              </w:rPr>
            </w:pPr>
            <w:r w:rsidRPr="0011681D">
              <w:rPr>
                <w:szCs w:val="24"/>
              </w:rPr>
              <w:t>Community visits to raise awareness and generate interest in participation</w:t>
            </w:r>
          </w:p>
          <w:p w14:paraId="2250A012" w14:textId="3A9F975B" w:rsidR="00FD7E96" w:rsidRPr="007C7FD8" w:rsidRDefault="001E4EB2" w:rsidP="007C7FD8">
            <w:pPr>
              <w:pStyle w:val="ListParagraph"/>
              <w:numPr>
                <w:ilvl w:val="0"/>
                <w:numId w:val="16"/>
              </w:numPr>
              <w:ind w:left="467" w:hanging="425"/>
              <w:rPr>
                <w:szCs w:val="24"/>
              </w:rPr>
            </w:pPr>
            <w:r w:rsidRPr="007C7FD8">
              <w:rPr>
                <w:szCs w:val="24"/>
              </w:rPr>
              <w:t xml:space="preserve">Targeting vulnerable groups </w:t>
            </w:r>
            <w:r w:rsidR="00A03B9A" w:rsidRPr="007C7FD8">
              <w:rPr>
                <w:szCs w:val="24"/>
              </w:rPr>
              <w:t xml:space="preserve">and those with less capacity to adapt aiming </w:t>
            </w:r>
            <w:r w:rsidRPr="007C7FD8">
              <w:rPr>
                <w:szCs w:val="24"/>
              </w:rPr>
              <w:t>to involve them in resilience planning particular to their needs (e.g. elderly people, people on low incomes, or with poor h</w:t>
            </w:r>
            <w:r w:rsidR="00A03B9A" w:rsidRPr="007C7FD8">
              <w:rPr>
                <w:szCs w:val="24"/>
              </w:rPr>
              <w:t>o</w:t>
            </w:r>
            <w:r w:rsidRPr="007C7FD8">
              <w:rPr>
                <w:szCs w:val="24"/>
              </w:rPr>
              <w:t xml:space="preserve">using quality and limited mobility. </w:t>
            </w:r>
          </w:p>
          <w:p w14:paraId="207733AE" w14:textId="07C8042B" w:rsidR="003265FC" w:rsidRPr="0011681D" w:rsidRDefault="00A03B9A" w:rsidP="007C7FD8">
            <w:pPr>
              <w:pStyle w:val="ListParagraph"/>
              <w:numPr>
                <w:ilvl w:val="0"/>
                <w:numId w:val="16"/>
              </w:numPr>
              <w:ind w:left="467" w:hanging="425"/>
              <w:rPr>
                <w:szCs w:val="24"/>
              </w:rPr>
            </w:pPr>
            <w:r>
              <w:rPr>
                <w:szCs w:val="24"/>
              </w:rPr>
              <w:t xml:space="preserve">Identify and establish the role of community champions </w:t>
            </w:r>
          </w:p>
          <w:p w14:paraId="6DB3A878" w14:textId="4D3BA041" w:rsidR="00FD7E96" w:rsidRPr="0011681D" w:rsidRDefault="00FD7E96" w:rsidP="00FD7E96">
            <w:pPr>
              <w:rPr>
                <w:szCs w:val="24"/>
              </w:rPr>
            </w:pPr>
          </w:p>
        </w:tc>
      </w:tr>
      <w:tr w:rsidR="007409B9" w14:paraId="75553658" w14:textId="77777777" w:rsidTr="0011681D">
        <w:tc>
          <w:tcPr>
            <w:tcW w:w="9214" w:type="dxa"/>
          </w:tcPr>
          <w:p w14:paraId="2A0DAEB8" w14:textId="5D797ECC" w:rsidR="00C15E3E" w:rsidRPr="0011681D" w:rsidRDefault="0017662E" w:rsidP="0017662E">
            <w:pPr>
              <w:pStyle w:val="ListParagraph"/>
              <w:ind w:left="0"/>
              <w:rPr>
                <w:b/>
                <w:szCs w:val="24"/>
              </w:rPr>
            </w:pPr>
            <w:r w:rsidRPr="0011681D">
              <w:rPr>
                <w:b/>
                <w:szCs w:val="24"/>
              </w:rPr>
              <w:t>Potential Barriers</w:t>
            </w:r>
            <w:r w:rsidR="00DE4DD7" w:rsidRPr="0011681D">
              <w:rPr>
                <w:b/>
                <w:szCs w:val="24"/>
              </w:rPr>
              <w:t>:</w:t>
            </w:r>
          </w:p>
          <w:p w14:paraId="489EF209" w14:textId="77777777" w:rsidR="00B21943" w:rsidRPr="0011681D" w:rsidRDefault="00B21943" w:rsidP="007D6508">
            <w:pPr>
              <w:rPr>
                <w:szCs w:val="24"/>
              </w:rPr>
            </w:pPr>
          </w:p>
          <w:p w14:paraId="52D50E33" w14:textId="52B47F34" w:rsidR="006C5575" w:rsidRDefault="007D6508" w:rsidP="007D6508">
            <w:pPr>
              <w:rPr>
                <w:szCs w:val="24"/>
              </w:rPr>
            </w:pPr>
            <w:r w:rsidRPr="0011681D">
              <w:rPr>
                <w:szCs w:val="24"/>
              </w:rPr>
              <w:t xml:space="preserve">Lack of interest and motivation from communities and therefore limited involvement in a community led effort.    We hope to mitigate this risk through the ‘change ideas’ </w:t>
            </w:r>
            <w:r w:rsidR="001C69D8" w:rsidRPr="0011681D">
              <w:rPr>
                <w:szCs w:val="24"/>
              </w:rPr>
              <w:t xml:space="preserve">and particularly the recruitment of community champions </w:t>
            </w:r>
            <w:r w:rsidRPr="0011681D">
              <w:rPr>
                <w:szCs w:val="24"/>
              </w:rPr>
              <w:t>described above.</w:t>
            </w:r>
            <w:r w:rsidR="006C5575">
              <w:rPr>
                <w:szCs w:val="24"/>
              </w:rPr>
              <w:t xml:space="preserve"> </w:t>
            </w:r>
          </w:p>
          <w:p w14:paraId="7180C7E0" w14:textId="77777777" w:rsidR="007C7FD8" w:rsidRPr="007C7FD8" w:rsidRDefault="007C7FD8" w:rsidP="007D6508">
            <w:pPr>
              <w:rPr>
                <w:szCs w:val="24"/>
              </w:rPr>
            </w:pPr>
          </w:p>
          <w:p w14:paraId="528E9364" w14:textId="42B94D80" w:rsidR="006C5575" w:rsidRPr="007C7FD8" w:rsidRDefault="006C5575" w:rsidP="007D6508">
            <w:pPr>
              <w:rPr>
                <w:szCs w:val="24"/>
              </w:rPr>
            </w:pPr>
            <w:r w:rsidRPr="007C7FD8">
              <w:rPr>
                <w:szCs w:val="24"/>
              </w:rPr>
              <w:t xml:space="preserve">Physical and mental health issues may prevent people from getting involved however our focused effort on vulnerable groups should help.  </w:t>
            </w:r>
          </w:p>
          <w:p w14:paraId="59DF1019" w14:textId="77777777" w:rsidR="006C5575" w:rsidRPr="007C7FD8" w:rsidRDefault="006C5575" w:rsidP="007D6508">
            <w:pPr>
              <w:rPr>
                <w:szCs w:val="24"/>
              </w:rPr>
            </w:pPr>
          </w:p>
          <w:p w14:paraId="190251A5" w14:textId="60DBB82B" w:rsidR="006C5575" w:rsidRPr="007C7FD8" w:rsidRDefault="006C5575" w:rsidP="007D6508">
            <w:pPr>
              <w:rPr>
                <w:szCs w:val="24"/>
              </w:rPr>
            </w:pPr>
            <w:r w:rsidRPr="007C7FD8">
              <w:rPr>
                <w:szCs w:val="24"/>
              </w:rPr>
              <w:t>Funding to invest in infrastructure needs that may emerge such as communication technology and information resources.  There are possibilities for external funding sources and we are pursuing these.</w:t>
            </w:r>
          </w:p>
          <w:p w14:paraId="4840B464" w14:textId="6CC39DAD" w:rsidR="007D6508" w:rsidRPr="0011681D" w:rsidRDefault="007D6508" w:rsidP="007D6508">
            <w:pPr>
              <w:rPr>
                <w:szCs w:val="24"/>
              </w:rPr>
            </w:pPr>
          </w:p>
        </w:tc>
      </w:tr>
      <w:tr w:rsidR="0017662E" w14:paraId="727921F5" w14:textId="77777777" w:rsidTr="0011681D">
        <w:tc>
          <w:tcPr>
            <w:tcW w:w="9214" w:type="dxa"/>
          </w:tcPr>
          <w:p w14:paraId="6112BBE3" w14:textId="193E4F63" w:rsidR="0017662E" w:rsidRPr="0011681D" w:rsidRDefault="0017662E" w:rsidP="007409B9">
            <w:pPr>
              <w:pStyle w:val="ListParagraph"/>
              <w:ind w:left="0"/>
              <w:rPr>
                <w:b/>
                <w:szCs w:val="24"/>
              </w:rPr>
            </w:pPr>
            <w:r w:rsidRPr="0011681D">
              <w:rPr>
                <w:b/>
                <w:szCs w:val="24"/>
              </w:rPr>
              <w:t>Project Team:</w:t>
            </w:r>
          </w:p>
          <w:p w14:paraId="34BB5F14" w14:textId="210CEF5C" w:rsidR="007B5626" w:rsidRPr="0011681D" w:rsidRDefault="007B5626" w:rsidP="007409B9">
            <w:pPr>
              <w:pStyle w:val="ListParagraph"/>
              <w:ind w:left="0"/>
              <w:rPr>
                <w:szCs w:val="24"/>
              </w:rPr>
            </w:pPr>
            <w:r w:rsidRPr="0011681D">
              <w:rPr>
                <w:szCs w:val="24"/>
              </w:rPr>
              <w:t>Dawn Shultz, Emergency Planning Officer, ACC – Project Lead</w:t>
            </w:r>
            <w:r w:rsidR="009472E4" w:rsidRPr="0011681D">
              <w:rPr>
                <w:szCs w:val="24"/>
              </w:rPr>
              <w:t xml:space="preserve"> </w:t>
            </w:r>
            <w:r w:rsidR="007C7FD8">
              <w:rPr>
                <w:szCs w:val="24"/>
              </w:rPr>
              <w:t>(new in post</w:t>
            </w:r>
            <w:r w:rsidR="009472E4" w:rsidRPr="0011681D">
              <w:rPr>
                <w:szCs w:val="24"/>
              </w:rPr>
              <w:t>)</w:t>
            </w:r>
          </w:p>
          <w:p w14:paraId="447A618A" w14:textId="64FDCF6C" w:rsidR="00B32270" w:rsidRPr="0011681D" w:rsidRDefault="007B5626" w:rsidP="007409B9">
            <w:pPr>
              <w:pStyle w:val="ListParagraph"/>
              <w:ind w:left="0"/>
              <w:rPr>
                <w:szCs w:val="24"/>
              </w:rPr>
            </w:pPr>
            <w:r w:rsidRPr="0011681D">
              <w:rPr>
                <w:szCs w:val="24"/>
              </w:rPr>
              <w:t>Andy Buchan, SFRS - Interim Project Lead</w:t>
            </w:r>
          </w:p>
          <w:p w14:paraId="049DAD5F" w14:textId="77777777" w:rsidR="007B5626" w:rsidRPr="0011681D" w:rsidRDefault="007B5626" w:rsidP="007409B9">
            <w:pPr>
              <w:pStyle w:val="ListParagraph"/>
              <w:ind w:left="0"/>
              <w:rPr>
                <w:szCs w:val="24"/>
              </w:rPr>
            </w:pPr>
            <w:r w:rsidRPr="0011681D">
              <w:rPr>
                <w:szCs w:val="24"/>
              </w:rPr>
              <w:t>Graham Robertson, Civil Contingency Office, SFRS</w:t>
            </w:r>
          </w:p>
          <w:p w14:paraId="0D7FF4A8" w14:textId="77777777" w:rsidR="007B5626" w:rsidRPr="0011681D" w:rsidRDefault="007B5626" w:rsidP="007409B9">
            <w:pPr>
              <w:pStyle w:val="ListParagraph"/>
              <w:ind w:left="0"/>
              <w:rPr>
                <w:szCs w:val="24"/>
              </w:rPr>
            </w:pPr>
            <w:r w:rsidRPr="0011681D">
              <w:rPr>
                <w:szCs w:val="24"/>
              </w:rPr>
              <w:t>Milne Weir, Scottish Ambulance Service (TBC)</w:t>
            </w:r>
          </w:p>
          <w:p w14:paraId="34B475C7" w14:textId="77777777" w:rsidR="007B5626" w:rsidRPr="0011681D" w:rsidRDefault="007B5626" w:rsidP="007409B9">
            <w:pPr>
              <w:pStyle w:val="ListParagraph"/>
              <w:ind w:left="0"/>
              <w:rPr>
                <w:szCs w:val="24"/>
              </w:rPr>
            </w:pPr>
            <w:r w:rsidRPr="0011681D">
              <w:rPr>
                <w:szCs w:val="24"/>
              </w:rPr>
              <w:t>Alison Leslie, Sustainability Development Officer, ACC</w:t>
            </w:r>
          </w:p>
          <w:p w14:paraId="3A1A8FFA" w14:textId="65D24B1E" w:rsidR="007B5626" w:rsidRPr="0011681D" w:rsidRDefault="007B5626" w:rsidP="007409B9">
            <w:pPr>
              <w:pStyle w:val="ListParagraph"/>
              <w:ind w:left="0"/>
              <w:rPr>
                <w:szCs w:val="24"/>
              </w:rPr>
            </w:pPr>
            <w:r w:rsidRPr="0011681D">
              <w:rPr>
                <w:szCs w:val="24"/>
              </w:rPr>
              <w:t>Tara Mackie, Civil Contingency Advisor, Public Health, NHS Grampian</w:t>
            </w:r>
          </w:p>
          <w:p w14:paraId="2B32BA59" w14:textId="0A337EFA" w:rsidR="00B32270" w:rsidRPr="0011681D" w:rsidRDefault="00B32270" w:rsidP="007409B9">
            <w:pPr>
              <w:pStyle w:val="ListParagraph"/>
              <w:ind w:left="0"/>
              <w:rPr>
                <w:szCs w:val="24"/>
              </w:rPr>
            </w:pPr>
            <w:r w:rsidRPr="0011681D">
              <w:rPr>
                <w:szCs w:val="24"/>
              </w:rPr>
              <w:t xml:space="preserve">Police Scotland/Local Resilience Partnership </w:t>
            </w:r>
            <w:r w:rsidR="007B5626" w:rsidRPr="0011681D">
              <w:rPr>
                <w:szCs w:val="24"/>
              </w:rPr>
              <w:t>–</w:t>
            </w:r>
            <w:r w:rsidRPr="0011681D">
              <w:rPr>
                <w:szCs w:val="24"/>
              </w:rPr>
              <w:t xml:space="preserve"> TBC</w:t>
            </w:r>
          </w:p>
          <w:p w14:paraId="4F98BA34" w14:textId="77777777" w:rsidR="007B5626" w:rsidRPr="0011681D" w:rsidRDefault="007B5626" w:rsidP="007409B9">
            <w:pPr>
              <w:pStyle w:val="ListParagraph"/>
              <w:ind w:left="0"/>
              <w:rPr>
                <w:szCs w:val="24"/>
              </w:rPr>
            </w:pPr>
            <w:r w:rsidRPr="0011681D">
              <w:rPr>
                <w:szCs w:val="24"/>
              </w:rPr>
              <w:t>Alan Robertston to nominate from Flooding Team, ACC</w:t>
            </w:r>
          </w:p>
          <w:p w14:paraId="749AF790" w14:textId="77777777" w:rsidR="007B5626" w:rsidRPr="0011681D" w:rsidRDefault="007B5626" w:rsidP="007409B9">
            <w:pPr>
              <w:pStyle w:val="ListParagraph"/>
              <w:ind w:left="0"/>
              <w:rPr>
                <w:szCs w:val="24"/>
              </w:rPr>
            </w:pPr>
            <w:r w:rsidRPr="0011681D">
              <w:rPr>
                <w:szCs w:val="24"/>
              </w:rPr>
              <w:t>Ross Greenhill, Coastguard</w:t>
            </w:r>
          </w:p>
          <w:p w14:paraId="54457404" w14:textId="77777777" w:rsidR="007B5626" w:rsidRPr="0011681D" w:rsidRDefault="007B5626" w:rsidP="007409B9">
            <w:pPr>
              <w:pStyle w:val="ListParagraph"/>
              <w:ind w:left="0"/>
              <w:rPr>
                <w:szCs w:val="24"/>
              </w:rPr>
            </w:pPr>
            <w:r w:rsidRPr="0011681D">
              <w:rPr>
                <w:szCs w:val="24"/>
              </w:rPr>
              <w:t>Colin Gray, Regional Emergency Planning Officer (TBC)</w:t>
            </w:r>
          </w:p>
          <w:p w14:paraId="6CA43459" w14:textId="6F3930B3" w:rsidR="006C5575" w:rsidRPr="0011681D" w:rsidRDefault="007B5626" w:rsidP="006C5575">
            <w:pPr>
              <w:pStyle w:val="ListParagraph"/>
              <w:ind w:left="0"/>
              <w:rPr>
                <w:szCs w:val="24"/>
              </w:rPr>
            </w:pPr>
            <w:r w:rsidRPr="0011681D">
              <w:rPr>
                <w:szCs w:val="24"/>
              </w:rPr>
              <w:t>Ann Wakefield, Public representative and member of Culter Resilience Partnership</w:t>
            </w:r>
          </w:p>
        </w:tc>
      </w:tr>
    </w:tbl>
    <w:p w14:paraId="2C1895F0" w14:textId="7480E258" w:rsidR="007409B9" w:rsidRDefault="007409B9" w:rsidP="007409B9">
      <w:pPr>
        <w:pStyle w:val="ListParagraph"/>
        <w:spacing w:after="0" w:line="240" w:lineRule="auto"/>
        <w:ind w:left="360" w:hanging="360"/>
        <w:rPr>
          <w:color w:val="31849B" w:themeColor="accent5" w:themeShade="BF"/>
          <w:sz w:val="24"/>
          <w:szCs w:val="24"/>
        </w:rPr>
      </w:pPr>
    </w:p>
    <w:p w14:paraId="0F78417C" w14:textId="1374DABC" w:rsidR="007C7FD8" w:rsidRDefault="007C7FD8" w:rsidP="007409B9">
      <w:pPr>
        <w:pStyle w:val="ListParagraph"/>
        <w:spacing w:after="0" w:line="240" w:lineRule="auto"/>
        <w:ind w:left="360" w:hanging="360"/>
        <w:rPr>
          <w:color w:val="31849B" w:themeColor="accent5" w:themeShade="BF"/>
          <w:sz w:val="24"/>
          <w:szCs w:val="24"/>
        </w:rPr>
      </w:pPr>
    </w:p>
    <w:p w14:paraId="04F829FA" w14:textId="3F6F20D4" w:rsidR="007C7FD8" w:rsidRDefault="007C7FD8" w:rsidP="007409B9">
      <w:pPr>
        <w:pStyle w:val="ListParagraph"/>
        <w:spacing w:after="0" w:line="240" w:lineRule="auto"/>
        <w:ind w:left="360" w:hanging="360"/>
        <w:rPr>
          <w:color w:val="31849B" w:themeColor="accent5" w:themeShade="BF"/>
          <w:sz w:val="24"/>
          <w:szCs w:val="24"/>
        </w:rPr>
      </w:pPr>
    </w:p>
    <w:p w14:paraId="254B4A05" w14:textId="546375F6" w:rsidR="007C7FD8" w:rsidRDefault="007C7FD8" w:rsidP="007409B9">
      <w:pPr>
        <w:pStyle w:val="ListParagraph"/>
        <w:spacing w:after="0" w:line="240" w:lineRule="auto"/>
        <w:ind w:left="360" w:hanging="360"/>
        <w:rPr>
          <w:color w:val="31849B" w:themeColor="accent5" w:themeShade="BF"/>
          <w:sz w:val="24"/>
          <w:szCs w:val="24"/>
        </w:rPr>
      </w:pPr>
    </w:p>
    <w:p w14:paraId="06B13789" w14:textId="57AC3C17" w:rsidR="007C7FD8" w:rsidRDefault="007C7FD8" w:rsidP="007409B9">
      <w:pPr>
        <w:pStyle w:val="ListParagraph"/>
        <w:spacing w:after="0" w:line="240" w:lineRule="auto"/>
        <w:ind w:left="360" w:hanging="360"/>
        <w:rPr>
          <w:color w:val="31849B" w:themeColor="accent5" w:themeShade="BF"/>
          <w:sz w:val="24"/>
          <w:szCs w:val="24"/>
        </w:rPr>
      </w:pPr>
    </w:p>
    <w:p w14:paraId="058A167A" w14:textId="1D8CEAD0" w:rsidR="007C7FD8" w:rsidRDefault="007C7FD8" w:rsidP="007409B9">
      <w:pPr>
        <w:pStyle w:val="ListParagraph"/>
        <w:spacing w:after="0" w:line="240" w:lineRule="auto"/>
        <w:ind w:left="360" w:hanging="360"/>
        <w:rPr>
          <w:color w:val="31849B" w:themeColor="accent5" w:themeShade="BF"/>
          <w:sz w:val="24"/>
          <w:szCs w:val="24"/>
        </w:rPr>
      </w:pPr>
    </w:p>
    <w:p w14:paraId="4218F2A6" w14:textId="52218FEA" w:rsidR="007C7FD8" w:rsidRDefault="007C7FD8" w:rsidP="007409B9">
      <w:pPr>
        <w:pStyle w:val="ListParagraph"/>
        <w:spacing w:after="0" w:line="240" w:lineRule="auto"/>
        <w:ind w:left="360" w:hanging="360"/>
        <w:rPr>
          <w:color w:val="31849B" w:themeColor="accent5" w:themeShade="BF"/>
          <w:sz w:val="24"/>
          <w:szCs w:val="24"/>
        </w:rPr>
      </w:pPr>
    </w:p>
    <w:p w14:paraId="6C9AD407" w14:textId="0AC51073" w:rsidR="007C7FD8" w:rsidRDefault="007C7FD8" w:rsidP="007409B9">
      <w:pPr>
        <w:pStyle w:val="ListParagraph"/>
        <w:spacing w:after="0" w:line="240" w:lineRule="auto"/>
        <w:ind w:left="360" w:hanging="360"/>
        <w:rPr>
          <w:color w:val="31849B" w:themeColor="accent5" w:themeShade="BF"/>
          <w:sz w:val="24"/>
          <w:szCs w:val="24"/>
        </w:rPr>
      </w:pPr>
    </w:p>
    <w:p w14:paraId="4514C1A7" w14:textId="4855EE26" w:rsidR="007C7FD8" w:rsidRDefault="007C7FD8" w:rsidP="007409B9">
      <w:pPr>
        <w:pStyle w:val="ListParagraph"/>
        <w:spacing w:after="0" w:line="240" w:lineRule="auto"/>
        <w:ind w:left="360" w:hanging="360"/>
        <w:rPr>
          <w:color w:val="31849B" w:themeColor="accent5" w:themeShade="BF"/>
          <w:sz w:val="24"/>
          <w:szCs w:val="24"/>
        </w:rPr>
      </w:pPr>
    </w:p>
    <w:p w14:paraId="239DF06A" w14:textId="77777777" w:rsidR="007C7FD8" w:rsidRDefault="007C7FD8" w:rsidP="007409B9">
      <w:pPr>
        <w:pStyle w:val="ListParagraph"/>
        <w:spacing w:after="0" w:line="240" w:lineRule="auto"/>
        <w:ind w:left="360" w:hanging="360"/>
        <w:rPr>
          <w:color w:val="31849B" w:themeColor="accent5" w:themeShade="BF"/>
          <w:sz w:val="24"/>
          <w:szCs w:val="24"/>
        </w:rPr>
      </w:pPr>
    </w:p>
    <w:tbl>
      <w:tblPr>
        <w:tblStyle w:val="TableGrid"/>
        <w:tblW w:w="9215" w:type="dxa"/>
        <w:tblInd w:w="-5" w:type="dxa"/>
        <w:tblLook w:val="04A0" w:firstRow="1" w:lastRow="0" w:firstColumn="1" w:lastColumn="0" w:noHBand="0" w:noVBand="1"/>
      </w:tblPr>
      <w:tblGrid>
        <w:gridCol w:w="2410"/>
        <w:gridCol w:w="4820"/>
        <w:gridCol w:w="1985"/>
      </w:tblGrid>
      <w:tr w:rsidR="00ED2575" w:rsidRPr="00F03AD8" w14:paraId="70D608C0" w14:textId="77777777" w:rsidTr="00EF3813">
        <w:tc>
          <w:tcPr>
            <w:tcW w:w="9215" w:type="dxa"/>
            <w:gridSpan w:val="3"/>
          </w:tcPr>
          <w:p w14:paraId="7B1818D3" w14:textId="77777777" w:rsidR="00ED2575" w:rsidRPr="00F03AD8" w:rsidRDefault="00ED2575" w:rsidP="00CB64BE">
            <w:pPr>
              <w:rPr>
                <w:b/>
                <w:color w:val="000000" w:themeColor="text1"/>
                <w:sz w:val="24"/>
                <w:szCs w:val="24"/>
              </w:rPr>
            </w:pPr>
            <w:r w:rsidRPr="00F03AD8">
              <w:rPr>
                <w:b/>
                <w:color w:val="000000" w:themeColor="text1"/>
                <w:sz w:val="24"/>
                <w:szCs w:val="24"/>
              </w:rPr>
              <w:lastRenderedPageBreak/>
              <w:t xml:space="preserve">Outline Project Plan - Set out your initial plan about the timeline for your project.  </w:t>
            </w:r>
          </w:p>
          <w:p w14:paraId="667D5295" w14:textId="77777777" w:rsidR="00ED2575" w:rsidRPr="00F03AD8" w:rsidRDefault="00ED2575" w:rsidP="00CB64BE">
            <w:pPr>
              <w:rPr>
                <w:b/>
                <w:color w:val="000000" w:themeColor="text1"/>
                <w:sz w:val="24"/>
                <w:szCs w:val="24"/>
              </w:rPr>
            </w:pPr>
            <w:r w:rsidRPr="00F03AD8">
              <w:rPr>
                <w:b/>
                <w:color w:val="000000" w:themeColor="text1"/>
                <w:sz w:val="24"/>
                <w:szCs w:val="24"/>
              </w:rPr>
              <w:t>(This should be reviewed regularly)</w:t>
            </w:r>
          </w:p>
        </w:tc>
      </w:tr>
      <w:tr w:rsidR="00ED2575" w:rsidRPr="00F03AD8" w14:paraId="3A11CE9B" w14:textId="77777777" w:rsidTr="00EF3813">
        <w:tc>
          <w:tcPr>
            <w:tcW w:w="2410" w:type="dxa"/>
          </w:tcPr>
          <w:p w14:paraId="5E1A99CC" w14:textId="77777777" w:rsidR="00ED2575" w:rsidRPr="00F03AD8" w:rsidRDefault="00ED2575" w:rsidP="00CB64BE">
            <w:pPr>
              <w:pStyle w:val="ListParagraph"/>
              <w:ind w:left="0"/>
              <w:rPr>
                <w:b/>
                <w:color w:val="000000" w:themeColor="text1"/>
                <w:sz w:val="24"/>
                <w:szCs w:val="24"/>
              </w:rPr>
            </w:pPr>
            <w:r w:rsidRPr="00F03AD8">
              <w:rPr>
                <w:b/>
                <w:color w:val="000000" w:themeColor="text1"/>
                <w:sz w:val="24"/>
                <w:szCs w:val="24"/>
              </w:rPr>
              <w:t>Project Stage</w:t>
            </w:r>
          </w:p>
        </w:tc>
        <w:tc>
          <w:tcPr>
            <w:tcW w:w="4820" w:type="dxa"/>
          </w:tcPr>
          <w:p w14:paraId="3D8AFE40" w14:textId="77777777" w:rsidR="00ED2575" w:rsidRPr="00F03AD8" w:rsidRDefault="00ED2575" w:rsidP="00CB64BE">
            <w:pPr>
              <w:pStyle w:val="ListParagraph"/>
              <w:ind w:left="0"/>
              <w:rPr>
                <w:b/>
                <w:color w:val="000000" w:themeColor="text1"/>
                <w:sz w:val="24"/>
                <w:szCs w:val="24"/>
              </w:rPr>
            </w:pPr>
            <w:r w:rsidRPr="00F03AD8">
              <w:rPr>
                <w:b/>
                <w:color w:val="000000" w:themeColor="text1"/>
                <w:sz w:val="24"/>
                <w:szCs w:val="24"/>
              </w:rPr>
              <w:t>Actions</w:t>
            </w:r>
          </w:p>
        </w:tc>
        <w:tc>
          <w:tcPr>
            <w:tcW w:w="1985" w:type="dxa"/>
          </w:tcPr>
          <w:p w14:paraId="1848C09C" w14:textId="77777777" w:rsidR="00ED2575" w:rsidRPr="00F03AD8" w:rsidRDefault="00ED2575" w:rsidP="00CB64BE">
            <w:pPr>
              <w:pStyle w:val="ListParagraph"/>
              <w:ind w:left="0"/>
              <w:rPr>
                <w:b/>
                <w:color w:val="000000" w:themeColor="text1"/>
                <w:sz w:val="24"/>
                <w:szCs w:val="24"/>
              </w:rPr>
            </w:pPr>
            <w:r w:rsidRPr="00F03AD8">
              <w:rPr>
                <w:b/>
                <w:color w:val="000000" w:themeColor="text1"/>
                <w:sz w:val="24"/>
                <w:szCs w:val="24"/>
              </w:rPr>
              <w:t>Timescale</w:t>
            </w:r>
          </w:p>
        </w:tc>
      </w:tr>
      <w:tr w:rsidR="00ED2575" w:rsidRPr="00F03AD8" w14:paraId="7162600C" w14:textId="77777777" w:rsidTr="00EF3813">
        <w:tc>
          <w:tcPr>
            <w:tcW w:w="2410" w:type="dxa"/>
          </w:tcPr>
          <w:p w14:paraId="582FD10C" w14:textId="77777777" w:rsidR="00ED2575" w:rsidRPr="00F03AD8" w:rsidRDefault="00ED2575" w:rsidP="00CB64BE">
            <w:pPr>
              <w:rPr>
                <w:b/>
                <w:color w:val="000000" w:themeColor="text1"/>
                <w:sz w:val="24"/>
                <w:szCs w:val="24"/>
              </w:rPr>
            </w:pPr>
            <w:r w:rsidRPr="00F03AD8">
              <w:rPr>
                <w:b/>
                <w:color w:val="000000" w:themeColor="text1"/>
                <w:sz w:val="24"/>
                <w:szCs w:val="24"/>
              </w:rPr>
              <w:t>Getting Started</w:t>
            </w:r>
          </w:p>
          <w:p w14:paraId="3D7390CD" w14:textId="77777777" w:rsidR="00ED2575" w:rsidRPr="00F03AD8" w:rsidRDefault="00ED2575" w:rsidP="00CB64BE">
            <w:pPr>
              <w:pStyle w:val="ListParagraph"/>
              <w:ind w:left="0"/>
              <w:rPr>
                <w:b/>
                <w:color w:val="000000" w:themeColor="text1"/>
                <w:sz w:val="24"/>
                <w:szCs w:val="24"/>
              </w:rPr>
            </w:pPr>
            <w:r w:rsidRPr="00F03AD8">
              <w:rPr>
                <w:color w:val="000000" w:themeColor="text1"/>
                <w:sz w:val="24"/>
                <w:szCs w:val="24"/>
              </w:rPr>
              <w:t>(Project Score 1-3)</w:t>
            </w:r>
          </w:p>
        </w:tc>
        <w:tc>
          <w:tcPr>
            <w:tcW w:w="4820" w:type="dxa"/>
          </w:tcPr>
          <w:p w14:paraId="7922449B" w14:textId="77777777" w:rsidR="00ED2575" w:rsidRDefault="00ED2575" w:rsidP="00ED2575">
            <w:pPr>
              <w:rPr>
                <w:szCs w:val="24"/>
              </w:rPr>
            </w:pPr>
            <w:r w:rsidRPr="0011681D">
              <w:rPr>
                <w:szCs w:val="24"/>
              </w:rPr>
              <w:t xml:space="preserve">We will organise session(s) at the Community Council Forum with the aim of setting up community resilience groups.  We will involve relevant expert speakers and our community champions to convince Community Councils that this is necessary and to gain their support.  </w:t>
            </w:r>
          </w:p>
          <w:p w14:paraId="78497411" w14:textId="77777777" w:rsidR="00EF3813" w:rsidRDefault="00EF3813" w:rsidP="00ED2575">
            <w:pPr>
              <w:rPr>
                <w:b/>
                <w:color w:val="000000" w:themeColor="text1"/>
                <w:sz w:val="24"/>
                <w:szCs w:val="24"/>
              </w:rPr>
            </w:pPr>
          </w:p>
          <w:p w14:paraId="14565237" w14:textId="32AED5B6" w:rsidR="00EF3813" w:rsidRPr="00F03AD8" w:rsidRDefault="00EF3813" w:rsidP="00ED2575">
            <w:pPr>
              <w:rPr>
                <w:b/>
                <w:color w:val="000000" w:themeColor="text1"/>
                <w:sz w:val="24"/>
                <w:szCs w:val="24"/>
              </w:rPr>
            </w:pPr>
          </w:p>
        </w:tc>
        <w:tc>
          <w:tcPr>
            <w:tcW w:w="1985" w:type="dxa"/>
          </w:tcPr>
          <w:p w14:paraId="4E9CD348" w14:textId="31C16458" w:rsidR="00E32E4D" w:rsidRPr="007C7FD8" w:rsidRDefault="00E32E4D" w:rsidP="00CB64BE">
            <w:pPr>
              <w:pStyle w:val="ListParagraph"/>
              <w:ind w:left="0"/>
              <w:rPr>
                <w:szCs w:val="24"/>
              </w:rPr>
            </w:pPr>
            <w:r w:rsidRPr="007C7FD8">
              <w:rPr>
                <w:szCs w:val="24"/>
              </w:rPr>
              <w:t>August 2019</w:t>
            </w:r>
          </w:p>
        </w:tc>
      </w:tr>
      <w:tr w:rsidR="00ED2575" w:rsidRPr="00F03AD8" w14:paraId="4E2C79C6" w14:textId="77777777" w:rsidTr="00EF3813">
        <w:tc>
          <w:tcPr>
            <w:tcW w:w="2410" w:type="dxa"/>
          </w:tcPr>
          <w:p w14:paraId="660BA5F7" w14:textId="77777777" w:rsidR="00ED2575" w:rsidRPr="00F03AD8" w:rsidRDefault="00ED2575" w:rsidP="00CB64BE">
            <w:pPr>
              <w:rPr>
                <w:b/>
                <w:color w:val="000000" w:themeColor="text1"/>
                <w:sz w:val="24"/>
                <w:szCs w:val="24"/>
              </w:rPr>
            </w:pPr>
            <w:r w:rsidRPr="00F03AD8">
              <w:rPr>
                <w:b/>
                <w:color w:val="000000" w:themeColor="text1"/>
                <w:sz w:val="24"/>
                <w:szCs w:val="24"/>
              </w:rPr>
              <w:t>Designing and Testing Changes</w:t>
            </w:r>
          </w:p>
          <w:p w14:paraId="67EAED70" w14:textId="77777777" w:rsidR="00ED2575" w:rsidRPr="00F03AD8" w:rsidRDefault="00ED2575" w:rsidP="00CB64BE">
            <w:pPr>
              <w:rPr>
                <w:b/>
                <w:color w:val="000000" w:themeColor="text1"/>
                <w:sz w:val="24"/>
                <w:szCs w:val="24"/>
              </w:rPr>
            </w:pPr>
            <w:r w:rsidRPr="00F03AD8">
              <w:rPr>
                <w:color w:val="000000" w:themeColor="text1"/>
                <w:sz w:val="24"/>
                <w:szCs w:val="24"/>
              </w:rPr>
              <w:t>(Project Score 4-7)</w:t>
            </w:r>
          </w:p>
        </w:tc>
        <w:tc>
          <w:tcPr>
            <w:tcW w:w="4820" w:type="dxa"/>
          </w:tcPr>
          <w:p w14:paraId="7F40179E" w14:textId="571941D8" w:rsidR="00ED2575" w:rsidRPr="007C7FD8" w:rsidRDefault="00ED2575" w:rsidP="007C7FD8">
            <w:pPr>
              <w:pStyle w:val="ListParagraph"/>
              <w:ind w:left="0"/>
              <w:rPr>
                <w:szCs w:val="24"/>
              </w:rPr>
            </w:pPr>
            <w:r w:rsidRPr="0011681D">
              <w:rPr>
                <w:szCs w:val="24"/>
              </w:rPr>
              <w:t xml:space="preserve">When there is sufficient participation and planning is complete, we will undertake a </w:t>
            </w:r>
            <w:r w:rsidR="006C5575" w:rsidRPr="007C7FD8">
              <w:rPr>
                <w:szCs w:val="24"/>
              </w:rPr>
              <w:t xml:space="preserve">desktop and </w:t>
            </w:r>
            <w:r w:rsidRPr="0011681D">
              <w:rPr>
                <w:szCs w:val="24"/>
              </w:rPr>
              <w:t>simulation exercise to test out the effectiveness of training, community response and public sector involvement.</w:t>
            </w:r>
          </w:p>
        </w:tc>
        <w:tc>
          <w:tcPr>
            <w:tcW w:w="1985" w:type="dxa"/>
          </w:tcPr>
          <w:p w14:paraId="58D71423" w14:textId="7000874E" w:rsidR="00E32E4D" w:rsidRPr="007C7FD8" w:rsidRDefault="00E32E4D" w:rsidP="007C7FD8">
            <w:pPr>
              <w:pStyle w:val="ListParagraph"/>
              <w:ind w:left="0"/>
              <w:rPr>
                <w:szCs w:val="24"/>
              </w:rPr>
            </w:pPr>
            <w:r w:rsidRPr="007C7FD8">
              <w:rPr>
                <w:szCs w:val="24"/>
              </w:rPr>
              <w:t>This will begin in January 2020 and complete all areas by April 2020</w:t>
            </w:r>
          </w:p>
        </w:tc>
      </w:tr>
      <w:tr w:rsidR="00ED2575" w:rsidRPr="00F03AD8" w14:paraId="5AD02ECA" w14:textId="77777777" w:rsidTr="00EF3813">
        <w:tc>
          <w:tcPr>
            <w:tcW w:w="2410" w:type="dxa"/>
          </w:tcPr>
          <w:p w14:paraId="1B4892D3" w14:textId="77777777" w:rsidR="00ED2575" w:rsidRPr="00F03AD8" w:rsidRDefault="00ED2575" w:rsidP="00CB64BE">
            <w:pPr>
              <w:rPr>
                <w:b/>
                <w:color w:val="000000" w:themeColor="text1"/>
                <w:sz w:val="24"/>
                <w:szCs w:val="24"/>
              </w:rPr>
            </w:pPr>
            <w:r w:rsidRPr="00F03AD8">
              <w:rPr>
                <w:b/>
                <w:color w:val="000000" w:themeColor="text1"/>
                <w:sz w:val="24"/>
                <w:szCs w:val="24"/>
              </w:rPr>
              <w:t>Implementing and sustaining changes that demonstrate improvement</w:t>
            </w:r>
          </w:p>
          <w:p w14:paraId="4A355FB9" w14:textId="77777777" w:rsidR="00ED2575" w:rsidRPr="00F03AD8" w:rsidRDefault="00ED2575" w:rsidP="00CB64BE">
            <w:pPr>
              <w:rPr>
                <w:b/>
                <w:color w:val="000000" w:themeColor="text1"/>
                <w:sz w:val="24"/>
                <w:szCs w:val="24"/>
              </w:rPr>
            </w:pPr>
            <w:r w:rsidRPr="00F03AD8">
              <w:rPr>
                <w:color w:val="000000" w:themeColor="text1"/>
                <w:sz w:val="24"/>
                <w:szCs w:val="24"/>
              </w:rPr>
              <w:t>(Project Score 7-10)</w:t>
            </w:r>
          </w:p>
        </w:tc>
        <w:tc>
          <w:tcPr>
            <w:tcW w:w="4820" w:type="dxa"/>
          </w:tcPr>
          <w:p w14:paraId="7EFFD574" w14:textId="77777777" w:rsidR="00ED2575" w:rsidRDefault="00ED2575" w:rsidP="00CB64BE">
            <w:pPr>
              <w:rPr>
                <w:szCs w:val="24"/>
              </w:rPr>
            </w:pPr>
            <w:r w:rsidRPr="0011681D">
              <w:rPr>
                <w:szCs w:val="24"/>
              </w:rPr>
              <w:t xml:space="preserve">When groups are established, we will share good practice from successful resilience partnerships, including the framework developed by Culter.  We will also put together a tailored package of support from public sector/emergency services. </w:t>
            </w:r>
          </w:p>
          <w:p w14:paraId="37ACC91D" w14:textId="77777777" w:rsidR="006C5575" w:rsidRDefault="006C5575" w:rsidP="00CB64BE">
            <w:pPr>
              <w:rPr>
                <w:szCs w:val="24"/>
              </w:rPr>
            </w:pPr>
          </w:p>
          <w:p w14:paraId="414B70F5" w14:textId="40A21FA0" w:rsidR="006C5575" w:rsidRPr="00ED2575" w:rsidRDefault="006C5575" w:rsidP="00CB64BE">
            <w:pPr>
              <w:rPr>
                <w:szCs w:val="24"/>
              </w:rPr>
            </w:pPr>
          </w:p>
        </w:tc>
        <w:tc>
          <w:tcPr>
            <w:tcW w:w="1985" w:type="dxa"/>
          </w:tcPr>
          <w:p w14:paraId="06392F17" w14:textId="5DB8C399" w:rsidR="00E32E4D" w:rsidRPr="00F03AD8" w:rsidRDefault="00E32E4D" w:rsidP="00CB64BE">
            <w:pPr>
              <w:pStyle w:val="ListParagraph"/>
              <w:ind w:left="0"/>
              <w:rPr>
                <w:b/>
                <w:color w:val="000000" w:themeColor="text1"/>
                <w:sz w:val="24"/>
                <w:szCs w:val="24"/>
              </w:rPr>
            </w:pPr>
            <w:r w:rsidRPr="007C7FD8">
              <w:rPr>
                <w:szCs w:val="24"/>
              </w:rPr>
              <w:t>This will be occurring continuously from January 2020</w:t>
            </w:r>
          </w:p>
        </w:tc>
      </w:tr>
      <w:tr w:rsidR="00ED2575" w:rsidRPr="00F03AD8" w14:paraId="4FC53461" w14:textId="77777777" w:rsidTr="00EF3813">
        <w:tc>
          <w:tcPr>
            <w:tcW w:w="2410" w:type="dxa"/>
          </w:tcPr>
          <w:p w14:paraId="7F9FE660" w14:textId="77777777" w:rsidR="00ED2575" w:rsidRPr="00F03AD8" w:rsidRDefault="00ED2575" w:rsidP="00CB64BE">
            <w:pPr>
              <w:rPr>
                <w:rFonts w:ascii="Arial" w:hAnsi="Arial" w:cs="Arial"/>
                <w:b/>
                <w:noProof/>
                <w:color w:val="000000" w:themeColor="text1"/>
                <w:sz w:val="24"/>
                <w:lang w:eastAsia="en-GB"/>
              </w:rPr>
            </w:pPr>
            <w:r w:rsidRPr="00F03AD8">
              <w:rPr>
                <w:b/>
                <w:color w:val="000000" w:themeColor="text1"/>
                <w:sz w:val="24"/>
                <w:szCs w:val="24"/>
              </w:rPr>
              <w:t>Spreading Changes</w:t>
            </w:r>
            <w:r w:rsidRPr="00F03AD8">
              <w:rPr>
                <w:rFonts w:ascii="Arial" w:hAnsi="Arial" w:cs="Arial"/>
                <w:b/>
                <w:noProof/>
                <w:color w:val="000000" w:themeColor="text1"/>
                <w:sz w:val="24"/>
                <w:lang w:eastAsia="en-GB"/>
              </w:rPr>
              <w:t xml:space="preserve"> </w:t>
            </w:r>
          </w:p>
          <w:p w14:paraId="3455FFC4" w14:textId="77777777" w:rsidR="00ED2575" w:rsidRPr="00F03AD8" w:rsidRDefault="00ED2575" w:rsidP="00CB64BE">
            <w:pPr>
              <w:rPr>
                <w:b/>
                <w:color w:val="000000" w:themeColor="text1"/>
                <w:sz w:val="24"/>
                <w:szCs w:val="24"/>
              </w:rPr>
            </w:pPr>
            <w:r w:rsidRPr="00F03AD8">
              <w:rPr>
                <w:color w:val="000000" w:themeColor="text1"/>
                <w:sz w:val="24"/>
                <w:szCs w:val="24"/>
              </w:rPr>
              <w:t>(Project Score 9-10)</w:t>
            </w:r>
          </w:p>
        </w:tc>
        <w:tc>
          <w:tcPr>
            <w:tcW w:w="4820" w:type="dxa"/>
          </w:tcPr>
          <w:p w14:paraId="186262A0" w14:textId="541C2C7B" w:rsidR="00ED2575" w:rsidRPr="007C7FD8" w:rsidRDefault="006C5575" w:rsidP="00CB64BE">
            <w:pPr>
              <w:rPr>
                <w:szCs w:val="24"/>
              </w:rPr>
            </w:pPr>
            <w:r w:rsidRPr="007C7FD8">
              <w:rPr>
                <w:szCs w:val="24"/>
              </w:rPr>
              <w:t xml:space="preserve">We will continue to keep in touch with community resilience groups and encourage them to reach out to other, new groups.  Ultimately we see the groups operating within the Resilience Partnership, embedding them as an equal partner.  </w:t>
            </w:r>
          </w:p>
          <w:p w14:paraId="116E608E" w14:textId="77777777" w:rsidR="00ED2575" w:rsidRPr="007C7FD8" w:rsidRDefault="00ED2575" w:rsidP="00CB64BE">
            <w:pPr>
              <w:rPr>
                <w:szCs w:val="24"/>
              </w:rPr>
            </w:pPr>
          </w:p>
        </w:tc>
        <w:tc>
          <w:tcPr>
            <w:tcW w:w="1985" w:type="dxa"/>
          </w:tcPr>
          <w:p w14:paraId="527AE58D" w14:textId="41FC036A" w:rsidR="00E32E4D" w:rsidRPr="007C7FD8" w:rsidRDefault="00E32E4D" w:rsidP="00CB64BE">
            <w:pPr>
              <w:pStyle w:val="ListParagraph"/>
              <w:ind w:left="0"/>
              <w:rPr>
                <w:szCs w:val="24"/>
              </w:rPr>
            </w:pPr>
            <w:r w:rsidRPr="007C7FD8">
              <w:rPr>
                <w:szCs w:val="24"/>
              </w:rPr>
              <w:t>May 2020</w:t>
            </w:r>
          </w:p>
        </w:tc>
      </w:tr>
    </w:tbl>
    <w:p w14:paraId="5B774521" w14:textId="77777777" w:rsidR="00ED2575" w:rsidRPr="00F03AD8" w:rsidRDefault="00ED2575" w:rsidP="00ED2575">
      <w:pPr>
        <w:spacing w:after="0" w:line="240" w:lineRule="auto"/>
        <w:rPr>
          <w:rFonts w:ascii="Arial" w:hAnsi="Arial" w:cs="Arial"/>
          <w:b/>
          <w:noProof/>
          <w:color w:val="000000" w:themeColor="text1"/>
          <w:sz w:val="24"/>
          <w:lang w:eastAsia="en-GB"/>
        </w:rPr>
      </w:pPr>
    </w:p>
    <w:p w14:paraId="463CDB40" w14:textId="2805A1AC" w:rsidR="007409B9" w:rsidRDefault="007409B9" w:rsidP="00ED2575">
      <w:pPr>
        <w:spacing w:after="0" w:line="240" w:lineRule="auto"/>
        <w:rPr>
          <w:color w:val="31849B" w:themeColor="accent5" w:themeShade="BF"/>
          <w:sz w:val="24"/>
          <w:szCs w:val="24"/>
        </w:rPr>
      </w:pPr>
    </w:p>
    <w:sectPr w:rsidR="007409B9" w:rsidSect="00C15E3E">
      <w:footerReference w:type="default" r:id="rId8"/>
      <w:pgSz w:w="11906" w:h="16838"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9546" w14:textId="77777777" w:rsidR="00911682" w:rsidRDefault="00911682" w:rsidP="003538CA">
      <w:pPr>
        <w:spacing w:after="0" w:line="240" w:lineRule="auto"/>
      </w:pPr>
      <w:r>
        <w:separator/>
      </w:r>
    </w:p>
  </w:endnote>
  <w:endnote w:type="continuationSeparator" w:id="0">
    <w:p w14:paraId="20337D52" w14:textId="77777777" w:rsidR="00911682" w:rsidRDefault="00911682" w:rsidP="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34052"/>
      <w:docPartObj>
        <w:docPartGallery w:val="Page Numbers (Bottom of Page)"/>
        <w:docPartUnique/>
      </w:docPartObj>
    </w:sdtPr>
    <w:sdtEndPr>
      <w:rPr>
        <w:rFonts w:ascii="Arial" w:hAnsi="Arial" w:cs="Arial"/>
        <w:noProof/>
        <w:color w:val="A6A6A6" w:themeColor="background1" w:themeShade="A6"/>
      </w:rPr>
    </w:sdtEndPr>
    <w:sdtContent>
      <w:p w14:paraId="2F822A6F" w14:textId="77777777" w:rsidR="00F36FEF" w:rsidRPr="00512D50" w:rsidRDefault="00F36FEF">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sidR="00E32E4D">
          <w:rPr>
            <w:rFonts w:ascii="Arial" w:hAnsi="Arial" w:cs="Arial"/>
            <w:noProof/>
            <w:color w:val="A6A6A6" w:themeColor="background1" w:themeShade="A6"/>
          </w:rPr>
          <w:t>1</w:t>
        </w:r>
        <w:r w:rsidRPr="00512D50">
          <w:rPr>
            <w:rFonts w:ascii="Arial" w:hAnsi="Arial" w:cs="Arial"/>
            <w:noProof/>
            <w:color w:val="A6A6A6" w:themeColor="background1" w:themeShade="A6"/>
          </w:rPr>
          <w:fldChar w:fldCharType="end"/>
        </w:r>
      </w:p>
    </w:sdtContent>
  </w:sdt>
  <w:p w14:paraId="2FA2AB35" w14:textId="77777777" w:rsidR="00F36FEF" w:rsidRDefault="00F3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53C7" w14:textId="77777777" w:rsidR="00911682" w:rsidRDefault="00911682" w:rsidP="003538CA">
      <w:pPr>
        <w:spacing w:after="0" w:line="240" w:lineRule="auto"/>
      </w:pPr>
      <w:r>
        <w:separator/>
      </w:r>
    </w:p>
  </w:footnote>
  <w:footnote w:type="continuationSeparator" w:id="0">
    <w:p w14:paraId="0209E2F1" w14:textId="77777777" w:rsidR="00911682" w:rsidRDefault="00911682" w:rsidP="003538CA">
      <w:pPr>
        <w:spacing w:after="0" w:line="240" w:lineRule="auto"/>
      </w:pPr>
      <w:r>
        <w:continuationSeparator/>
      </w:r>
    </w:p>
  </w:footnote>
  <w:footnote w:id="1">
    <w:p w14:paraId="50380E2F" w14:textId="32E6AEA4" w:rsidR="009472E4" w:rsidRDefault="009472E4">
      <w:pPr>
        <w:pStyle w:val="FootnoteText"/>
      </w:pPr>
      <w:r>
        <w:rPr>
          <w:rStyle w:val="FootnoteReference"/>
        </w:rPr>
        <w:footnoteRef/>
      </w:r>
      <w:r>
        <w:t xml:space="preserve"> </w:t>
      </w:r>
      <w:r>
        <w:rPr>
          <w:rFonts w:ascii="Arial" w:hAnsi="Arial" w:cs="Arial"/>
          <w:color w:val="222222"/>
          <w:sz w:val="19"/>
          <w:szCs w:val="19"/>
          <w:shd w:val="clear" w:color="auto" w:fill="EAF3FF"/>
        </w:rPr>
        <w:t>Sharifi, Ayyoob (October 2016). "A critical review of selected tools for assessing community resilience". </w:t>
      </w:r>
      <w:r>
        <w:rPr>
          <w:rFonts w:ascii="Arial" w:hAnsi="Arial" w:cs="Arial"/>
          <w:i/>
          <w:iCs/>
          <w:color w:val="222222"/>
          <w:sz w:val="19"/>
          <w:szCs w:val="19"/>
          <w:shd w:val="clear" w:color="auto" w:fill="EAF3FF"/>
        </w:rPr>
        <w:t>Ecological Indicators</w:t>
      </w:r>
      <w:r>
        <w:rPr>
          <w:rFonts w:ascii="Arial" w:hAnsi="Arial" w:cs="Arial"/>
          <w:color w:val="222222"/>
          <w:sz w:val="19"/>
          <w:szCs w:val="19"/>
          <w:shd w:val="clear" w:color="auto" w:fill="EAF3FF"/>
        </w:rPr>
        <w:t>. </w:t>
      </w:r>
      <w:r>
        <w:rPr>
          <w:rFonts w:ascii="Arial" w:hAnsi="Arial" w:cs="Arial"/>
          <w:b/>
          <w:bCs/>
          <w:color w:val="222222"/>
          <w:sz w:val="19"/>
          <w:szCs w:val="19"/>
          <w:shd w:val="clear" w:color="auto" w:fill="EAF3FF"/>
        </w:rPr>
        <w:t>69</w:t>
      </w:r>
      <w:r>
        <w:rPr>
          <w:rFonts w:ascii="Arial" w:hAnsi="Arial" w:cs="Arial"/>
          <w:color w:val="222222"/>
          <w:sz w:val="19"/>
          <w:szCs w:val="19"/>
          <w:shd w:val="clear" w:color="auto" w:fill="EAF3FF"/>
        </w:rPr>
        <w:t>: 629–647. </w:t>
      </w:r>
      <w:hyperlink r:id="rId1" w:tooltip="Digital object identifier" w:history="1">
        <w:r>
          <w:rPr>
            <w:rStyle w:val="Hyperlink"/>
            <w:rFonts w:ascii="Arial" w:hAnsi="Arial" w:cs="Arial"/>
            <w:color w:val="0B0080"/>
            <w:sz w:val="19"/>
            <w:szCs w:val="19"/>
            <w:shd w:val="clear" w:color="auto" w:fill="EAF3FF"/>
          </w:rPr>
          <w:t>doi</w:t>
        </w:r>
      </w:hyperlink>
      <w:r>
        <w:rPr>
          <w:rFonts w:ascii="Arial" w:hAnsi="Arial" w:cs="Arial"/>
          <w:color w:val="222222"/>
          <w:sz w:val="19"/>
          <w:szCs w:val="19"/>
          <w:shd w:val="clear" w:color="auto" w:fill="EAF3FF"/>
        </w:rPr>
        <w:t>:</w:t>
      </w:r>
      <w:hyperlink r:id="rId2" w:history="1">
        <w:r>
          <w:rPr>
            <w:rStyle w:val="Hyperlink"/>
            <w:rFonts w:ascii="Arial" w:hAnsi="Arial" w:cs="Arial"/>
            <w:color w:val="663366"/>
            <w:sz w:val="19"/>
            <w:szCs w:val="19"/>
          </w:rPr>
          <w:t>10.1016/j.ecolind.2016.05.023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265"/>
    <w:multiLevelType w:val="hybridMultilevel"/>
    <w:tmpl w:val="8A6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43341C"/>
    <w:multiLevelType w:val="hybridMultilevel"/>
    <w:tmpl w:val="2B967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2503D"/>
    <w:multiLevelType w:val="hybridMultilevel"/>
    <w:tmpl w:val="0F3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06EE0"/>
    <w:multiLevelType w:val="hybridMultilevel"/>
    <w:tmpl w:val="CA8CFD5A"/>
    <w:lvl w:ilvl="0" w:tplc="E2542E2C">
      <w:start w:val="1"/>
      <w:numFmt w:val="decimal"/>
      <w:lvlText w:val="%1."/>
      <w:lvlJc w:val="left"/>
      <w:pPr>
        <w:ind w:left="394" w:hanging="360"/>
      </w:pPr>
      <w:rPr>
        <w:rFonts w:cs="Calibri,BoldItalic"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40802C17"/>
    <w:multiLevelType w:val="hybridMultilevel"/>
    <w:tmpl w:val="7E62F700"/>
    <w:lvl w:ilvl="0" w:tplc="561AB5A2">
      <w:start w:val="1"/>
      <w:numFmt w:val="decimal"/>
      <w:lvlText w:val="%1."/>
      <w:lvlJc w:val="left"/>
      <w:pPr>
        <w:ind w:left="720" w:hanging="360"/>
      </w:pPr>
      <w:rPr>
        <w:rFonts w:ascii="Calibri,BoldItalic" w:hAnsi="Calibri,BoldItalic" w:cs="Calibri,BoldItal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375C42"/>
    <w:multiLevelType w:val="hybridMultilevel"/>
    <w:tmpl w:val="55A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72A55"/>
    <w:multiLevelType w:val="hybridMultilevel"/>
    <w:tmpl w:val="4152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947EC7"/>
    <w:multiLevelType w:val="hybridMultilevel"/>
    <w:tmpl w:val="91D29A88"/>
    <w:lvl w:ilvl="0" w:tplc="D8E6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B5F77"/>
    <w:multiLevelType w:val="hybridMultilevel"/>
    <w:tmpl w:val="0778EE1C"/>
    <w:lvl w:ilvl="0" w:tplc="161EE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68F0"/>
    <w:multiLevelType w:val="hybridMultilevel"/>
    <w:tmpl w:val="1766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C4199"/>
    <w:multiLevelType w:val="hybridMultilevel"/>
    <w:tmpl w:val="9156FE64"/>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77427"/>
    <w:multiLevelType w:val="hybridMultilevel"/>
    <w:tmpl w:val="4192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F4C6B"/>
    <w:multiLevelType w:val="hybridMultilevel"/>
    <w:tmpl w:val="53649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8A46CB"/>
    <w:multiLevelType w:val="hybridMultilevel"/>
    <w:tmpl w:val="2C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C6A62"/>
    <w:multiLevelType w:val="hybridMultilevel"/>
    <w:tmpl w:val="1CAC61E4"/>
    <w:lvl w:ilvl="0" w:tplc="4FF016E2">
      <w:start w:val="1"/>
      <w:numFmt w:val="decimal"/>
      <w:lvlText w:val="%1."/>
      <w:lvlJc w:val="left"/>
      <w:pPr>
        <w:ind w:left="720" w:hanging="360"/>
      </w:pPr>
      <w:rPr>
        <w:rFonts w:cs="Calibri,BoldItal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2"/>
  </w:num>
  <w:num w:numId="5">
    <w:abstractNumId w:val="8"/>
  </w:num>
  <w:num w:numId="6">
    <w:abstractNumId w:val="16"/>
  </w:num>
  <w:num w:numId="7">
    <w:abstractNumId w:val="13"/>
  </w:num>
  <w:num w:numId="8">
    <w:abstractNumId w:val="11"/>
  </w:num>
  <w:num w:numId="9">
    <w:abstractNumId w:val="5"/>
  </w:num>
  <w:num w:numId="10">
    <w:abstractNumId w:val="17"/>
  </w:num>
  <w:num w:numId="11">
    <w:abstractNumId w:val="4"/>
  </w:num>
  <w:num w:numId="12">
    <w:abstractNumId w:val="14"/>
  </w:num>
  <w:num w:numId="13">
    <w:abstractNumId w:val="0"/>
  </w:num>
  <w:num w:numId="14">
    <w:abstractNumId w:val="2"/>
  </w:num>
  <w:num w:numId="15">
    <w:abstractNumId w:val="3"/>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3"/>
    <w:rsid w:val="00030C1D"/>
    <w:rsid w:val="00050416"/>
    <w:rsid w:val="000945D0"/>
    <w:rsid w:val="0009605F"/>
    <w:rsid w:val="00096096"/>
    <w:rsid w:val="00096675"/>
    <w:rsid w:val="000B4B82"/>
    <w:rsid w:val="000B6493"/>
    <w:rsid w:val="000E5DF3"/>
    <w:rsid w:val="000F31AE"/>
    <w:rsid w:val="0011681D"/>
    <w:rsid w:val="00127976"/>
    <w:rsid w:val="00151788"/>
    <w:rsid w:val="00160B73"/>
    <w:rsid w:val="0016464A"/>
    <w:rsid w:val="001736D1"/>
    <w:rsid w:val="0017662E"/>
    <w:rsid w:val="0019319B"/>
    <w:rsid w:val="001B6684"/>
    <w:rsid w:val="001C243C"/>
    <w:rsid w:val="001C69D8"/>
    <w:rsid w:val="001D0C60"/>
    <w:rsid w:val="001E4EB2"/>
    <w:rsid w:val="001F0A3F"/>
    <w:rsid w:val="001F36D5"/>
    <w:rsid w:val="001F5EDE"/>
    <w:rsid w:val="0020739C"/>
    <w:rsid w:val="00227932"/>
    <w:rsid w:val="002302DF"/>
    <w:rsid w:val="0023375E"/>
    <w:rsid w:val="0024305D"/>
    <w:rsid w:val="00273E4C"/>
    <w:rsid w:val="002A11F7"/>
    <w:rsid w:val="002B246C"/>
    <w:rsid w:val="002C723C"/>
    <w:rsid w:val="002D0C16"/>
    <w:rsid w:val="003051D6"/>
    <w:rsid w:val="003265FC"/>
    <w:rsid w:val="00342DD2"/>
    <w:rsid w:val="00344B3F"/>
    <w:rsid w:val="003463E7"/>
    <w:rsid w:val="003538CA"/>
    <w:rsid w:val="0037159B"/>
    <w:rsid w:val="00377476"/>
    <w:rsid w:val="00393764"/>
    <w:rsid w:val="003D033E"/>
    <w:rsid w:val="003D36DF"/>
    <w:rsid w:val="00423315"/>
    <w:rsid w:val="004319CB"/>
    <w:rsid w:val="0046769E"/>
    <w:rsid w:val="004F61FB"/>
    <w:rsid w:val="00512D50"/>
    <w:rsid w:val="00516CCC"/>
    <w:rsid w:val="00531076"/>
    <w:rsid w:val="0053229D"/>
    <w:rsid w:val="00544CF0"/>
    <w:rsid w:val="005A6ABB"/>
    <w:rsid w:val="005B5E7C"/>
    <w:rsid w:val="005B6594"/>
    <w:rsid w:val="005F483C"/>
    <w:rsid w:val="006004F9"/>
    <w:rsid w:val="00604446"/>
    <w:rsid w:val="00632612"/>
    <w:rsid w:val="00637414"/>
    <w:rsid w:val="006519DD"/>
    <w:rsid w:val="00661AD8"/>
    <w:rsid w:val="006927F3"/>
    <w:rsid w:val="00695078"/>
    <w:rsid w:val="006952D8"/>
    <w:rsid w:val="006B4EFD"/>
    <w:rsid w:val="006C5575"/>
    <w:rsid w:val="006E2C41"/>
    <w:rsid w:val="00720118"/>
    <w:rsid w:val="00734D71"/>
    <w:rsid w:val="00736F9A"/>
    <w:rsid w:val="007409B9"/>
    <w:rsid w:val="00755B8F"/>
    <w:rsid w:val="0077699D"/>
    <w:rsid w:val="00781349"/>
    <w:rsid w:val="007872A8"/>
    <w:rsid w:val="007937E3"/>
    <w:rsid w:val="007A333B"/>
    <w:rsid w:val="007A46AE"/>
    <w:rsid w:val="007B5626"/>
    <w:rsid w:val="007C7057"/>
    <w:rsid w:val="007C7FD8"/>
    <w:rsid w:val="007D6508"/>
    <w:rsid w:val="007D68C1"/>
    <w:rsid w:val="008067E1"/>
    <w:rsid w:val="0081437C"/>
    <w:rsid w:val="00822772"/>
    <w:rsid w:val="00827A2A"/>
    <w:rsid w:val="00833CEB"/>
    <w:rsid w:val="008415E3"/>
    <w:rsid w:val="008651DC"/>
    <w:rsid w:val="00870260"/>
    <w:rsid w:val="008703F8"/>
    <w:rsid w:val="008A2A1B"/>
    <w:rsid w:val="008B4319"/>
    <w:rsid w:val="008C3FA0"/>
    <w:rsid w:val="008C7570"/>
    <w:rsid w:val="008D20A0"/>
    <w:rsid w:val="008E537D"/>
    <w:rsid w:val="0090081C"/>
    <w:rsid w:val="0090458F"/>
    <w:rsid w:val="00911682"/>
    <w:rsid w:val="009468CD"/>
    <w:rsid w:val="009472E4"/>
    <w:rsid w:val="009601BF"/>
    <w:rsid w:val="009823C4"/>
    <w:rsid w:val="00995999"/>
    <w:rsid w:val="009C3A14"/>
    <w:rsid w:val="009D197C"/>
    <w:rsid w:val="009D33B5"/>
    <w:rsid w:val="009F3741"/>
    <w:rsid w:val="00A027B6"/>
    <w:rsid w:val="00A03B9A"/>
    <w:rsid w:val="00A20A94"/>
    <w:rsid w:val="00A247E8"/>
    <w:rsid w:val="00A65D62"/>
    <w:rsid w:val="00A71EFF"/>
    <w:rsid w:val="00A71FF2"/>
    <w:rsid w:val="00A74AF7"/>
    <w:rsid w:val="00A817BA"/>
    <w:rsid w:val="00A902B0"/>
    <w:rsid w:val="00AB1173"/>
    <w:rsid w:val="00AD47C0"/>
    <w:rsid w:val="00B21943"/>
    <w:rsid w:val="00B32270"/>
    <w:rsid w:val="00B409E5"/>
    <w:rsid w:val="00B71DCF"/>
    <w:rsid w:val="00B72334"/>
    <w:rsid w:val="00BA454D"/>
    <w:rsid w:val="00BB0589"/>
    <w:rsid w:val="00BB1AEC"/>
    <w:rsid w:val="00BE1D8B"/>
    <w:rsid w:val="00BF03E5"/>
    <w:rsid w:val="00C15E3E"/>
    <w:rsid w:val="00C372C9"/>
    <w:rsid w:val="00C4207C"/>
    <w:rsid w:val="00C42C94"/>
    <w:rsid w:val="00C47B83"/>
    <w:rsid w:val="00C75316"/>
    <w:rsid w:val="00C81B7C"/>
    <w:rsid w:val="00CA75BD"/>
    <w:rsid w:val="00CB7D55"/>
    <w:rsid w:val="00CD1E61"/>
    <w:rsid w:val="00CD513C"/>
    <w:rsid w:val="00CE0F72"/>
    <w:rsid w:val="00CF082C"/>
    <w:rsid w:val="00D20027"/>
    <w:rsid w:val="00D43B02"/>
    <w:rsid w:val="00D52C49"/>
    <w:rsid w:val="00D62926"/>
    <w:rsid w:val="00D67AC8"/>
    <w:rsid w:val="00D801AA"/>
    <w:rsid w:val="00DA0FF6"/>
    <w:rsid w:val="00DA4C89"/>
    <w:rsid w:val="00DB4F0E"/>
    <w:rsid w:val="00DD636E"/>
    <w:rsid w:val="00DD6401"/>
    <w:rsid w:val="00DE4DD7"/>
    <w:rsid w:val="00E13B60"/>
    <w:rsid w:val="00E32E4D"/>
    <w:rsid w:val="00E50CCB"/>
    <w:rsid w:val="00E53325"/>
    <w:rsid w:val="00E616E2"/>
    <w:rsid w:val="00E70E3E"/>
    <w:rsid w:val="00EA4981"/>
    <w:rsid w:val="00ED2575"/>
    <w:rsid w:val="00EE15F3"/>
    <w:rsid w:val="00EF3813"/>
    <w:rsid w:val="00EF6922"/>
    <w:rsid w:val="00F201A5"/>
    <w:rsid w:val="00F204D8"/>
    <w:rsid w:val="00F27E03"/>
    <w:rsid w:val="00F36FEF"/>
    <w:rsid w:val="00F53E76"/>
    <w:rsid w:val="00F5571C"/>
    <w:rsid w:val="00F7058A"/>
    <w:rsid w:val="00F7619C"/>
    <w:rsid w:val="00FA341C"/>
    <w:rsid w:val="00FA3701"/>
    <w:rsid w:val="00FB10B2"/>
    <w:rsid w:val="00FB6F7F"/>
    <w:rsid w:val="00FC3A7C"/>
    <w:rsid w:val="00FD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9CA2"/>
  <w15:docId w15:val="{B5BB6EB3-765A-4D3C-8418-8B229F83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CA"/>
  </w:style>
  <w:style w:type="paragraph" w:styleId="ListParagraph">
    <w:name w:val="List Paragraph"/>
    <w:basedOn w:val="Normal"/>
    <w:uiPriority w:val="34"/>
    <w:qFormat/>
    <w:rsid w:val="00A902B0"/>
    <w:pPr>
      <w:ind w:left="720"/>
      <w:contextualSpacing/>
    </w:pPr>
  </w:style>
  <w:style w:type="paragraph" w:styleId="BalloonText">
    <w:name w:val="Balloon Text"/>
    <w:basedOn w:val="Normal"/>
    <w:link w:val="BalloonTextChar"/>
    <w:uiPriority w:val="99"/>
    <w:semiHidden/>
    <w:unhideWhenUsed/>
    <w:rsid w:val="0046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9E"/>
    <w:rPr>
      <w:rFonts w:ascii="Tahoma" w:hAnsi="Tahoma" w:cs="Tahoma"/>
      <w:sz w:val="16"/>
      <w:szCs w:val="16"/>
    </w:rPr>
  </w:style>
  <w:style w:type="table" w:styleId="TableGrid">
    <w:name w:val="Table Grid"/>
    <w:basedOn w:val="TableNormal"/>
    <w:uiPriority w:val="59"/>
    <w:rsid w:val="0051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6D1"/>
    <w:rPr>
      <w:color w:val="0000FF" w:themeColor="hyperlink"/>
      <w:u w:val="single"/>
    </w:rPr>
  </w:style>
  <w:style w:type="character" w:styleId="CommentReference">
    <w:name w:val="annotation reference"/>
    <w:basedOn w:val="DefaultParagraphFont"/>
    <w:uiPriority w:val="99"/>
    <w:semiHidden/>
    <w:unhideWhenUsed/>
    <w:rsid w:val="00F201A5"/>
    <w:rPr>
      <w:sz w:val="16"/>
      <w:szCs w:val="16"/>
    </w:rPr>
  </w:style>
  <w:style w:type="paragraph" w:styleId="CommentText">
    <w:name w:val="annotation text"/>
    <w:basedOn w:val="Normal"/>
    <w:link w:val="CommentTextChar"/>
    <w:uiPriority w:val="99"/>
    <w:semiHidden/>
    <w:unhideWhenUsed/>
    <w:rsid w:val="00F201A5"/>
    <w:pPr>
      <w:spacing w:line="240" w:lineRule="auto"/>
    </w:pPr>
    <w:rPr>
      <w:sz w:val="20"/>
      <w:szCs w:val="20"/>
    </w:rPr>
  </w:style>
  <w:style w:type="character" w:customStyle="1" w:styleId="CommentTextChar">
    <w:name w:val="Comment Text Char"/>
    <w:basedOn w:val="DefaultParagraphFont"/>
    <w:link w:val="CommentText"/>
    <w:uiPriority w:val="99"/>
    <w:semiHidden/>
    <w:rsid w:val="00F201A5"/>
    <w:rPr>
      <w:sz w:val="20"/>
      <w:szCs w:val="20"/>
    </w:rPr>
  </w:style>
  <w:style w:type="paragraph" w:styleId="CommentSubject">
    <w:name w:val="annotation subject"/>
    <w:basedOn w:val="CommentText"/>
    <w:next w:val="CommentText"/>
    <w:link w:val="CommentSubjectChar"/>
    <w:uiPriority w:val="99"/>
    <w:semiHidden/>
    <w:unhideWhenUsed/>
    <w:rsid w:val="00F201A5"/>
    <w:rPr>
      <w:b/>
      <w:bCs/>
    </w:rPr>
  </w:style>
  <w:style w:type="character" w:customStyle="1" w:styleId="CommentSubjectChar">
    <w:name w:val="Comment Subject Char"/>
    <w:basedOn w:val="CommentTextChar"/>
    <w:link w:val="CommentSubject"/>
    <w:uiPriority w:val="99"/>
    <w:semiHidden/>
    <w:rsid w:val="00F201A5"/>
    <w:rPr>
      <w:b/>
      <w:bCs/>
      <w:sz w:val="20"/>
      <w:szCs w:val="20"/>
    </w:rPr>
  </w:style>
  <w:style w:type="paragraph" w:styleId="FootnoteText">
    <w:name w:val="footnote text"/>
    <w:basedOn w:val="Normal"/>
    <w:link w:val="FootnoteTextChar"/>
    <w:uiPriority w:val="99"/>
    <w:semiHidden/>
    <w:unhideWhenUsed/>
    <w:rsid w:val="00947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2E4"/>
    <w:rPr>
      <w:sz w:val="20"/>
      <w:szCs w:val="20"/>
    </w:rPr>
  </w:style>
  <w:style w:type="character" w:styleId="FootnoteReference">
    <w:name w:val="footnote reference"/>
    <w:basedOn w:val="DefaultParagraphFont"/>
    <w:uiPriority w:val="99"/>
    <w:semiHidden/>
    <w:unhideWhenUsed/>
    <w:rsid w:val="00947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2Fj.ecolind.2016.05.023" TargetMode="External"/><Relationship Id="rId1" Type="http://schemas.openxmlformats.org/officeDocument/2006/relationships/hyperlink" Target="https://en.wikipedia.org/wiki/Digital_object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33B1-B0AE-40F2-9F22-25C79FE7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McIntosh</dc:creator>
  <cp:lastModifiedBy>Michelle Cochlan</cp:lastModifiedBy>
  <cp:revision>4</cp:revision>
  <dcterms:created xsi:type="dcterms:W3CDTF">2019-05-20T11:34:00Z</dcterms:created>
  <dcterms:modified xsi:type="dcterms:W3CDTF">2019-06-06T13:14:00Z</dcterms:modified>
</cp:coreProperties>
</file>