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7087" w14:textId="133CA3E5" w:rsidR="00AC0F63" w:rsidRDefault="005F3A2E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6.3</w:t>
      </w:r>
      <w:bookmarkStart w:id="0" w:name="_GoBack"/>
      <w:bookmarkEnd w:id="0"/>
      <w:r w:rsidR="00017DD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AF500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Foundation Apprenticeships</w:t>
      </w:r>
    </w:p>
    <w:p w14:paraId="2189486F" w14:textId="77777777" w:rsidR="002F40DA" w:rsidRDefault="002F40DA" w:rsidP="002F40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CPA CHARTER FEEDBACK FORM</w:t>
      </w:r>
      <w:r w:rsidRPr="006879A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2AAC9242" w14:textId="77777777" w:rsidR="002F40DA" w:rsidRPr="006879AD" w:rsidRDefault="002F40DA" w:rsidP="002F40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738"/>
        <w:gridCol w:w="4943"/>
      </w:tblGrid>
      <w:tr w:rsidR="002F40DA" w:rsidRPr="006879AD" w14:paraId="3E2C5FF6" w14:textId="77777777" w:rsidTr="00414795"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3AFD7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960BFF">
              <w:rPr>
                <w:rFonts w:eastAsia="Times New Roman" w:cs="Arial"/>
                <w:b/>
                <w:sz w:val="24"/>
                <w:szCs w:val="24"/>
                <w:lang w:eastAsia="en-GB"/>
              </w:rPr>
              <w:t>Reviewed by:</w:t>
            </w:r>
            <w:r w:rsidRPr="006879AD">
              <w:rPr>
                <w:rFonts w:eastAsia="Times New Roman" w:cs="Arial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D97FC" w14:textId="77777777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James Simpson</w:t>
            </w:r>
          </w:p>
        </w:tc>
      </w:tr>
      <w:tr w:rsidR="002F40DA" w:rsidRPr="006879AD" w14:paraId="7583CB6E" w14:textId="77777777" w:rsidTr="00414795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A29CC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879AD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Date: 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2513F" w14:textId="74BD8ED6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6879AD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0</w:t>
            </w:r>
            <w:r w:rsidR="00CD0A0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8</w:t>
            </w:r>
            <w:r w:rsidRPr="006879AD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/0</w:t>
            </w:r>
            <w:r w:rsidR="00414795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6</w:t>
            </w:r>
            <w:r w:rsidRPr="006879AD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/19 </w:t>
            </w:r>
          </w:p>
        </w:tc>
      </w:tr>
      <w:tr w:rsidR="002F40DA" w:rsidRPr="006879AD" w14:paraId="1300676F" w14:textId="77777777" w:rsidTr="00414795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C202A3A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Checklist</w:t>
            </w:r>
          </w:p>
        </w:tc>
        <w:tc>
          <w:tcPr>
            <w:tcW w:w="56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00E93B" w14:textId="77777777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879AD">
              <w:rPr>
                <w:rFonts w:eastAsia="Times New Roman" w:cs="Arial"/>
                <w:b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Summary of feedback</w:t>
            </w:r>
          </w:p>
        </w:tc>
      </w:tr>
      <w:tr w:rsidR="002F40DA" w:rsidRPr="006879AD" w14:paraId="6D7BA626" w14:textId="77777777" w:rsidTr="00414795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CCF7D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1. Is the p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 xml:space="preserve">roject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aim consistent with aim in the LOIP?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200B0CB" w14:textId="77777777" w:rsidR="002F40DA" w:rsidRPr="006879AD" w:rsidRDefault="002F40DA" w:rsidP="00414795">
            <w:pPr>
              <w:spacing w:after="0" w:line="240" w:lineRule="auto"/>
              <w:ind w:firstLine="47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B5966" w14:textId="77777777" w:rsidR="002F40DA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The aim matches the one in the LOIP and looks like a challenging goal.</w:t>
            </w:r>
          </w:p>
          <w:p w14:paraId="6C306E9B" w14:textId="77777777" w:rsidR="002F40DA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9C8A8B" w14:textId="2A354793" w:rsidR="00E37324" w:rsidRPr="006879AD" w:rsidRDefault="00E37324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Clarity regarding definition has been addressed</w:t>
            </w:r>
          </w:p>
        </w:tc>
      </w:tr>
      <w:tr w:rsidR="002F40DA" w:rsidRPr="006879AD" w14:paraId="57629B98" w14:textId="77777777" w:rsidTr="00126790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1F939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2. 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Is there a sound business case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explaining why the project is important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?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FE2E323" w14:textId="6F49D34D" w:rsidR="002F40DA" w:rsidRPr="006879AD" w:rsidRDefault="00780773" w:rsidP="00414795">
            <w:pPr>
              <w:spacing w:after="0" w:line="240" w:lineRule="auto"/>
              <w:ind w:firstLine="47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  <w:r w:rsidR="002F40DA" w:rsidRPr="006879AD">
              <w:rPr>
                <w:rFonts w:eastAsia="Times New Roman" w:cs="Arial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81AB0" w14:textId="72C7D8E8" w:rsidR="002F40DA" w:rsidRDefault="00126790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6154F6">
              <w:rPr>
                <w:rFonts w:eastAsia="Times New Roman" w:cs="Arial"/>
                <w:sz w:val="24"/>
                <w:szCs w:val="24"/>
                <w:lang w:eastAsia="en-GB"/>
              </w:rPr>
              <w:t xml:space="preserve">The rationale has been redrafted to make more explicit why the </w:t>
            </w:r>
            <w:r w:rsidR="00460AC0">
              <w:rPr>
                <w:rFonts w:eastAsia="Times New Roman" w:cs="Arial"/>
                <w:sz w:val="24"/>
                <w:szCs w:val="24"/>
                <w:lang w:eastAsia="en-GB"/>
              </w:rPr>
              <w:t xml:space="preserve">suggested improvement aim and approach </w:t>
            </w:r>
            <w:r w:rsidR="00720433">
              <w:rPr>
                <w:rFonts w:eastAsia="Times New Roman" w:cs="Arial"/>
                <w:sz w:val="24"/>
                <w:szCs w:val="24"/>
                <w:lang w:eastAsia="en-GB"/>
              </w:rPr>
              <w:t>have been taken</w:t>
            </w:r>
            <w:r w:rsidR="003C6742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2284B00D" w14:textId="77777777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F40DA" w:rsidRPr="006879AD" w14:paraId="4406A487" w14:textId="77777777" w:rsidTr="0009307E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7EAE2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3. 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Is it likely that the changes being tested will achieve the aim?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DFAEA0B" w14:textId="3F55751A" w:rsidR="002F40DA" w:rsidRPr="006879AD" w:rsidRDefault="0009307E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409BE" w14:textId="0472E47E" w:rsidR="002F40DA" w:rsidRPr="006879AD" w:rsidRDefault="0009307E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Details of the specific interventions planned for testing j</w:t>
            </w:r>
            <w:r w:rsidR="002F40DA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have been better outlined</w:t>
            </w:r>
          </w:p>
        </w:tc>
      </w:tr>
      <w:tr w:rsidR="002F40DA" w:rsidRPr="006879AD" w14:paraId="6E5F46EE" w14:textId="77777777" w:rsidTr="0009307E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2951A" w14:textId="77777777" w:rsidR="002F40DA" w:rsidRPr="006879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4. 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Will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 xml:space="preserve">the measures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demonstrate</w:t>
            </w: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 xml:space="preserve"> whether a change is an improvement? 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87ED9EB" w14:textId="2A3B3505" w:rsidR="002F40DA" w:rsidRPr="006879AD" w:rsidRDefault="0009307E" w:rsidP="00414795">
            <w:pPr>
              <w:spacing w:after="0" w:line="240" w:lineRule="auto"/>
              <w:ind w:firstLine="47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Yes </w:t>
            </w:r>
            <w:r w:rsidR="002F40DA" w:rsidRPr="006879AD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ACD30" w14:textId="209E38F6" w:rsidR="00F371FF" w:rsidRPr="006879AD" w:rsidRDefault="002F40DA" w:rsidP="00F371FF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F371FF">
              <w:rPr>
                <w:rFonts w:eastAsia="Times New Roman" w:cs="Arial"/>
                <w:sz w:val="24"/>
                <w:szCs w:val="24"/>
                <w:lang w:eastAsia="en-GB"/>
              </w:rPr>
              <w:t xml:space="preserve">The measures </w:t>
            </w:r>
            <w:r w:rsidR="00B16054">
              <w:rPr>
                <w:rFonts w:eastAsia="Times New Roman" w:cs="Arial"/>
                <w:sz w:val="24"/>
                <w:szCs w:val="24"/>
                <w:lang w:eastAsia="en-GB"/>
              </w:rPr>
              <w:t xml:space="preserve">are more directly aligned to the suggested change ideas </w:t>
            </w:r>
          </w:p>
          <w:p w14:paraId="4FB503CA" w14:textId="4536C7A9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F40DA" w:rsidRPr="006879AD" w14:paraId="5F719C1D" w14:textId="77777777" w:rsidTr="00414795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FD8A" w14:textId="77777777" w:rsidR="002F40DA" w:rsidRPr="00D36AAD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36AAD">
              <w:rPr>
                <w:rFonts w:eastAsia="Times New Roman" w:cs="Arial"/>
                <w:sz w:val="24"/>
                <w:szCs w:val="24"/>
                <w:lang w:eastAsia="en-GB"/>
              </w:rPr>
              <w:t xml:space="preserve">5.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Is there a mix of partners involved in this project</w:t>
            </w:r>
            <w:r w:rsidRPr="00D36AAD">
              <w:rPr>
                <w:rFonts w:eastAsia="Times New Roman" w:cs="Arial"/>
                <w:sz w:val="24"/>
                <w:szCs w:val="24"/>
                <w:lang w:eastAsia="en-GB"/>
              </w:rPr>
              <w:t>?</w:t>
            </w:r>
          </w:p>
          <w:p w14:paraId="6A7B7251" w14:textId="77777777" w:rsidR="002F40DA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CDD8FCE" w14:textId="77777777" w:rsidR="002F40DA" w:rsidRDefault="002F40DA" w:rsidP="00414795">
            <w:pPr>
              <w:spacing w:after="0" w:line="240" w:lineRule="auto"/>
              <w:ind w:firstLine="47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28768" w14:textId="191A2B58" w:rsidR="002F40DA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There is a good mix of Partners in this project.  </w:t>
            </w:r>
          </w:p>
        </w:tc>
      </w:tr>
      <w:tr w:rsidR="002F40DA" w:rsidRPr="006879AD" w14:paraId="592011DA" w14:textId="77777777" w:rsidTr="00F57609"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EDDC7" w14:textId="77777777" w:rsidR="002F40DA" w:rsidRDefault="002F40DA" w:rsidP="00414795">
            <w:pPr>
              <w:spacing w:after="0" w:line="240" w:lineRule="auto"/>
              <w:ind w:left="129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6. Clear outline project plan?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20EDB95" w14:textId="059362FB" w:rsidR="002F40DA" w:rsidRDefault="00F57609" w:rsidP="00414795">
            <w:pPr>
              <w:spacing w:after="0" w:line="240" w:lineRule="auto"/>
              <w:ind w:firstLine="47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AB71F" w14:textId="0A25E0B6" w:rsidR="002F40DA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F40DA" w:rsidRPr="006879AD" w14:paraId="6B5B9422" w14:textId="77777777" w:rsidTr="00414795">
        <w:tc>
          <w:tcPr>
            <w:tcW w:w="92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59C01F" w14:textId="3F51DF7E" w:rsidR="002F40DA" w:rsidRPr="006879AD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2B4EE3">
              <w:rPr>
                <w:rFonts w:eastAsia="Times New Roman" w:cs="Arial"/>
                <w:b/>
                <w:sz w:val="24"/>
                <w:szCs w:val="24"/>
                <w:lang w:eastAsia="en-GB"/>
              </w:rPr>
              <w:t>CPA Management Group/ Board Ready?</w:t>
            </w:r>
            <w:r w:rsidRPr="006879AD">
              <w:rPr>
                <w:rFonts w:eastAsia="Times New Roman" w:cs="Arial"/>
                <w:b/>
                <w:sz w:val="24"/>
                <w:szCs w:val="24"/>
                <w:lang w:eastAsia="en-GB"/>
              </w:rPr>
              <w:t> </w:t>
            </w:r>
            <w:r w:rsidR="00F57609">
              <w:rPr>
                <w:rFonts w:eastAsia="Times New Roman" w:cs="Arial"/>
                <w:b/>
                <w:sz w:val="24"/>
                <w:szCs w:val="24"/>
                <w:lang w:eastAsia="en-GB"/>
              </w:rPr>
              <w:t>Yes</w:t>
            </w:r>
          </w:p>
          <w:p w14:paraId="19EE706C" w14:textId="69030750" w:rsidR="002F40DA" w:rsidRPr="006879AD" w:rsidRDefault="002F40DA" w:rsidP="00F57609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879AD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="002F40DA" w:rsidRPr="006879AD" w14:paraId="56723BA8" w14:textId="77777777" w:rsidTr="00414795">
        <w:tc>
          <w:tcPr>
            <w:tcW w:w="9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AACB8" w14:textId="77777777" w:rsidR="002F40DA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77108FA" w14:textId="77777777" w:rsidR="002F40DA" w:rsidRPr="002B4EE3" w:rsidRDefault="002F40DA" w:rsidP="004147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5C585850" w14:textId="77777777" w:rsidR="005B7A55" w:rsidRDefault="005B7A55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D1AD4F3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42CEFFB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1BB97FD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9E676B3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DC09FE4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D6383F8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A59FD0D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0EE3885" w14:textId="77777777" w:rsidR="00F57609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10E49C1" w14:textId="77777777" w:rsidR="00F57609" w:rsidRPr="005F3A2E" w:rsidRDefault="00F57609" w:rsidP="005F3A2E">
      <w:pPr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743AB" w:rsidRPr="00B743AB" w14:paraId="5DC5E927" w14:textId="77777777" w:rsidTr="30E85C59">
        <w:tc>
          <w:tcPr>
            <w:tcW w:w="8789" w:type="dxa"/>
          </w:tcPr>
          <w:p w14:paraId="1629D465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>Improvement Project Title:</w:t>
            </w:r>
            <w:r w:rsidRPr="00B743AB">
              <w:rPr>
                <w:sz w:val="24"/>
                <w:szCs w:val="24"/>
              </w:rPr>
              <w:t xml:space="preserve"> </w:t>
            </w:r>
            <w:r w:rsidR="00E45519" w:rsidRPr="00B743AB">
              <w:rPr>
                <w:sz w:val="24"/>
                <w:szCs w:val="24"/>
              </w:rPr>
              <w:t>Increase uptake of Foundation Apprenticeships</w:t>
            </w:r>
          </w:p>
        </w:tc>
      </w:tr>
      <w:tr w:rsidR="00B743AB" w:rsidRPr="00B743AB" w14:paraId="268BBEFF" w14:textId="77777777" w:rsidTr="30E85C59">
        <w:tc>
          <w:tcPr>
            <w:tcW w:w="8789" w:type="dxa"/>
          </w:tcPr>
          <w:p w14:paraId="0C8E5B6E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>Executive Sponsor:</w:t>
            </w:r>
            <w:r w:rsidRPr="00B743AB">
              <w:rPr>
                <w:sz w:val="24"/>
                <w:szCs w:val="24"/>
              </w:rPr>
              <w:t xml:space="preserve"> Rob Polkinghorne (ICS Board Chair)</w:t>
            </w:r>
          </w:p>
          <w:p w14:paraId="4C5651C5" w14:textId="77777777" w:rsidR="00AC0F63" w:rsidRPr="00B743AB" w:rsidRDefault="00AC0F63" w:rsidP="00414795">
            <w:pPr>
              <w:pStyle w:val="ListParagraph"/>
              <w:tabs>
                <w:tab w:val="left" w:pos="991"/>
              </w:tabs>
              <w:ind w:left="0"/>
              <w:rPr>
                <w:sz w:val="24"/>
                <w:szCs w:val="24"/>
              </w:rPr>
            </w:pPr>
          </w:p>
        </w:tc>
      </w:tr>
      <w:tr w:rsidR="00B743AB" w:rsidRPr="00B743AB" w14:paraId="3DDCC81A" w14:textId="77777777" w:rsidTr="30E85C59">
        <w:tc>
          <w:tcPr>
            <w:tcW w:w="8789" w:type="dxa"/>
          </w:tcPr>
          <w:p w14:paraId="5A2AFA9A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>Project Lead:</w:t>
            </w:r>
            <w:r w:rsidRPr="00B743AB">
              <w:rPr>
                <w:sz w:val="24"/>
                <w:szCs w:val="24"/>
              </w:rPr>
              <w:t xml:space="preserve"> </w:t>
            </w:r>
            <w:r w:rsidR="00E45519" w:rsidRPr="00B743AB">
              <w:rPr>
                <w:sz w:val="24"/>
                <w:szCs w:val="24"/>
              </w:rPr>
              <w:t>Nicola Graham (SDS Area Manager)</w:t>
            </w:r>
          </w:p>
        </w:tc>
      </w:tr>
      <w:tr w:rsidR="00B743AB" w:rsidRPr="00B743AB" w14:paraId="078620DB" w14:textId="77777777" w:rsidTr="30E85C59">
        <w:tc>
          <w:tcPr>
            <w:tcW w:w="8789" w:type="dxa"/>
          </w:tcPr>
          <w:p w14:paraId="59F56556" w14:textId="77777777" w:rsidR="0016245A" w:rsidRPr="00B743AB" w:rsidRDefault="00AC0F63" w:rsidP="000974CD">
            <w:pPr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 xml:space="preserve">Aim statement: </w:t>
            </w:r>
          </w:p>
          <w:p w14:paraId="363D708E" w14:textId="77777777" w:rsidR="0016245A" w:rsidRPr="00B743AB" w:rsidRDefault="0016245A" w:rsidP="0016245A">
            <w:pPr>
              <w:pStyle w:val="ListParagraph"/>
              <w:rPr>
                <w:sz w:val="24"/>
                <w:szCs w:val="24"/>
              </w:rPr>
            </w:pPr>
          </w:p>
          <w:p w14:paraId="6E13C908" w14:textId="3DBC3BF2" w:rsidR="004C1C1F" w:rsidRPr="00B743AB" w:rsidRDefault="30E85C59" w:rsidP="30E85C59">
            <w:pPr>
              <w:pStyle w:val="ListParagraph"/>
              <w:ind w:left="0"/>
              <w:rPr>
                <w:sz w:val="24"/>
                <w:szCs w:val="24"/>
              </w:rPr>
            </w:pPr>
            <w:r w:rsidRPr="30E85C59">
              <w:rPr>
                <w:sz w:val="24"/>
                <w:szCs w:val="24"/>
              </w:rPr>
              <w:t>Increase the number of young people taking up foundation apprenticeships to 142 (each year) by 2021</w:t>
            </w:r>
          </w:p>
          <w:p w14:paraId="081422C2" w14:textId="77777777" w:rsidR="00E45519" w:rsidRPr="00B743AB" w:rsidRDefault="00E45519" w:rsidP="001624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43AB" w:rsidRPr="00B743AB" w14:paraId="6E89337F" w14:textId="77777777" w:rsidTr="30E85C59">
        <w:trPr>
          <w:trHeight w:val="605"/>
        </w:trPr>
        <w:tc>
          <w:tcPr>
            <w:tcW w:w="8789" w:type="dxa"/>
          </w:tcPr>
          <w:p w14:paraId="3FA723C3" w14:textId="77777777" w:rsidR="00AC0F63" w:rsidRPr="00B743AB" w:rsidRDefault="00AC0F63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>Link to Local Outcome Improvement Plan:</w:t>
            </w:r>
          </w:p>
          <w:p w14:paraId="0A13BE25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723DCD" w14:textId="77777777" w:rsidR="0016245A" w:rsidRPr="00B743AB" w:rsidRDefault="0016245A" w:rsidP="0016245A">
            <w:pPr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 xml:space="preserve">Stretch Outcome </w:t>
            </w:r>
            <w:r w:rsidR="00F256B9" w:rsidRPr="00B743AB">
              <w:rPr>
                <w:b/>
                <w:sz w:val="24"/>
                <w:szCs w:val="24"/>
              </w:rPr>
              <w:t>6</w:t>
            </w:r>
            <w:r w:rsidRPr="00B743AB">
              <w:rPr>
                <w:b/>
                <w:sz w:val="24"/>
                <w:szCs w:val="24"/>
              </w:rPr>
              <w:t>:</w:t>
            </w:r>
          </w:p>
          <w:p w14:paraId="63B9A954" w14:textId="77777777" w:rsidR="0016245A" w:rsidRPr="00B743AB" w:rsidRDefault="0016245A" w:rsidP="0016245A">
            <w:pPr>
              <w:rPr>
                <w:sz w:val="24"/>
                <w:szCs w:val="24"/>
              </w:rPr>
            </w:pPr>
          </w:p>
          <w:p w14:paraId="64A1DCC5" w14:textId="77777777" w:rsidR="0016245A" w:rsidRPr="00B743AB" w:rsidRDefault="00F256B9" w:rsidP="0016245A">
            <w:pPr>
              <w:pStyle w:val="ListParagraph"/>
              <w:ind w:left="0"/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 xml:space="preserve">95% of children living in our priority localities will sustain a positive destination upon leaving school </w:t>
            </w:r>
          </w:p>
          <w:p w14:paraId="309F68EE" w14:textId="77777777" w:rsidR="00F256B9" w:rsidRPr="00B743AB" w:rsidRDefault="00F256B9" w:rsidP="0016245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43AB" w:rsidRPr="00B743AB" w14:paraId="61C99474" w14:textId="77777777" w:rsidTr="30E85C59">
        <w:tc>
          <w:tcPr>
            <w:tcW w:w="8789" w:type="dxa"/>
          </w:tcPr>
          <w:p w14:paraId="10C36974" w14:textId="77777777" w:rsidR="005B34FF" w:rsidRDefault="005B34FF" w:rsidP="005B34FF">
            <w:pPr>
              <w:rPr>
                <w:b/>
                <w:sz w:val="24"/>
                <w:szCs w:val="24"/>
              </w:rPr>
            </w:pPr>
            <w:r w:rsidRPr="005B34FF">
              <w:rPr>
                <w:b/>
                <w:sz w:val="24"/>
                <w:szCs w:val="24"/>
              </w:rPr>
              <w:t xml:space="preserve">Why is this Important:  </w:t>
            </w:r>
          </w:p>
          <w:p w14:paraId="3E1232C4" w14:textId="5849580A" w:rsidR="005B34FF" w:rsidRPr="005B34FF" w:rsidRDefault="005B34FF" w:rsidP="005B34FF">
            <w:pPr>
              <w:rPr>
                <w:b/>
                <w:sz w:val="24"/>
                <w:szCs w:val="24"/>
              </w:rPr>
            </w:pPr>
            <w:r w:rsidRPr="005B34FF">
              <w:rPr>
                <w:b/>
                <w:sz w:val="24"/>
                <w:szCs w:val="24"/>
              </w:rPr>
              <w:t xml:space="preserve"> </w:t>
            </w:r>
          </w:p>
          <w:p w14:paraId="5B324D89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 xml:space="preserve">The Regional Economic Strategy provides a long-term plan for the economic development of the North East to 2035.  The Strategy outlines key sectors for the region, including: Oil and Gas; Food, Drink and primary industries; Tourism and Life Sciences.  Foundation Apprenticeship (FAs) subjects are offered in sectors that offer growth potential and reflect priorities in the Regional Economic Strategy.  </w:t>
            </w:r>
          </w:p>
          <w:p w14:paraId="33D573C9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1EC7B8E4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 xml:space="preserve">They also offer pupils a  different type of learning by blending school, workplace and college learning, enabling pupils to contribute to real-life projects in the workplace.  It broadens out the curriculum offering.  This gives each learner more choice to create and personalise their journey into the world of work.  </w:t>
            </w:r>
          </w:p>
          <w:p w14:paraId="6F0CD89E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5ADF24C6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>The goal of 142 has been set as it is Aberdeen’s population share of the Scottish Government’s ambition for 5000 Foundation Apprenticeships by 2019/2</w:t>
            </w:r>
          </w:p>
          <w:p w14:paraId="3D92B80A" w14:textId="77777777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40AB37FE" w14:textId="7AD54474" w:rsidR="005B34FF" w:rsidRPr="005B34FF" w:rsidRDefault="005B34FF" w:rsidP="005B34F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 xml:space="preserve">Data shows variable uptake across City schools with not all pupils having the opportunity to take up a FA.  The uptake of FAs is low compared to the target.  Different interventions have been tried.  For example, a presentation session to 260 parents in one school was well received but has yielded minimum uptake (1 FA).   A new model of a one year FA programme has been introduced this year.  It is not clear yet what has led to a vast increase in applications this year (currently sitting at 114) and further analysis will need to done.  Regardless, analysis of 2019 applicants per school </w:t>
            </w:r>
            <w:r w:rsidR="006C0BE7" w:rsidRPr="005B34FF">
              <w:rPr>
                <w:bCs/>
                <w:sz w:val="24"/>
                <w:szCs w:val="24"/>
              </w:rPr>
              <w:t>demonstrates</w:t>
            </w:r>
            <w:r w:rsidRPr="005B34FF">
              <w:rPr>
                <w:bCs/>
                <w:sz w:val="24"/>
                <w:szCs w:val="24"/>
              </w:rPr>
              <w:t xml:space="preserve"> that there is still inconsistency in uptake – ranging from schools with 1 FA applicant to those with 21 applicants.</w:t>
            </w:r>
          </w:p>
          <w:p w14:paraId="038FD562" w14:textId="77777777" w:rsidR="005B34FF" w:rsidRPr="005B34FF" w:rsidRDefault="005B34FF" w:rsidP="005B34FF">
            <w:pPr>
              <w:pStyle w:val="ListParagraph"/>
              <w:rPr>
                <w:b/>
                <w:sz w:val="24"/>
                <w:szCs w:val="24"/>
              </w:rPr>
            </w:pPr>
          </w:p>
          <w:p w14:paraId="71381A8A" w14:textId="77777777" w:rsidR="005B34FF" w:rsidRDefault="005B34FF" w:rsidP="005B34FF">
            <w:pPr>
              <w:rPr>
                <w:b/>
                <w:sz w:val="24"/>
                <w:szCs w:val="24"/>
              </w:rPr>
            </w:pPr>
          </w:p>
          <w:p w14:paraId="296E9756" w14:textId="77777777" w:rsidR="005B34FF" w:rsidRDefault="005B34FF" w:rsidP="005B34FF">
            <w:pPr>
              <w:rPr>
                <w:b/>
                <w:sz w:val="24"/>
                <w:szCs w:val="24"/>
              </w:rPr>
            </w:pPr>
          </w:p>
          <w:p w14:paraId="69D5FC9A" w14:textId="12B0911E" w:rsidR="005B34FF" w:rsidRDefault="005B34FF" w:rsidP="005B34FF">
            <w:pPr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>Addressing this stretch outcome will ensure:</w:t>
            </w:r>
          </w:p>
          <w:p w14:paraId="1ABBDB55" w14:textId="77777777" w:rsidR="005B34FF" w:rsidRPr="005B34FF" w:rsidRDefault="005B34FF" w:rsidP="005B34FF">
            <w:pPr>
              <w:rPr>
                <w:bCs/>
                <w:sz w:val="24"/>
                <w:szCs w:val="24"/>
              </w:rPr>
            </w:pPr>
          </w:p>
          <w:p w14:paraId="51489296" w14:textId="4D067927" w:rsidR="005B34FF" w:rsidRPr="005B34FF" w:rsidRDefault="005B34FF" w:rsidP="005B34FF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>All pupils are able to make well-informed choices about Foundation Apprenticeship subjects</w:t>
            </w:r>
          </w:p>
          <w:p w14:paraId="682C5AE2" w14:textId="40A7DE26" w:rsidR="005B34FF" w:rsidRPr="005B34FF" w:rsidRDefault="005B34FF" w:rsidP="005B34FF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 xml:space="preserve">Pupils who are sitting 1-2 Highers become more confident that a FA could be the right qualification to accompany their </w:t>
            </w:r>
            <w:proofErr w:type="spellStart"/>
            <w:r w:rsidRPr="005B34FF">
              <w:rPr>
                <w:bCs/>
                <w:sz w:val="24"/>
                <w:szCs w:val="24"/>
              </w:rPr>
              <w:t>highers</w:t>
            </w:r>
            <w:proofErr w:type="spellEnd"/>
            <w:r w:rsidRPr="005B34FF">
              <w:rPr>
                <w:bCs/>
                <w:sz w:val="24"/>
                <w:szCs w:val="24"/>
              </w:rPr>
              <w:t xml:space="preserve"> (it is pupils with 4-5 </w:t>
            </w:r>
            <w:proofErr w:type="spellStart"/>
            <w:r w:rsidRPr="005B34FF">
              <w:rPr>
                <w:bCs/>
                <w:sz w:val="24"/>
                <w:szCs w:val="24"/>
              </w:rPr>
              <w:t>highers</w:t>
            </w:r>
            <w:proofErr w:type="spellEnd"/>
            <w:r w:rsidRPr="005B34FF">
              <w:rPr>
                <w:bCs/>
                <w:sz w:val="24"/>
                <w:szCs w:val="24"/>
              </w:rPr>
              <w:t xml:space="preserve"> who are mainly choosing FAs).  </w:t>
            </w:r>
          </w:p>
          <w:p w14:paraId="08A77A81" w14:textId="04295049" w:rsidR="005B34FF" w:rsidRPr="005B34FF" w:rsidRDefault="005B34FF" w:rsidP="005B34FF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 xml:space="preserve">FAs provide an opportunity to increase attainment for individuals who could benefit from this learning </w:t>
            </w:r>
          </w:p>
          <w:p w14:paraId="1C1357A5" w14:textId="6772DDB5" w:rsidR="005B34FF" w:rsidRPr="005B34FF" w:rsidRDefault="005B34FF" w:rsidP="005B34FF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>Creation of a pathway journey from work placement to FA to next steps (MA, FE, HE) in a growth economic sector area</w:t>
            </w:r>
          </w:p>
          <w:p w14:paraId="0065F08A" w14:textId="558C5E20" w:rsidR="00AC0F63" w:rsidRPr="005B34FF" w:rsidRDefault="005B34FF" w:rsidP="005B34F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B34FF">
              <w:rPr>
                <w:bCs/>
                <w:sz w:val="24"/>
                <w:szCs w:val="24"/>
              </w:rPr>
              <w:t>Parents/carers and teachers have greater awareness levels and confidence in FAs.</w:t>
            </w:r>
            <w:r w:rsidRPr="005B34F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743AB" w:rsidRPr="00B743AB" w14:paraId="490CDD03" w14:textId="77777777" w:rsidTr="30E85C59">
        <w:tc>
          <w:tcPr>
            <w:tcW w:w="8789" w:type="dxa"/>
          </w:tcPr>
          <w:p w14:paraId="7B6FD296" w14:textId="016AAB26" w:rsidR="00AC0F63" w:rsidRDefault="00AC0F63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 xml:space="preserve">Measures: </w:t>
            </w:r>
          </w:p>
          <w:p w14:paraId="74348B19" w14:textId="77777777" w:rsidR="00B743AB" w:rsidRPr="00B743AB" w:rsidRDefault="00B743AB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17E6EB3" w14:textId="77777777" w:rsidR="00B743AB" w:rsidRPr="00B743AB" w:rsidRDefault="00B743AB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BEEC286" w14:textId="77777777" w:rsidR="00AC0F63" w:rsidRPr="00B743AB" w:rsidRDefault="00AC0F63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 xml:space="preserve">Outcome measures:  </w:t>
            </w:r>
          </w:p>
          <w:p w14:paraId="61A9563C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50AAB2" w14:textId="3CD919B1" w:rsidR="005B34FF" w:rsidRPr="005B34FF" w:rsidRDefault="005B34FF" w:rsidP="005B34FF">
            <w:p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Numbers are based on cohorts – each cohort is a new set of pupils and is not cumulative.</w:t>
            </w:r>
          </w:p>
          <w:p w14:paraId="6FBB6A0C" w14:textId="77777777" w:rsidR="005B34FF" w:rsidRPr="005B34FF" w:rsidRDefault="005B34FF" w:rsidP="005B34FF">
            <w:pPr>
              <w:pStyle w:val="ListParagraph"/>
              <w:rPr>
                <w:sz w:val="24"/>
                <w:szCs w:val="24"/>
              </w:rPr>
            </w:pPr>
          </w:p>
          <w:p w14:paraId="1DB14FA0" w14:textId="77777777" w:rsidR="005B34FF" w:rsidRPr="005B34FF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 of young people starting a Foundation Apprenticeship</w:t>
            </w:r>
          </w:p>
          <w:p w14:paraId="36486240" w14:textId="77777777" w:rsidR="005B34FF" w:rsidRPr="005B34FF" w:rsidRDefault="005B34FF" w:rsidP="005B34FF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Baseline for Numbers of starts FAs (school pupils registered with a FA on 30th Sept):</w:t>
            </w:r>
          </w:p>
          <w:p w14:paraId="11EE02C6" w14:textId="77777777" w:rsidR="005B34FF" w:rsidRPr="005B34FF" w:rsidRDefault="005B34FF" w:rsidP="005B34FF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Cohort 1 (2016 – 2018) – Aberdeen City and Aberdeenshire region – 21</w:t>
            </w:r>
          </w:p>
          <w:p w14:paraId="72ED3161" w14:textId="77777777" w:rsidR="005B34FF" w:rsidRPr="005B34FF" w:rsidRDefault="005B34FF" w:rsidP="005B34FF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Cohort 2 (2017 – 2019) – Aberdeen – 31</w:t>
            </w:r>
          </w:p>
          <w:p w14:paraId="108C5312" w14:textId="77777777" w:rsidR="005B34FF" w:rsidRPr="005B34FF" w:rsidRDefault="005B34FF" w:rsidP="005B34FF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Cohort 3 (2018 – 2020) – Aberdeen – 24</w:t>
            </w:r>
          </w:p>
          <w:p w14:paraId="725BA4B0" w14:textId="77777777" w:rsidR="005B34FF" w:rsidRPr="005B34FF" w:rsidRDefault="005B34FF" w:rsidP="005B34FF">
            <w:pPr>
              <w:pStyle w:val="ListParagraph"/>
              <w:rPr>
                <w:sz w:val="24"/>
                <w:szCs w:val="24"/>
              </w:rPr>
            </w:pPr>
          </w:p>
          <w:p w14:paraId="40C9FB42" w14:textId="77777777" w:rsidR="005B34FF" w:rsidRPr="005B34FF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 xml:space="preserve">Number of young people completing a Foundation Apprenticeship </w:t>
            </w:r>
          </w:p>
          <w:p w14:paraId="1FB8EE9E" w14:textId="77777777" w:rsidR="005B34FF" w:rsidRPr="005B34FF" w:rsidRDefault="005B34FF" w:rsidP="005B34FF">
            <w:pPr>
              <w:pStyle w:val="ListParagraph"/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Baseline cohort 2 (2017 – 2019) early leavers 48.4% (in line with national) – feedback has led to a new one year FA model available for all frameworks except Civil Engineering and Engineering from 2019)</w:t>
            </w:r>
          </w:p>
          <w:p w14:paraId="14A6DC7F" w14:textId="77777777" w:rsidR="005B34FF" w:rsidRPr="005B34FF" w:rsidRDefault="005B34FF" w:rsidP="005B34FF">
            <w:pPr>
              <w:pStyle w:val="ListParagraph"/>
              <w:rPr>
                <w:sz w:val="24"/>
                <w:szCs w:val="24"/>
              </w:rPr>
            </w:pPr>
          </w:p>
          <w:p w14:paraId="6065B759" w14:textId="77777777" w:rsidR="005B34FF" w:rsidRPr="005B34FF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% of young people with a FA who have moved into a sustained positive destination (as measured by School Leaver Follow-up (April snapshot) (10 months on from leaving school).</w:t>
            </w:r>
          </w:p>
          <w:p w14:paraId="3937A88D" w14:textId="77777777" w:rsidR="005B34FF" w:rsidRPr="005B34FF" w:rsidRDefault="005B34FF" w:rsidP="005B34FF">
            <w:pPr>
              <w:pStyle w:val="ListParagraph"/>
              <w:rPr>
                <w:sz w:val="24"/>
                <w:szCs w:val="24"/>
              </w:rPr>
            </w:pPr>
          </w:p>
          <w:p w14:paraId="2749ED2F" w14:textId="1F397A3A" w:rsidR="005B34FF" w:rsidRPr="005B34FF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 of schools participating in FAs</w:t>
            </w:r>
            <w:r>
              <w:rPr>
                <w:sz w:val="24"/>
                <w:szCs w:val="24"/>
              </w:rPr>
              <w:t>:</w:t>
            </w:r>
          </w:p>
          <w:p w14:paraId="5A1CF43F" w14:textId="77777777" w:rsidR="005B34FF" w:rsidRPr="005B34FF" w:rsidRDefault="005B34FF" w:rsidP="005B34FF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Cohort 1 (2016 – 2018)  16.7% of schools in the City with at least one school pupil registered as a    FA start</w:t>
            </w:r>
          </w:p>
          <w:p w14:paraId="23D2FC5D" w14:textId="77777777" w:rsidR="005B34FF" w:rsidRPr="005B34FF" w:rsidRDefault="005B34FF" w:rsidP="005B34FF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>Cohort 2 (2017 – 2019) 83.3% of schools in the City with at least one school pupil registered as a FA start</w:t>
            </w:r>
          </w:p>
          <w:p w14:paraId="70284FB4" w14:textId="77777777" w:rsidR="005B34FF" w:rsidRPr="005B34FF" w:rsidRDefault="005B34FF" w:rsidP="005B34FF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sz w:val="24"/>
                <w:szCs w:val="24"/>
              </w:rPr>
            </w:pPr>
            <w:r w:rsidRPr="005B34FF">
              <w:rPr>
                <w:i/>
                <w:iCs/>
                <w:sz w:val="24"/>
                <w:szCs w:val="24"/>
              </w:rPr>
              <w:t xml:space="preserve">Cohort 3 (2018 – 2020) 75% of schools in the City with at least one school pupils registered as a FA start </w:t>
            </w:r>
          </w:p>
          <w:p w14:paraId="2D3BF11D" w14:textId="6F9DA393" w:rsidR="00B743AB" w:rsidRDefault="00B743AB" w:rsidP="00F256B9">
            <w:pPr>
              <w:pStyle w:val="ListParagraph"/>
              <w:rPr>
                <w:i/>
                <w:sz w:val="24"/>
                <w:szCs w:val="24"/>
              </w:rPr>
            </w:pPr>
          </w:p>
          <w:p w14:paraId="0D992788" w14:textId="478E39E3" w:rsidR="00B743AB" w:rsidRDefault="00B743AB" w:rsidP="00F256B9">
            <w:pPr>
              <w:pStyle w:val="ListParagraph"/>
              <w:rPr>
                <w:i/>
                <w:sz w:val="24"/>
                <w:szCs w:val="24"/>
              </w:rPr>
            </w:pPr>
          </w:p>
          <w:p w14:paraId="364F9D1F" w14:textId="274B7811" w:rsidR="00B743AB" w:rsidRDefault="00B743AB" w:rsidP="00F256B9">
            <w:pPr>
              <w:pStyle w:val="ListParagraph"/>
              <w:rPr>
                <w:i/>
                <w:sz w:val="24"/>
                <w:szCs w:val="24"/>
              </w:rPr>
            </w:pPr>
          </w:p>
          <w:p w14:paraId="09BD0304" w14:textId="77777777" w:rsidR="00AC0F63" w:rsidRPr="00B743AB" w:rsidRDefault="00AC0F63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 xml:space="preserve">Process measures </w:t>
            </w:r>
          </w:p>
          <w:p w14:paraId="33297277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048F90B" w14:textId="77777777" w:rsidR="005B34FF" w:rsidRPr="005D38AC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3E5A">
              <w:rPr>
                <w:sz w:val="24"/>
                <w:szCs w:val="24"/>
              </w:rPr>
              <w:t>Number of FAs subjects taken up by pupils</w:t>
            </w:r>
          </w:p>
          <w:p w14:paraId="1A870339" w14:textId="77777777" w:rsidR="005B34FF" w:rsidRPr="00E83E5A" w:rsidRDefault="005B34FF" w:rsidP="005B34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3E5A">
              <w:rPr>
                <w:sz w:val="24"/>
                <w:szCs w:val="24"/>
              </w:rPr>
              <w:t>Feedback</w:t>
            </w:r>
            <w:r>
              <w:rPr>
                <w:sz w:val="24"/>
                <w:szCs w:val="24"/>
              </w:rPr>
              <w:t xml:space="preserve"> from pupils, </w:t>
            </w:r>
            <w:r w:rsidRPr="00E83E5A">
              <w:rPr>
                <w:sz w:val="24"/>
                <w:szCs w:val="24"/>
              </w:rPr>
              <w:t xml:space="preserve"> teachers</w:t>
            </w:r>
            <w:r>
              <w:rPr>
                <w:sz w:val="24"/>
                <w:szCs w:val="24"/>
              </w:rPr>
              <w:t xml:space="preserve"> and parents</w:t>
            </w:r>
          </w:p>
          <w:p w14:paraId="48936E95" w14:textId="77777777" w:rsidR="005B34FF" w:rsidRPr="005B34FF" w:rsidRDefault="005B34FF" w:rsidP="005B34F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 of S4 pupils reporting that they are now more likely  to choose a FA after a group information activity</w:t>
            </w:r>
          </w:p>
          <w:p w14:paraId="5B0631E7" w14:textId="77777777" w:rsidR="005B34FF" w:rsidRPr="005B34FF" w:rsidRDefault="005B34FF" w:rsidP="005B34F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 of S2 pupils reporting that they are more likely to choose a FA after a group information activity</w:t>
            </w:r>
          </w:p>
          <w:p w14:paraId="17B55AB7" w14:textId="77777777" w:rsidR="005B34FF" w:rsidRPr="005B34FF" w:rsidRDefault="005B34FF" w:rsidP="005B34F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 xml:space="preserve">Number of guidance/pastoral teachers reporting greater understanding of FAs </w:t>
            </w:r>
          </w:p>
          <w:p w14:paraId="246EC874" w14:textId="6319278C" w:rsidR="00AC0F63" w:rsidRPr="005B34FF" w:rsidRDefault="005B34FF" w:rsidP="005B34F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5B34FF">
              <w:rPr>
                <w:sz w:val="24"/>
                <w:szCs w:val="24"/>
              </w:rPr>
              <w:t>Number of parents report greater understanding of FAs</w:t>
            </w:r>
          </w:p>
        </w:tc>
      </w:tr>
      <w:tr w:rsidR="00B743AB" w:rsidRPr="00122137" w14:paraId="56E03CC2" w14:textId="77777777" w:rsidTr="30E85C59">
        <w:tc>
          <w:tcPr>
            <w:tcW w:w="8789" w:type="dxa"/>
          </w:tcPr>
          <w:p w14:paraId="0D8791E3" w14:textId="77777777" w:rsidR="00AC0F63" w:rsidRPr="00122137" w:rsidRDefault="00AC0F63" w:rsidP="0016245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22137">
              <w:rPr>
                <w:b/>
                <w:sz w:val="24"/>
                <w:szCs w:val="24"/>
              </w:rPr>
              <w:t xml:space="preserve">Change ideas </w:t>
            </w:r>
          </w:p>
          <w:p w14:paraId="24F4641E" w14:textId="77777777" w:rsidR="00AC0F63" w:rsidRPr="00122137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62EF0C6" w14:textId="3CF7F26F" w:rsidR="005B34FF" w:rsidRPr="00122137" w:rsidRDefault="005B34FF" w:rsidP="005B34FF">
            <w:pPr>
              <w:pStyle w:val="ListParagraph"/>
              <w:numPr>
                <w:ilvl w:val="0"/>
                <w:numId w:val="32"/>
              </w:numPr>
              <w:rPr>
                <w:b/>
                <w:color w:val="FF0000"/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Test out the effectiveness of different awareness </w:t>
            </w:r>
            <w:r w:rsidR="005F3A2E" w:rsidRPr="00122137">
              <w:rPr>
                <w:sz w:val="24"/>
                <w:szCs w:val="24"/>
              </w:rPr>
              <w:t>raising</w:t>
            </w:r>
            <w:r w:rsidR="00122137" w:rsidRPr="00122137">
              <w:rPr>
                <w:sz w:val="24"/>
                <w:szCs w:val="24"/>
              </w:rPr>
              <w:t xml:space="preserve"> including </w:t>
            </w:r>
            <w:r w:rsidRPr="00122137">
              <w:rPr>
                <w:sz w:val="24"/>
                <w:szCs w:val="24"/>
              </w:rPr>
              <w:t>engagements with pupils, guidance teachers</w:t>
            </w:r>
            <w:r w:rsidR="00122137">
              <w:rPr>
                <w:sz w:val="24"/>
                <w:szCs w:val="24"/>
              </w:rPr>
              <w:t>:</w:t>
            </w:r>
            <w:r w:rsidRPr="00122137">
              <w:rPr>
                <w:sz w:val="24"/>
                <w:szCs w:val="24"/>
              </w:rPr>
              <w:t xml:space="preserve">  </w:t>
            </w:r>
          </w:p>
          <w:p w14:paraId="2C86A07D" w14:textId="77777777" w:rsidR="00122137" w:rsidRPr="00122137" w:rsidRDefault="00122137" w:rsidP="00122137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14:paraId="31D7CF2C" w14:textId="77777777" w:rsidR="005B34FF" w:rsidRPr="00122137" w:rsidRDefault="005B34FF" w:rsidP="005B34FF">
            <w:pPr>
              <w:pStyle w:val="ListParagraph"/>
              <w:numPr>
                <w:ilvl w:val="0"/>
                <w:numId w:val="33"/>
              </w:numPr>
              <w:ind w:left="108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Teachers</w:t>
            </w:r>
          </w:p>
          <w:p w14:paraId="3F338C66" w14:textId="77777777" w:rsidR="005B34FF" w:rsidRPr="00122137" w:rsidRDefault="005B34FF" w:rsidP="005B34FF">
            <w:pPr>
              <w:pStyle w:val="ListParagraph"/>
              <w:numPr>
                <w:ilvl w:val="0"/>
                <w:numId w:val="30"/>
              </w:numPr>
              <w:ind w:left="180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Information session to target guidance teachers – identify two test schools to pilot this </w:t>
            </w:r>
          </w:p>
          <w:p w14:paraId="379DEE7C" w14:textId="77777777" w:rsidR="005B34FF" w:rsidRPr="00122137" w:rsidRDefault="005B34FF" w:rsidP="005B34FF">
            <w:pPr>
              <w:pStyle w:val="ListParagraph"/>
              <w:numPr>
                <w:ilvl w:val="0"/>
                <w:numId w:val="30"/>
              </w:numPr>
              <w:ind w:left="180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FA subject information condensed into content that schools can use in their literature and be part of subject choice column choices</w:t>
            </w:r>
          </w:p>
          <w:p w14:paraId="40D2E530" w14:textId="77777777" w:rsidR="005B34FF" w:rsidRPr="00122137" w:rsidRDefault="005B34FF" w:rsidP="005B34FF">
            <w:pPr>
              <w:ind w:left="1440"/>
              <w:rPr>
                <w:sz w:val="24"/>
                <w:szCs w:val="24"/>
              </w:rPr>
            </w:pPr>
          </w:p>
          <w:p w14:paraId="75AF299E" w14:textId="77777777" w:rsidR="005B34FF" w:rsidRPr="00122137" w:rsidRDefault="005B34FF" w:rsidP="005B34FF">
            <w:pPr>
              <w:pStyle w:val="ListParagraph"/>
              <w:numPr>
                <w:ilvl w:val="0"/>
                <w:numId w:val="34"/>
              </w:numPr>
              <w:ind w:left="108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Learners</w:t>
            </w:r>
          </w:p>
          <w:p w14:paraId="5BDC81AA" w14:textId="77777777" w:rsidR="005B34FF" w:rsidRPr="00122137" w:rsidRDefault="005B34FF" w:rsidP="005B34FF">
            <w:pPr>
              <w:pStyle w:val="ListParagraph"/>
              <w:numPr>
                <w:ilvl w:val="0"/>
                <w:numId w:val="29"/>
              </w:numPr>
              <w:ind w:left="180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Target S4 pupils with information sessions</w:t>
            </w:r>
          </w:p>
          <w:p w14:paraId="35674CEC" w14:textId="1257C99C" w:rsidR="005B34FF" w:rsidRPr="00122137" w:rsidRDefault="005B34FF" w:rsidP="005B34FF">
            <w:pPr>
              <w:pStyle w:val="ListParagraph"/>
              <w:numPr>
                <w:ilvl w:val="1"/>
                <w:numId w:val="29"/>
              </w:numPr>
              <w:ind w:left="252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identify two test schools to pilot one that is interactive and one PSE size  that is information based and assembly size; </w:t>
            </w:r>
          </w:p>
          <w:p w14:paraId="56FEBE5E" w14:textId="4D400018" w:rsidR="005B34FF" w:rsidRPr="00122137" w:rsidRDefault="005B34FF" w:rsidP="005B34FF">
            <w:pPr>
              <w:pStyle w:val="ListParagraph"/>
              <w:numPr>
                <w:ilvl w:val="1"/>
                <w:numId w:val="29"/>
              </w:numPr>
              <w:ind w:left="252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within this evaluate which </w:t>
            </w:r>
          </w:p>
          <w:p w14:paraId="05DA04AD" w14:textId="77777777" w:rsidR="005B34FF" w:rsidRPr="00122137" w:rsidRDefault="005B34FF" w:rsidP="005B34FF">
            <w:pPr>
              <w:pStyle w:val="ListParagraph"/>
              <w:numPr>
                <w:ilvl w:val="0"/>
                <w:numId w:val="29"/>
              </w:numPr>
              <w:ind w:left="180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Target a year group of S3 pupils in one school with an information/activity session, deliver again in S4 and track through into Senior phase choices </w:t>
            </w:r>
          </w:p>
          <w:p w14:paraId="17F2233D" w14:textId="77777777" w:rsidR="005B34FF" w:rsidRPr="00122137" w:rsidRDefault="005B34FF" w:rsidP="005B34FF">
            <w:pPr>
              <w:pStyle w:val="ListParagraph"/>
              <w:numPr>
                <w:ilvl w:val="1"/>
                <w:numId w:val="29"/>
              </w:numPr>
              <w:ind w:left="252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Parents/Carers</w:t>
            </w:r>
          </w:p>
          <w:p w14:paraId="3F3E8C17" w14:textId="77777777" w:rsidR="005B34FF" w:rsidRPr="00122137" w:rsidRDefault="005B34FF" w:rsidP="005B34FF">
            <w:pPr>
              <w:pStyle w:val="ListParagraph"/>
              <w:numPr>
                <w:ilvl w:val="0"/>
                <w:numId w:val="29"/>
              </w:numPr>
              <w:ind w:left="1800"/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 xml:space="preserve">Information session to target parents/carers.  Pilot materials in Bridge of Don Academy and in Northfield community to see if an event </w:t>
            </w:r>
            <w:proofErr w:type="spellStart"/>
            <w:r w:rsidRPr="00122137">
              <w:rPr>
                <w:sz w:val="24"/>
                <w:szCs w:val="24"/>
              </w:rPr>
              <w:t>outwith</w:t>
            </w:r>
            <w:proofErr w:type="spellEnd"/>
            <w:r w:rsidRPr="00122137">
              <w:rPr>
                <w:sz w:val="24"/>
                <w:szCs w:val="24"/>
              </w:rPr>
              <w:t xml:space="preserve"> school impacts on parent/carer attendance.</w:t>
            </w:r>
          </w:p>
          <w:p w14:paraId="5D911948" w14:textId="77777777" w:rsidR="005B34FF" w:rsidRPr="00122137" w:rsidRDefault="005B34FF" w:rsidP="005B34FF">
            <w:pPr>
              <w:rPr>
                <w:sz w:val="24"/>
                <w:szCs w:val="24"/>
              </w:rPr>
            </w:pPr>
          </w:p>
          <w:p w14:paraId="2283D193" w14:textId="77777777" w:rsidR="005B34FF" w:rsidRPr="00122137" w:rsidRDefault="005B34FF" w:rsidP="005B34F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Use case studies with local pupils/parents/carers and employers to see if this affects take-up of FAs</w:t>
            </w:r>
          </w:p>
          <w:p w14:paraId="360BB5E4" w14:textId="77777777" w:rsidR="005B34FF" w:rsidRPr="00122137" w:rsidRDefault="005B34FF" w:rsidP="005B34FF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A4DBC39" w14:textId="77777777" w:rsidR="005B34FF" w:rsidRPr="00122137" w:rsidRDefault="005B34FF" w:rsidP="005B34FF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Develop evaluation processes to capture feedback and distance travelled (learners and influencers).</w:t>
            </w:r>
          </w:p>
          <w:p w14:paraId="133AD317" w14:textId="77777777" w:rsidR="005B34FF" w:rsidRPr="00122137" w:rsidRDefault="005B34FF" w:rsidP="005B34FF">
            <w:pPr>
              <w:rPr>
                <w:sz w:val="24"/>
                <w:szCs w:val="24"/>
              </w:rPr>
            </w:pPr>
          </w:p>
          <w:p w14:paraId="3BE674ED" w14:textId="77777777" w:rsidR="00B743AB" w:rsidRDefault="005B34FF" w:rsidP="00B743A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22137">
              <w:rPr>
                <w:sz w:val="24"/>
                <w:szCs w:val="24"/>
              </w:rPr>
              <w:t>Test how work experience can be linked directly to FAs to support a group of 10 young people from S4 or S5 move into their FA subject in S5 or S6</w:t>
            </w:r>
          </w:p>
          <w:p w14:paraId="1320865C" w14:textId="77777777" w:rsidR="005F3A2E" w:rsidRPr="005F3A2E" w:rsidRDefault="005F3A2E" w:rsidP="005F3A2E">
            <w:pPr>
              <w:pStyle w:val="ListParagraph"/>
              <w:rPr>
                <w:sz w:val="24"/>
                <w:szCs w:val="24"/>
              </w:rPr>
            </w:pPr>
          </w:p>
          <w:p w14:paraId="4B42A5D2" w14:textId="4EFF86E2" w:rsidR="005F3A2E" w:rsidRPr="00122137" w:rsidRDefault="005F3A2E" w:rsidP="005F3A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743AB" w:rsidRPr="00B743AB" w14:paraId="49A27488" w14:textId="77777777" w:rsidTr="30E85C59">
        <w:tc>
          <w:tcPr>
            <w:tcW w:w="8789" w:type="dxa"/>
          </w:tcPr>
          <w:p w14:paraId="7387C5A6" w14:textId="77777777" w:rsidR="00AC0F63" w:rsidRPr="00B743AB" w:rsidRDefault="00AC0F63" w:rsidP="0041479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743AB">
              <w:rPr>
                <w:b/>
                <w:sz w:val="24"/>
                <w:szCs w:val="24"/>
              </w:rPr>
              <w:t>Potential risks and/or barriers to success &amp; actions to address these</w:t>
            </w:r>
          </w:p>
          <w:p w14:paraId="3AB67614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DCB203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 xml:space="preserve">Courses can be offered but might not gain enough numbers to run. </w:t>
            </w:r>
          </w:p>
          <w:p w14:paraId="21A5E147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Action: significant investment in marketing FAs over 2018-19 should address this; building a library of local case studies, in addition to word of mouth, will also help to address this.</w:t>
            </w:r>
          </w:p>
          <w:p w14:paraId="73C01F81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Perceptions of FAs as a “new” qualification, not fully tested, may still exist and inhibit uptake – across a range of stakeholders</w:t>
            </w:r>
          </w:p>
          <w:p w14:paraId="2C859957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Action: Promotion of articulation frameworks should address this concern</w:t>
            </w:r>
          </w:p>
          <w:p w14:paraId="1C5873A7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Creating delivery models that fit the needs of schools and pupils whilst being cost and time effective</w:t>
            </w:r>
          </w:p>
          <w:p w14:paraId="0859875E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Action: Ongoing engagement with Schools to understand their needs will inform delivery models; engagement with pupil and parent focus groups to understand perceptions towards FAs</w:t>
            </w:r>
          </w:p>
          <w:p w14:paraId="6DAACF60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Gender segregation in FAs</w:t>
            </w:r>
          </w:p>
          <w:p w14:paraId="4CE298D9" w14:textId="77777777" w:rsidR="00F256B9" w:rsidRPr="00B743AB" w:rsidRDefault="00F256B9" w:rsidP="00F256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Action: complete an equalities impact assessment to identify risk in more detail; ensure equalities is a central message in all marketing activity</w:t>
            </w:r>
          </w:p>
          <w:p w14:paraId="2C0EAA27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43AB" w:rsidRPr="00B743AB" w14:paraId="430DBDAF" w14:textId="77777777" w:rsidTr="30E85C59">
        <w:tc>
          <w:tcPr>
            <w:tcW w:w="8789" w:type="dxa"/>
          </w:tcPr>
          <w:p w14:paraId="785D617D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Project Team:</w:t>
            </w:r>
          </w:p>
          <w:p w14:paraId="317201AE" w14:textId="77777777" w:rsidR="00AC0F63" w:rsidRPr="00B743AB" w:rsidRDefault="00AC0F63" w:rsidP="0041479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DB7410E" w14:textId="77777777" w:rsidR="00F256B9" w:rsidRPr="00B743AB" w:rsidRDefault="00F256B9" w:rsidP="00F256B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Mary Holland   -  DYW NE</w:t>
            </w:r>
          </w:p>
          <w:p w14:paraId="7A47B5E9" w14:textId="77777777" w:rsidR="00F256B9" w:rsidRPr="00B743AB" w:rsidRDefault="00F256B9" w:rsidP="00F256B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Lynn Brown      - NESCOL</w:t>
            </w:r>
          </w:p>
          <w:p w14:paraId="2C1AA75A" w14:textId="77777777" w:rsidR="00F256B9" w:rsidRPr="00B743AB" w:rsidRDefault="00F256B9" w:rsidP="00F256B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Jill Cruickshank – Bridge of Don Academy</w:t>
            </w:r>
          </w:p>
          <w:p w14:paraId="1592FD57" w14:textId="77777777" w:rsidR="004C1C1F" w:rsidRPr="00B743AB" w:rsidRDefault="00F256B9" w:rsidP="00F256B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743AB">
              <w:rPr>
                <w:sz w:val="24"/>
                <w:szCs w:val="24"/>
              </w:rPr>
              <w:t>Nicola Graham – Skills Development Scotland</w:t>
            </w:r>
          </w:p>
        </w:tc>
      </w:tr>
    </w:tbl>
    <w:tbl>
      <w:tblPr>
        <w:tblStyle w:val="TableGrid1"/>
        <w:tblW w:w="8818" w:type="dxa"/>
        <w:tblInd w:w="108" w:type="dxa"/>
        <w:tblLook w:val="04A0" w:firstRow="1" w:lastRow="0" w:firstColumn="1" w:lastColumn="0" w:noHBand="0" w:noVBand="1"/>
      </w:tblPr>
      <w:tblGrid>
        <w:gridCol w:w="2010"/>
        <w:gridCol w:w="3845"/>
        <w:gridCol w:w="2963"/>
      </w:tblGrid>
      <w:tr w:rsidR="006C0BE7" w:rsidRPr="00F03AD8" w14:paraId="51315663" w14:textId="77777777" w:rsidTr="006C0BE7">
        <w:tc>
          <w:tcPr>
            <w:tcW w:w="8818" w:type="dxa"/>
            <w:gridSpan w:val="3"/>
          </w:tcPr>
          <w:p w14:paraId="64A5DD1B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 xml:space="preserve">Outline Project Plan - Set out your initial plan about the timeline for your project.  </w:t>
            </w:r>
          </w:p>
          <w:p w14:paraId="4A2038D6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>(This should be reviewed regularly)</w:t>
            </w:r>
          </w:p>
        </w:tc>
      </w:tr>
      <w:tr w:rsidR="006C0BE7" w:rsidRPr="00F03AD8" w14:paraId="709097F5" w14:textId="77777777" w:rsidTr="006C0BE7">
        <w:tc>
          <w:tcPr>
            <w:tcW w:w="2010" w:type="dxa"/>
          </w:tcPr>
          <w:p w14:paraId="6CCBFC56" w14:textId="77777777" w:rsidR="006C0BE7" w:rsidRPr="004E096E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>Project Stage</w:t>
            </w:r>
          </w:p>
        </w:tc>
        <w:tc>
          <w:tcPr>
            <w:tcW w:w="3845" w:type="dxa"/>
          </w:tcPr>
          <w:p w14:paraId="689C706B" w14:textId="77777777" w:rsidR="006C0BE7" w:rsidRPr="004E096E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2963" w:type="dxa"/>
          </w:tcPr>
          <w:p w14:paraId="54919867" w14:textId="77777777" w:rsidR="006C0BE7" w:rsidRPr="00F03AD8" w:rsidRDefault="006C0BE7" w:rsidP="00414795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3AD8">
              <w:rPr>
                <w:b/>
                <w:color w:val="000000" w:themeColor="text1"/>
                <w:sz w:val="24"/>
                <w:szCs w:val="24"/>
              </w:rPr>
              <w:t>Timescale</w:t>
            </w:r>
          </w:p>
        </w:tc>
      </w:tr>
      <w:tr w:rsidR="006C0BE7" w:rsidRPr="00F03AD8" w14:paraId="061A05D4" w14:textId="77777777" w:rsidTr="006C0BE7">
        <w:tc>
          <w:tcPr>
            <w:tcW w:w="2010" w:type="dxa"/>
          </w:tcPr>
          <w:p w14:paraId="76228B76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>Getting Started</w:t>
            </w:r>
          </w:p>
          <w:p w14:paraId="264D18A4" w14:textId="77777777" w:rsidR="006C0BE7" w:rsidRPr="004E096E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>(Project Score 1-3)</w:t>
            </w:r>
          </w:p>
        </w:tc>
        <w:tc>
          <w:tcPr>
            <w:tcW w:w="3845" w:type="dxa"/>
          </w:tcPr>
          <w:p w14:paraId="76B71F45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color w:val="000000" w:themeColor="text1"/>
                <w:sz w:val="24"/>
                <w:szCs w:val="24"/>
              </w:rPr>
              <w:t xml:space="preserve">What initial activities are required to get started?  </w:t>
            </w:r>
          </w:p>
          <w:p w14:paraId="6A379625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</w:p>
          <w:p w14:paraId="718801D9" w14:textId="77777777" w:rsidR="006C0BE7" w:rsidRPr="004E096E" w:rsidRDefault="006C0BE7" w:rsidP="004147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1. Forming the improvement team</w:t>
            </w:r>
          </w:p>
          <w:p w14:paraId="09BBDE11" w14:textId="77777777" w:rsidR="006C0BE7" w:rsidRPr="004E096E" w:rsidRDefault="006C0BE7" w:rsidP="004147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2. Developing the project charter</w:t>
            </w:r>
          </w:p>
          <w:p w14:paraId="0742EBF3" w14:textId="77777777" w:rsidR="006C0BE7" w:rsidRPr="004E096E" w:rsidRDefault="006C0BE7" w:rsidP="004147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3. Gathering and analysing baseline</w:t>
            </w:r>
          </w:p>
          <w:p w14:paraId="2D627E7A" w14:textId="77777777" w:rsidR="006C0BE7" w:rsidRPr="004E096E" w:rsidRDefault="006C0BE7" w:rsidP="004147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data</w:t>
            </w:r>
          </w:p>
          <w:p w14:paraId="369AE6D0" w14:textId="77777777" w:rsidR="006C0BE7" w:rsidRPr="004E096E" w:rsidRDefault="006C0BE7" w:rsidP="00414795">
            <w:pPr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4. Understand the current system by:</w:t>
            </w:r>
          </w:p>
          <w:p w14:paraId="6F9580E4" w14:textId="77777777" w:rsidR="006C0BE7" w:rsidRPr="004E096E" w:rsidRDefault="006C0BE7" w:rsidP="00414795">
            <w:pPr>
              <w:rPr>
                <w:rFonts w:ascii="Calibri" w:hAnsi="Calibri" w:cs="Calibri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- creating focus groups with young people</w:t>
            </w:r>
          </w:p>
          <w:p w14:paraId="557EA808" w14:textId="77777777" w:rsidR="006C0BE7" w:rsidRPr="004E096E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4E096E">
              <w:rPr>
                <w:rFonts w:ascii="Calibri" w:hAnsi="Calibri" w:cs="Calibri"/>
                <w:sz w:val="24"/>
                <w:szCs w:val="24"/>
              </w:rPr>
              <w:t>- developing group information and case study resources</w:t>
            </w:r>
          </w:p>
        </w:tc>
        <w:tc>
          <w:tcPr>
            <w:tcW w:w="2963" w:type="dxa"/>
          </w:tcPr>
          <w:p w14:paraId="770128D3" w14:textId="77777777" w:rsidR="006C0BE7" w:rsidRDefault="006C0BE7" w:rsidP="00414795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14:paraId="02881267" w14:textId="77777777" w:rsidR="006C0BE7" w:rsidRDefault="006C0BE7" w:rsidP="004147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936B4B0" w14:textId="77777777" w:rsidR="006C0BE7" w:rsidRDefault="006C0BE7" w:rsidP="004147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2BE916B" w14:textId="77777777" w:rsidR="006C0BE7" w:rsidRDefault="006C0BE7" w:rsidP="006C0BE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July 2019 (team members to be added)</w:t>
            </w:r>
          </w:p>
          <w:p w14:paraId="63DD794E" w14:textId="77777777" w:rsidR="006C0BE7" w:rsidRDefault="006C0BE7" w:rsidP="006C0BE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Complete</w:t>
            </w:r>
          </w:p>
          <w:p w14:paraId="42839176" w14:textId="77777777" w:rsidR="006C0BE7" w:rsidRDefault="006C0BE7" w:rsidP="006C0BE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July 2019</w:t>
            </w:r>
          </w:p>
          <w:p w14:paraId="4C702A77" w14:textId="77777777" w:rsidR="006C0BE7" w:rsidRPr="004E096E" w:rsidRDefault="006C0BE7" w:rsidP="006C0BE7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August 2019 </w:t>
            </w:r>
          </w:p>
        </w:tc>
      </w:tr>
      <w:tr w:rsidR="006C0BE7" w:rsidRPr="00F03AD8" w14:paraId="7DE1F211" w14:textId="77777777" w:rsidTr="006C0BE7">
        <w:tc>
          <w:tcPr>
            <w:tcW w:w="2010" w:type="dxa"/>
          </w:tcPr>
          <w:p w14:paraId="2F5E4D64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Designing and Testing Changes</w:t>
            </w:r>
          </w:p>
          <w:p w14:paraId="4FCBB1B8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(Project Score 4-7)</w:t>
            </w:r>
          </w:p>
        </w:tc>
        <w:tc>
          <w:tcPr>
            <w:tcW w:w="3845" w:type="dxa"/>
          </w:tcPr>
          <w:p w14:paraId="546DC91E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What activities are required to start testing changes?</w:t>
            </w:r>
          </w:p>
          <w:p w14:paraId="12C9659C" w14:textId="77777777" w:rsidR="006C0BE7" w:rsidRDefault="006C0BE7" w:rsidP="006C0BE7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Map the current FA journey to identify gaps</w:t>
            </w:r>
          </w:p>
          <w:p w14:paraId="534BBFC0" w14:textId="77777777" w:rsidR="006C0BE7" w:rsidRDefault="006C0BE7" w:rsidP="006C0BE7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393D01">
              <w:rPr>
                <w:color w:val="000000" w:themeColor="text1"/>
                <w:sz w:val="24"/>
                <w:szCs w:val="24"/>
              </w:rPr>
              <w:t>rioritise the</w:t>
            </w:r>
            <w:r>
              <w:rPr>
                <w:color w:val="000000" w:themeColor="text1"/>
                <w:sz w:val="24"/>
                <w:szCs w:val="24"/>
              </w:rPr>
              <w:t xml:space="preserve"> change ideas and where to test changes (schools, cohorts of pupils, work placements)</w:t>
            </w:r>
          </w:p>
          <w:p w14:paraId="1C081DCA" w14:textId="77777777" w:rsidR="006C0BE7" w:rsidRDefault="006C0BE7" w:rsidP="006C0BE7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Engagement with HT colleagues</w:t>
            </w:r>
          </w:p>
          <w:p w14:paraId="7E6B9D94" w14:textId="77777777" w:rsidR="006C0BE7" w:rsidRDefault="006C0BE7" w:rsidP="006C0BE7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Gather feedback from focus groups and evaluation processes that will inform the plan to roll out for subject choice in Feb 2020</w:t>
            </w:r>
          </w:p>
          <w:p w14:paraId="018936BF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805FA28" w14:textId="77777777" w:rsidR="006C0BE7" w:rsidRPr="00393D01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When do you expect to complete this stage?</w:t>
            </w:r>
          </w:p>
          <w:p w14:paraId="685A8FEB" w14:textId="77777777" w:rsidR="006C0BE7" w:rsidRDefault="006C0BE7" w:rsidP="006C0BE7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July 2019</w:t>
            </w:r>
          </w:p>
          <w:p w14:paraId="75502956" w14:textId="77777777" w:rsidR="006C0BE7" w:rsidRDefault="006C0BE7" w:rsidP="006C0BE7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 2019</w:t>
            </w:r>
          </w:p>
          <w:p w14:paraId="1F4EAD3F" w14:textId="77777777" w:rsidR="006C0BE7" w:rsidRDefault="006C0BE7" w:rsidP="006C0BE7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September 2019</w:t>
            </w:r>
          </w:p>
          <w:p w14:paraId="28591E08" w14:textId="77777777" w:rsidR="006C0BE7" w:rsidRPr="00393D01" w:rsidRDefault="006C0BE7" w:rsidP="006C0BE7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 2019 – January 2020</w:t>
            </w:r>
          </w:p>
        </w:tc>
      </w:tr>
      <w:tr w:rsidR="006C0BE7" w:rsidRPr="00F03AD8" w14:paraId="452DE4A2" w14:textId="77777777" w:rsidTr="006C0BE7">
        <w:tc>
          <w:tcPr>
            <w:tcW w:w="2010" w:type="dxa"/>
          </w:tcPr>
          <w:p w14:paraId="60107C39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Implementing and sustaining changes that demonstrate improvement</w:t>
            </w:r>
          </w:p>
          <w:p w14:paraId="737A6EE5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(Project Score 7-10)</w:t>
            </w:r>
          </w:p>
        </w:tc>
        <w:tc>
          <w:tcPr>
            <w:tcW w:w="3845" w:type="dxa"/>
          </w:tcPr>
          <w:p w14:paraId="3AFD3F61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 xml:space="preserve">What actions would be required to implement and sustain the changes that have resulted in improvement? </w:t>
            </w:r>
          </w:p>
          <w:p w14:paraId="20752D34" w14:textId="77777777" w:rsidR="006C0BE7" w:rsidRDefault="006C0BE7" w:rsidP="00414795">
            <w:pPr>
              <w:rPr>
                <w:color w:val="000000" w:themeColor="text1"/>
                <w:sz w:val="24"/>
                <w:szCs w:val="24"/>
              </w:rPr>
            </w:pPr>
          </w:p>
          <w:p w14:paraId="4A53E9E0" w14:textId="77777777" w:rsidR="006C0BE7" w:rsidRPr="00393D01" w:rsidRDefault="006C0BE7" w:rsidP="006C0BE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Best practice guidelines developed </w:t>
            </w:r>
          </w:p>
          <w:p w14:paraId="104002E1" w14:textId="77777777" w:rsidR="006C0BE7" w:rsidRPr="00393D01" w:rsidRDefault="006C0BE7" w:rsidP="006C0BE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Develop the focus group</w:t>
            </w:r>
          </w:p>
          <w:p w14:paraId="02BB36AD" w14:textId="77777777" w:rsidR="006C0BE7" w:rsidRPr="00393D01" w:rsidRDefault="006C0BE7" w:rsidP="006C0BE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Create case study</w:t>
            </w:r>
          </w:p>
          <w:p w14:paraId="632D4284" w14:textId="77777777" w:rsidR="006C0BE7" w:rsidRPr="00393D01" w:rsidRDefault="006C0BE7" w:rsidP="006C0BE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Create resources for pupil and influencer briefings</w:t>
            </w:r>
          </w:p>
          <w:p w14:paraId="5A5DC095" w14:textId="77777777" w:rsidR="006C0BE7" w:rsidRPr="00393D01" w:rsidRDefault="006C0BE7" w:rsidP="006C0BE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Engagement with Secondary School colleagues</w:t>
            </w:r>
          </w:p>
          <w:p w14:paraId="59B203EC" w14:textId="77777777" w:rsidR="006C0BE7" w:rsidRDefault="006C0BE7" w:rsidP="006C0BE7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Creation of case studies and marketing materials that can be used to support subject choices/pathway planning</w:t>
            </w:r>
          </w:p>
          <w:p w14:paraId="1D4D4EE0" w14:textId="77777777" w:rsidR="006C0BE7" w:rsidRPr="00F92F42" w:rsidRDefault="006C0BE7" w:rsidP="006C0BE7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Strategic and operational connection between this group and the Regional FA delivery group</w:t>
            </w:r>
          </w:p>
        </w:tc>
        <w:tc>
          <w:tcPr>
            <w:tcW w:w="2963" w:type="dxa"/>
          </w:tcPr>
          <w:p w14:paraId="39D7AE8F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2506CDB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26CDD49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571F730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024B2BA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 2020</w:t>
            </w:r>
          </w:p>
          <w:p w14:paraId="3AE93C39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0B82875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53F4CA7F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71095A9A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EE5B870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1DE16925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B8B7CB7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13C753C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676A6945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78555A2C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7D714F94" w14:textId="77777777" w:rsidR="006C0BE7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7F06DBDF" w14:textId="77777777" w:rsidR="006C0BE7" w:rsidRPr="00393D01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6C0BE7" w:rsidRPr="00F03AD8" w14:paraId="3B0734FE" w14:textId="77777777" w:rsidTr="006C0BE7">
        <w:tc>
          <w:tcPr>
            <w:tcW w:w="2010" w:type="dxa"/>
          </w:tcPr>
          <w:p w14:paraId="0CA906FA" w14:textId="77777777" w:rsidR="006C0BE7" w:rsidRPr="00393D01" w:rsidRDefault="006C0BE7" w:rsidP="00414795">
            <w:pPr>
              <w:rPr>
                <w:rFonts w:ascii="Arial" w:hAnsi="Arial" w:cs="Arial"/>
                <w:noProof/>
                <w:color w:val="000000" w:themeColor="text1"/>
                <w:sz w:val="24"/>
                <w:lang w:eastAsia="en-GB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Spreading Changes</w:t>
            </w:r>
            <w:r w:rsidRPr="00393D01">
              <w:rPr>
                <w:rFonts w:ascii="Arial" w:hAnsi="Arial" w:cs="Arial"/>
                <w:noProof/>
                <w:color w:val="000000" w:themeColor="text1"/>
                <w:sz w:val="24"/>
                <w:lang w:eastAsia="en-GB"/>
              </w:rPr>
              <w:t xml:space="preserve"> </w:t>
            </w:r>
          </w:p>
          <w:p w14:paraId="4B7D5C6B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(Project Score 9-10)</w:t>
            </w:r>
          </w:p>
        </w:tc>
        <w:tc>
          <w:tcPr>
            <w:tcW w:w="3845" w:type="dxa"/>
          </w:tcPr>
          <w:p w14:paraId="234F462C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What actions are required to reach the full scale of the project?  (Engagement of other teams/colleagues; other locations?)</w:t>
            </w:r>
          </w:p>
          <w:p w14:paraId="3343BC89" w14:textId="77777777" w:rsidR="006C0BE7" w:rsidRPr="00393D01" w:rsidRDefault="006C0BE7" w:rsidP="006C0BE7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Consultation with Schools and delivery model/s in place</w:t>
            </w:r>
          </w:p>
          <w:p w14:paraId="48A4903D" w14:textId="77777777" w:rsidR="006C0BE7" w:rsidRPr="00393D01" w:rsidRDefault="006C0BE7" w:rsidP="006C0BE7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Employer engagement to ensure sufficient supply of work placements – this is critical to upscaling of FA numbers</w:t>
            </w:r>
          </w:p>
          <w:p w14:paraId="6C3E3E09" w14:textId="77777777" w:rsidR="006C0BE7" w:rsidRPr="00393D01" w:rsidRDefault="006C0BE7" w:rsidP="00414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ADEE338" w14:textId="77777777" w:rsidR="006C0BE7" w:rsidRPr="00393D01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 w:rsidRPr="00393D01">
              <w:rPr>
                <w:color w:val="000000" w:themeColor="text1"/>
                <w:sz w:val="24"/>
                <w:szCs w:val="24"/>
              </w:rPr>
              <w:t>When do you expect to complete this stage?</w:t>
            </w:r>
          </w:p>
          <w:p w14:paraId="43BFB03D" w14:textId="77777777" w:rsidR="006C0BE7" w:rsidRPr="00393D01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2BD8E648" w14:textId="77777777" w:rsidR="006C0BE7" w:rsidRPr="00393D01" w:rsidRDefault="006C0BE7" w:rsidP="00414795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September 2020 </w:t>
            </w:r>
          </w:p>
        </w:tc>
      </w:tr>
    </w:tbl>
    <w:p w14:paraId="0132BC91" w14:textId="77777777" w:rsidR="003B1153" w:rsidRPr="00E44E82" w:rsidRDefault="003B1153" w:rsidP="003B7F1D">
      <w:pPr>
        <w:ind w:left="142"/>
      </w:pPr>
    </w:p>
    <w:p w14:paraId="3CDB76A0" w14:textId="77777777" w:rsidR="00291243" w:rsidRPr="00E44E82" w:rsidRDefault="00291243" w:rsidP="003B7F1D">
      <w:pPr>
        <w:ind w:left="142"/>
      </w:pPr>
    </w:p>
    <w:sectPr w:rsidR="00291243" w:rsidRPr="00E44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16F"/>
    <w:multiLevelType w:val="hybridMultilevel"/>
    <w:tmpl w:val="BAFCD1EC"/>
    <w:lvl w:ilvl="0" w:tplc="F932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E8C"/>
    <w:multiLevelType w:val="hybridMultilevel"/>
    <w:tmpl w:val="0CBA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1E5"/>
    <w:multiLevelType w:val="hybridMultilevel"/>
    <w:tmpl w:val="B68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29F"/>
    <w:multiLevelType w:val="hybridMultilevel"/>
    <w:tmpl w:val="9D86A934"/>
    <w:lvl w:ilvl="0" w:tplc="F932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0CE"/>
    <w:multiLevelType w:val="hybridMultilevel"/>
    <w:tmpl w:val="0E5E78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A1131"/>
    <w:multiLevelType w:val="hybridMultilevel"/>
    <w:tmpl w:val="7FB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61EB"/>
    <w:multiLevelType w:val="hybridMultilevel"/>
    <w:tmpl w:val="42367BF8"/>
    <w:lvl w:ilvl="0" w:tplc="4C88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025B"/>
    <w:multiLevelType w:val="hybridMultilevel"/>
    <w:tmpl w:val="109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5410"/>
    <w:multiLevelType w:val="hybridMultilevel"/>
    <w:tmpl w:val="59B86BBE"/>
    <w:lvl w:ilvl="0" w:tplc="72AA5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B0723"/>
    <w:multiLevelType w:val="hybridMultilevel"/>
    <w:tmpl w:val="99BA0236"/>
    <w:lvl w:ilvl="0" w:tplc="72AA5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C927C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1C04F7"/>
    <w:multiLevelType w:val="hybridMultilevel"/>
    <w:tmpl w:val="68C26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01AB"/>
    <w:multiLevelType w:val="hybridMultilevel"/>
    <w:tmpl w:val="7444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7C2"/>
    <w:multiLevelType w:val="hybridMultilevel"/>
    <w:tmpl w:val="27AA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2A50"/>
    <w:multiLevelType w:val="hybridMultilevel"/>
    <w:tmpl w:val="8C94A496"/>
    <w:lvl w:ilvl="0" w:tplc="DAD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00D16"/>
    <w:multiLevelType w:val="hybridMultilevel"/>
    <w:tmpl w:val="7B249104"/>
    <w:lvl w:ilvl="0" w:tplc="72AA5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75453"/>
    <w:multiLevelType w:val="hybridMultilevel"/>
    <w:tmpl w:val="EE88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86C"/>
    <w:multiLevelType w:val="hybridMultilevel"/>
    <w:tmpl w:val="82AA34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1114C"/>
    <w:multiLevelType w:val="hybridMultilevel"/>
    <w:tmpl w:val="82625426"/>
    <w:lvl w:ilvl="0" w:tplc="9308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F0C6E"/>
    <w:multiLevelType w:val="hybridMultilevel"/>
    <w:tmpl w:val="2118EE8A"/>
    <w:lvl w:ilvl="0" w:tplc="72AA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712"/>
    <w:multiLevelType w:val="hybridMultilevel"/>
    <w:tmpl w:val="1F58B9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580"/>
    <w:multiLevelType w:val="hybridMultilevel"/>
    <w:tmpl w:val="654EB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7BEF"/>
    <w:multiLevelType w:val="hybridMultilevel"/>
    <w:tmpl w:val="EA1E2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6529B"/>
    <w:multiLevelType w:val="hybridMultilevel"/>
    <w:tmpl w:val="8B8AA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EB5FDF"/>
    <w:multiLevelType w:val="hybridMultilevel"/>
    <w:tmpl w:val="596E265E"/>
    <w:lvl w:ilvl="0" w:tplc="4C886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06A02"/>
    <w:multiLevelType w:val="hybridMultilevel"/>
    <w:tmpl w:val="20D85B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A131FE"/>
    <w:multiLevelType w:val="hybridMultilevel"/>
    <w:tmpl w:val="36109038"/>
    <w:lvl w:ilvl="0" w:tplc="9E78E1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5450C"/>
    <w:multiLevelType w:val="hybridMultilevel"/>
    <w:tmpl w:val="1FDC7EC8"/>
    <w:lvl w:ilvl="0" w:tplc="72AA5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F555C2"/>
    <w:multiLevelType w:val="hybridMultilevel"/>
    <w:tmpl w:val="FAF64CC4"/>
    <w:lvl w:ilvl="0" w:tplc="745A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5603"/>
    <w:multiLevelType w:val="hybridMultilevel"/>
    <w:tmpl w:val="253CB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40E4E"/>
    <w:multiLevelType w:val="hybridMultilevel"/>
    <w:tmpl w:val="02A01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24F39"/>
    <w:multiLevelType w:val="hybridMultilevel"/>
    <w:tmpl w:val="19EA897E"/>
    <w:lvl w:ilvl="0" w:tplc="72AA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134E9"/>
    <w:multiLevelType w:val="hybridMultilevel"/>
    <w:tmpl w:val="9B22F9AC"/>
    <w:lvl w:ilvl="0" w:tplc="F932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42AE6"/>
    <w:multiLevelType w:val="hybridMultilevel"/>
    <w:tmpl w:val="D1227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413825"/>
    <w:multiLevelType w:val="hybridMultilevel"/>
    <w:tmpl w:val="648A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34A9B"/>
    <w:multiLevelType w:val="hybridMultilevel"/>
    <w:tmpl w:val="ABECFC90"/>
    <w:lvl w:ilvl="0" w:tplc="72AA5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1423BF"/>
    <w:multiLevelType w:val="hybridMultilevel"/>
    <w:tmpl w:val="52E2F830"/>
    <w:lvl w:ilvl="0" w:tplc="8BE6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224FE"/>
    <w:multiLevelType w:val="hybridMultilevel"/>
    <w:tmpl w:val="C5F6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125"/>
    <w:multiLevelType w:val="hybridMultilevel"/>
    <w:tmpl w:val="F922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96F8D"/>
    <w:multiLevelType w:val="hybridMultilevel"/>
    <w:tmpl w:val="6BF0426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36C85"/>
    <w:multiLevelType w:val="hybridMultilevel"/>
    <w:tmpl w:val="AB14961E"/>
    <w:lvl w:ilvl="0" w:tplc="02445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5"/>
  </w:num>
  <w:num w:numId="4">
    <w:abstractNumId w:val="22"/>
  </w:num>
  <w:num w:numId="5">
    <w:abstractNumId w:val="6"/>
  </w:num>
  <w:num w:numId="6">
    <w:abstractNumId w:val="38"/>
  </w:num>
  <w:num w:numId="7">
    <w:abstractNumId w:val="37"/>
  </w:num>
  <w:num w:numId="8">
    <w:abstractNumId w:val="17"/>
  </w:num>
  <w:num w:numId="9">
    <w:abstractNumId w:val="32"/>
  </w:num>
  <w:num w:numId="10">
    <w:abstractNumId w:val="29"/>
  </w:num>
  <w:num w:numId="11">
    <w:abstractNumId w:val="5"/>
  </w:num>
  <w:num w:numId="12">
    <w:abstractNumId w:val="11"/>
  </w:num>
  <w:num w:numId="13">
    <w:abstractNumId w:val="23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24"/>
  </w:num>
  <w:num w:numId="19">
    <w:abstractNumId w:val="25"/>
  </w:num>
  <w:num w:numId="20">
    <w:abstractNumId w:val="4"/>
  </w:num>
  <w:num w:numId="21">
    <w:abstractNumId w:val="14"/>
  </w:num>
  <w:num w:numId="22">
    <w:abstractNumId w:val="8"/>
  </w:num>
  <w:num w:numId="23">
    <w:abstractNumId w:val="26"/>
  </w:num>
  <w:num w:numId="24">
    <w:abstractNumId w:val="0"/>
  </w:num>
  <w:num w:numId="25">
    <w:abstractNumId w:val="3"/>
  </w:num>
  <w:num w:numId="26">
    <w:abstractNumId w:val="18"/>
  </w:num>
  <w:num w:numId="27">
    <w:abstractNumId w:val="12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27"/>
  </w:num>
  <w:num w:numId="33">
    <w:abstractNumId w:val="20"/>
  </w:num>
  <w:num w:numId="34">
    <w:abstractNumId w:val="19"/>
  </w:num>
  <w:num w:numId="35">
    <w:abstractNumId w:val="39"/>
  </w:num>
  <w:num w:numId="36">
    <w:abstractNumId w:val="13"/>
  </w:num>
  <w:num w:numId="37">
    <w:abstractNumId w:val="10"/>
  </w:num>
  <w:num w:numId="38">
    <w:abstractNumId w:val="21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0F63"/>
    <w:rsid w:val="00017DDC"/>
    <w:rsid w:val="0009307E"/>
    <w:rsid w:val="000974CD"/>
    <w:rsid w:val="00122137"/>
    <w:rsid w:val="00126790"/>
    <w:rsid w:val="0016245A"/>
    <w:rsid w:val="00291243"/>
    <w:rsid w:val="002F40DA"/>
    <w:rsid w:val="003B1153"/>
    <w:rsid w:val="003B1868"/>
    <w:rsid w:val="003B1A5E"/>
    <w:rsid w:val="003B7F1D"/>
    <w:rsid w:val="003C6742"/>
    <w:rsid w:val="003C6C13"/>
    <w:rsid w:val="00414795"/>
    <w:rsid w:val="00460AC0"/>
    <w:rsid w:val="004C1C1F"/>
    <w:rsid w:val="005668FD"/>
    <w:rsid w:val="005A1022"/>
    <w:rsid w:val="005B34FF"/>
    <w:rsid w:val="005B7A55"/>
    <w:rsid w:val="005F3A2E"/>
    <w:rsid w:val="005F43E7"/>
    <w:rsid w:val="006154F6"/>
    <w:rsid w:val="006668C7"/>
    <w:rsid w:val="0067596C"/>
    <w:rsid w:val="006C0BE7"/>
    <w:rsid w:val="00720433"/>
    <w:rsid w:val="00780773"/>
    <w:rsid w:val="00847D53"/>
    <w:rsid w:val="00864A99"/>
    <w:rsid w:val="0091689D"/>
    <w:rsid w:val="00A42EBD"/>
    <w:rsid w:val="00AC0F63"/>
    <w:rsid w:val="00AF500A"/>
    <w:rsid w:val="00B16054"/>
    <w:rsid w:val="00B31A9A"/>
    <w:rsid w:val="00B743AB"/>
    <w:rsid w:val="00C16128"/>
    <w:rsid w:val="00C314CC"/>
    <w:rsid w:val="00C81C7F"/>
    <w:rsid w:val="00CD0A0B"/>
    <w:rsid w:val="00E37324"/>
    <w:rsid w:val="00E44E82"/>
    <w:rsid w:val="00E45519"/>
    <w:rsid w:val="00E4748C"/>
    <w:rsid w:val="00F256B9"/>
    <w:rsid w:val="00F371FF"/>
    <w:rsid w:val="00F57609"/>
    <w:rsid w:val="00F57DC0"/>
    <w:rsid w:val="00FE55BE"/>
    <w:rsid w:val="30E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72E4"/>
  <w15:chartTrackingRefBased/>
  <w15:docId w15:val="{B274B04F-8BD4-4AB3-AEAE-975ECBC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63"/>
    <w:pPr>
      <w:ind w:left="720"/>
      <w:contextualSpacing/>
    </w:pPr>
  </w:style>
  <w:style w:type="table" w:styleId="TableGrid">
    <w:name w:val="Table Grid"/>
    <w:basedOn w:val="TableNormal"/>
    <w:uiPriority w:val="59"/>
    <w:rsid w:val="00AC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7F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4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C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1483</Words>
  <Characters>8458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Simpson</dc:creator>
  <cp:keywords/>
  <dc:description/>
  <cp:lastModifiedBy>James Simpson</cp:lastModifiedBy>
  <cp:revision>25</cp:revision>
  <dcterms:created xsi:type="dcterms:W3CDTF">2019-06-14T21:23:00Z</dcterms:created>
  <dcterms:modified xsi:type="dcterms:W3CDTF">2019-07-11T22:49:00Z</dcterms:modified>
</cp:coreProperties>
</file>